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智能驾驶强化学习研究报告</w:t>
      </w:r>
    </w:p>
    <w:p>
      <w:pPr>
        <w:pStyle w:val="Subtitle"/>
        <w:widowControl/>
      </w:pPr>
      <w:r>
        <w:t>PPO 基线 向量世界模型 安全约束与车载验证</w:t>
        <w:br/>
        <w:t>文献综述与分阶段实施方案  2026年10月10日 北京时间</w:t>
      </w:r>
    </w:p>
    <w:p>
      <w:pPr>
        <w:widowControl/>
      </w:pPr>
      <w:r/>
      <w:r>
        <w:rPr>
          <w:b/>
        </w:rPr>
        <w:t>建议结论</w:t>
      </w:r>
      <w:r>
        <w:t xml:space="preserve"> 近期先把本地 PPO 做成可复现的驾驶决策基线。2026 年底后，暂按 2027 年起规划，以向量观测和小模型开展安全约束与世界模型研究。优先回答“在相同驾驶任务和交互预算下，能否降低风险且保持有效通行”，再决定是否进入图像输入和更大模型。</w:t>
      </w:r>
    </w:p>
    <w:p>
      <w:pPr>
        <w:pStyle w:val="Heading2"/>
        <w:widowControl/>
      </w:pPr>
      <w:r>
        <w:t>本轮建议批准的研究范围</w:t>
      </w:r>
    </w:p>
    <w:p>
      <w:pPr>
        <w:pStyle w:val="ListBullet"/>
        <w:widowControl/>
      </w:pPr>
      <w:r>
        <w:t>主场景先收敛到纵向跟车 ACC 与 stop-and-go，加入前车急刹、切入和执行延迟；如既有 PPO 已有稳定驾驶场景，优先沿用，并将本报告的对照与评测接入。</w:t>
      </w:r>
    </w:p>
    <w:p>
      <w:pPr>
        <w:pStyle w:val="ListBullet"/>
        <w:widowControl/>
      </w:pPr>
      <w:r>
        <w:t>近期交付为 PPO、非学习控制基线、分项安全指标、冻结测试集和算力剖析。世界模型与安全约束属于后续阶段，不承诺在年底前全部完成。</w:t>
      </w:r>
    </w:p>
    <w:p>
      <w:pPr>
        <w:pStyle w:val="ListBullet"/>
        <w:widowControl/>
      </w:pPr>
      <w:r>
        <w:t>中期默认采用 SafeMetaDrive 向量 PPO-Lagrangian，再迁移 SafeDreamer 派生的小 RSSM 与成本约束规划。官方导航示例的成本与观测存在专用假设，驾驶版本需要开发和验证。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0" w:type="dxa"/>
          <w:bottom w:w="85" w:type="dxa"/>
          <w:right w:w="100" w:type="dxa"/>
        </w:tblCellMar>
      </w:tblPr>
      <w:tblGrid>
        <w:gridCol w:w="1423"/>
        <w:gridCol w:w="3965"/>
        <w:gridCol w:w="4778"/>
      </w:tblGrid>
      <w:tr>
        <w:trPr>
          <w:tblHeader/>
          <w:cantSplit/>
        </w:trPr>
        <w:tc>
          <w:tcPr>
            <w:tcW w:type="dxa" w:w="1423"/>
            <w:vAlign w:val="center"/>
            <w:shd w:fill="DCE6EC"/>
          </w:tcPr>
          <w:p>
            <w:pPr>
              <w:spacing w:after="20" w:before="20" w:line="264" w:lineRule="auto"/>
              <w:jc w:val="left"/>
            </w:pPr>
            <w:r>
              <w:rPr>
                <w:b/>
                <w:sz w:val="18"/>
              </w:rPr>
              <w:t>决策项</w:t>
            </w:r>
          </w:p>
        </w:tc>
        <w:tc>
          <w:tcPr>
            <w:tcW w:type="dxa" w:w="3965"/>
            <w:vAlign w:val="center"/>
            <w:shd w:fill="DCE6EC"/>
          </w:tcPr>
          <w:p>
            <w:pPr>
              <w:spacing w:after="20" w:before="20" w:line="264" w:lineRule="auto"/>
              <w:jc w:val="left"/>
            </w:pPr>
            <w:r>
              <w:rPr>
                <w:b/>
                <w:sz w:val="18"/>
              </w:rPr>
              <w:t>本报告建议</w:t>
            </w:r>
          </w:p>
        </w:tc>
        <w:tc>
          <w:tcPr>
            <w:tcW w:type="dxa" w:w="4778"/>
            <w:vAlign w:val="center"/>
            <w:shd w:fill="DCE6EC"/>
          </w:tcPr>
          <w:p>
            <w:pPr>
              <w:spacing w:after="20" w:before="20" w:line="264" w:lineRule="auto"/>
              <w:jc w:val="left"/>
            </w:pPr>
            <w:r>
              <w:rPr>
                <w:b/>
                <w:sz w:val="18"/>
              </w:rPr>
              <w:t>进入下一步所需证据</w:t>
            </w:r>
          </w:p>
        </w:tc>
      </w:tr>
      <w:tr>
        <w:trPr>
          <w:cantSplit/>
        </w:trPr>
        <w:tc>
          <w:tcPr>
            <w:tcW w:type="dxa" w:w="1423"/>
            <w:vAlign w:val="center"/>
            <w:shd w:fill="FFFFFF"/>
          </w:tcPr>
          <w:p>
            <w:pPr>
              <w:spacing w:after="20" w:before="20" w:line="264" w:lineRule="auto"/>
              <w:jc w:val="left"/>
            </w:pPr>
            <w:r>
              <w:rPr>
                <w:b w:val="0"/>
                <w:sz w:val="18"/>
              </w:rPr>
              <w:t>方法</w:t>
            </w:r>
          </w:p>
        </w:tc>
        <w:tc>
          <w:tcPr>
            <w:tcW w:type="dxa" w:w="3965"/>
            <w:vAlign w:val="center"/>
            <w:shd w:fill="FFFFFF"/>
          </w:tcPr>
          <w:p>
            <w:pPr>
              <w:spacing w:after="20" w:before="20" w:line="264" w:lineRule="auto"/>
              <w:jc w:val="left"/>
            </w:pPr>
            <w:r>
              <w:rPr>
                <w:b w:val="0"/>
                <w:sz w:val="18"/>
              </w:rPr>
              <w:t>PPO → 显式安全约束 → 小世界模型</w:t>
            </w:r>
          </w:p>
        </w:tc>
        <w:tc>
          <w:tcPr>
            <w:tcW w:type="dxa" w:w="4778"/>
            <w:vAlign w:val="center"/>
            <w:shd w:fill="FFFFFF"/>
          </w:tcPr>
          <w:p>
            <w:pPr>
              <w:spacing w:after="20" w:before="20" w:line="264" w:lineRule="auto"/>
              <w:jc w:val="left"/>
            </w:pPr>
            <w:r>
              <w:rPr>
                <w:b w:val="0"/>
                <w:sz w:val="18"/>
              </w:rPr>
              <w:t>多 seed 可复现；安全与通行联合改善</w:t>
            </w:r>
          </w:p>
        </w:tc>
      </w:tr>
      <w:tr>
        <w:trPr>
          <w:cantSplit/>
        </w:trPr>
        <w:tc>
          <w:tcPr>
            <w:tcW w:type="dxa" w:w="1423"/>
            <w:vAlign w:val="center"/>
            <w:shd w:fill="F4F7F9"/>
          </w:tcPr>
          <w:p>
            <w:pPr>
              <w:spacing w:after="20" w:before="20" w:line="264" w:lineRule="auto"/>
              <w:jc w:val="left"/>
            </w:pPr>
            <w:r>
              <w:rPr>
                <w:b w:val="0"/>
                <w:sz w:val="18"/>
              </w:rPr>
              <w:t>算力</w:t>
            </w:r>
          </w:p>
        </w:tc>
        <w:tc>
          <w:tcPr>
            <w:tcW w:type="dxa" w:w="3965"/>
            <w:vAlign w:val="center"/>
            <w:shd w:fill="F4F7F9"/>
          </w:tcPr>
          <w:p>
            <w:pPr>
              <w:spacing w:after="20" w:before="20" w:line="264" w:lineRule="auto"/>
              <w:jc w:val="left"/>
            </w:pPr>
            <w:r>
              <w:rPr>
                <w:b w:val="0"/>
                <w:sz w:val="18"/>
              </w:rPr>
              <w:t>现有资源先测；2–4 张 24GB 作为并发假设</w:t>
            </w:r>
          </w:p>
        </w:tc>
        <w:tc>
          <w:tcPr>
            <w:tcW w:type="dxa" w:w="4778"/>
            <w:vAlign w:val="center"/>
            <w:shd w:fill="F4F7F9"/>
          </w:tcPr>
          <w:p>
            <w:pPr>
              <w:spacing w:after="20" w:before="20" w:line="264" w:lineRule="auto"/>
              <w:jc w:val="left"/>
            </w:pPr>
            <w:r>
              <w:rPr>
                <w:b w:val="0"/>
                <w:sz w:val="18"/>
              </w:rPr>
              <w:t>单作业峰值显存、CPU 仿真瓶颈和实验周转时间</w:t>
            </w:r>
          </w:p>
        </w:tc>
      </w:tr>
      <w:tr>
        <w:trPr>
          <w:cantSplit/>
        </w:trPr>
        <w:tc>
          <w:tcPr>
            <w:tcW w:type="dxa" w:w="1423"/>
            <w:vAlign w:val="center"/>
            <w:shd w:fill="FFFFFF"/>
          </w:tcPr>
          <w:p>
            <w:pPr>
              <w:spacing w:after="20" w:before="20" w:line="264" w:lineRule="auto"/>
              <w:jc w:val="left"/>
            </w:pPr>
            <w:r>
              <w:rPr>
                <w:b w:val="0"/>
                <w:sz w:val="18"/>
              </w:rPr>
              <w:t>图像与车端</w:t>
            </w:r>
          </w:p>
        </w:tc>
        <w:tc>
          <w:tcPr>
            <w:tcW w:type="dxa" w:w="3965"/>
            <w:vAlign w:val="center"/>
            <w:shd w:fill="FFFFFF"/>
          </w:tcPr>
          <w:p>
            <w:pPr>
              <w:spacing w:after="20" w:before="20" w:line="264" w:lineRule="auto"/>
              <w:jc w:val="left"/>
            </w:pPr>
            <w:r>
              <w:rPr>
                <w:b w:val="0"/>
                <w:sz w:val="18"/>
              </w:rPr>
              <w:t>条件成立后单独立项和定容</w:t>
            </w:r>
          </w:p>
        </w:tc>
        <w:tc>
          <w:tcPr>
            <w:tcW w:type="dxa" w:w="4778"/>
            <w:vAlign w:val="center"/>
            <w:shd w:fill="FFFFFF"/>
          </w:tcPr>
          <w:p>
            <w:pPr>
              <w:spacing w:after="20" w:before="20" w:line="264" w:lineRule="auto"/>
              <w:jc w:val="left"/>
            </w:pPr>
            <w:r>
              <w:rPr>
                <w:b w:val="0"/>
                <w:sz w:val="18"/>
              </w:rPr>
              <w:t>向量路线价值成立；感知输入和目标设备明确</w:t>
            </w:r>
          </w:p>
        </w:tc>
      </w:tr>
    </w:tbl>
    <w:p>
      <w:pPr>
        <w:spacing w:after="40" w:before="0" w:line="96" w:lineRule="auto"/>
      </w:pPr>
    </w:p>
    <w:p>
      <w:pPr>
        <w:widowControl/>
      </w:pPr>
      <w:r/>
      <w:r>
        <w:rPr>
          <w:b/>
        </w:rPr>
        <w:t>资源判断</w:t>
      </w:r>
      <w:r>
        <w:t xml:space="preserve"> 2–4 张卡主要服务多个 seed 与消融并行，不是 PPO 或世界模型的统一最低门槛。3090/4090 为 24GB，A100 为 40GB/80GB 级；4×24GB 不会自动成为单实验 96GB。</w:t>
      </w:r>
      <w:hyperlink r:id="rId10">
        <w:r>
          <w:rPr>
            <w:color w:val="174C72"/>
            <w:rFonts w:ascii="Noto Sans CJK SC" w:hAnsi="Noto Sans CJK SC" w:eastAsia="Noto Sans CJK SC"/>
          </w:rPr>
          <w:t>[R02]</w:t>
        </w:r>
      </w:hyperlink>
      <w:r/>
      <w:hyperlink r:id="rId11">
        <w:r>
          <w:rPr>
            <w:color w:val="174C72"/>
            <w:rFonts w:ascii="Noto Sans CJK SC" w:hAnsi="Noto Sans CJK SC" w:eastAsia="Noto Sans CJK SC"/>
          </w:rPr>
          <w:t>[R30]</w:t>
        </w:r>
      </w:hyperlink>
      <w:r/>
      <w:hyperlink r:id="rId12">
        <w:r>
          <w:rPr>
            <w:color w:val="174C72"/>
            <w:rFonts w:ascii="Noto Sans CJK SC" w:hAnsi="Noto Sans CJK SC" w:eastAsia="Noto Sans CJK SC"/>
          </w:rPr>
          <w:t>[R32]</w:t>
        </w:r>
      </w:hyperlink>
      <w:r/>
      <w:hyperlink r:id="rId13">
        <w:r>
          <w:rPr>
            <w:color w:val="174C72"/>
            <w:rFonts w:ascii="Noto Sans CJK SC" w:hAnsi="Noto Sans CJK SC" w:eastAsia="Noto Sans CJK SC"/>
          </w:rPr>
          <w:t>[R33]</w:t>
        </w:r>
      </w:hyperlink>
      <w:r/>
      <w:hyperlink r:id="rId14">
        <w:r>
          <w:rPr>
            <w:color w:val="174C72"/>
            <w:rFonts w:ascii="Noto Sans CJK SC" w:hAnsi="Noto Sans CJK SC" w:eastAsia="Noto Sans CJK SC"/>
          </w:rPr>
          <w:t>[R34]</w:t>
        </w:r>
      </w:hyperlink>
      <w:r/>
    </w:p>
    <w:p>
      <w:pPr>
        <w:widowControl/>
      </w:pPr>
      <w:r/>
      <w:r>
        <w:rPr>
          <w:b/>
        </w:rPr>
        <w:t>证据边界</w:t>
      </w:r>
      <w:r>
        <w:t xml:space="preserve"> 本报告是公开文献与工程方案调研，没有执行训练或车端测试。论文结果仅代表作者设置；所有候选参数、排期和容量均需项目实测。既有研究的代码、配置和日志需在实施前完成对齐。</w:t>
      </w:r>
    </w:p>
    <w:p>
      <w:pPr>
        <w:widowControl/>
      </w:pPr>
      <w:r/>
      <w:r>
        <w:rPr>
          <w:b/>
        </w:rPr>
        <w:t>需要确定的三件事</w:t>
      </w:r>
      <w:r>
        <w:t xml:space="preserve"> 首个驾驶场景与动作层级；现有仿真器及主机配置；安全预算和可接受的通行性能下限。真实道路探索、功能安全认证和量产部署不包含在本阶段研究承诺中。</w:t>
      </w:r>
    </w:p>
    <w:p>
      <w:pPr>
        <w:pStyle w:val="Heading1"/>
        <w:pageBreakBefore/>
        <w:widowControl/>
      </w:pPr>
      <w:r>
        <w:t>1 技术关系与研究问题</w:t>
      </w:r>
    </w:p>
    <w:p>
      <w:pPr>
        <w:widowControl/>
      </w:pPr>
      <w:r>
        <w:t>PPO、世界模型和安全强化学习处在不同层面。PPO 是策略优化算法；世界模型是对环境演化的学习表示与预测机制；安全强化学习规定优化目标与约束，并可能加入运行时保护。三者可以组合，但组合方式决定了训练数据、价值估计、控制器和部署成本。</w:t>
      </w:r>
      <w:hyperlink r:id="rId15">
        <w:r>
          <w:rPr>
            <w:color w:val="174C72"/>
            <w:rFonts w:ascii="Noto Sans CJK SC" w:hAnsi="Noto Sans CJK SC" w:eastAsia="Noto Sans CJK SC"/>
          </w:rPr>
          <w:t>[R01]</w:t>
        </w:r>
      </w:hyperlink>
      <w:r/>
      <w:hyperlink r:id="rId16">
        <w:r>
          <w:rPr>
            <w:color w:val="174C72"/>
            <w:rFonts w:ascii="Noto Sans CJK SC" w:hAnsi="Noto Sans CJK SC" w:eastAsia="Noto Sans CJK SC"/>
          </w:rPr>
          <w:t>[R11]</w:t>
        </w:r>
      </w:hyperlink>
      <w:r/>
      <w:hyperlink r:id="rId17">
        <w:r>
          <w:rPr>
            <w:color w:val="174C72"/>
            <w:rFonts w:ascii="Noto Sans CJK SC" w:hAnsi="Noto Sans CJK SC" w:eastAsia="Noto Sans CJK SC"/>
          </w:rPr>
          <w:t>[R16]</w:t>
        </w:r>
      </w:hyperlink>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0" w:type="dxa"/>
          <w:bottom w:w="85" w:type="dxa"/>
          <w:right w:w="100" w:type="dxa"/>
        </w:tblCellMar>
      </w:tblPr>
      <w:tblGrid>
        <w:gridCol w:w="1728"/>
        <w:gridCol w:w="3558"/>
        <w:gridCol w:w="4880"/>
      </w:tblGrid>
      <w:tr>
        <w:trPr>
          <w:tblHeader/>
          <w:cantSplit/>
        </w:trPr>
        <w:tc>
          <w:tcPr>
            <w:tcW w:type="dxa" w:w="1728"/>
            <w:vAlign w:val="center"/>
            <w:shd w:fill="DCE6EC"/>
          </w:tcPr>
          <w:p>
            <w:pPr>
              <w:spacing w:after="20" w:before="20" w:line="264" w:lineRule="auto"/>
              <w:jc w:val="left"/>
            </w:pPr>
            <w:r>
              <w:rPr>
                <w:b/>
                <w:sz w:val="18"/>
              </w:rPr>
              <w:t>概念</w:t>
            </w:r>
          </w:p>
        </w:tc>
        <w:tc>
          <w:tcPr>
            <w:tcW w:type="dxa" w:w="3558"/>
            <w:vAlign w:val="center"/>
            <w:shd w:fill="DCE6EC"/>
          </w:tcPr>
          <w:p>
            <w:pPr>
              <w:spacing w:after="20" w:before="20" w:line="264" w:lineRule="auto"/>
              <w:jc w:val="left"/>
            </w:pPr>
            <w:r>
              <w:rPr>
                <w:b/>
                <w:sz w:val="18"/>
              </w:rPr>
              <w:t>回答的问题</w:t>
            </w:r>
          </w:p>
        </w:tc>
        <w:tc>
          <w:tcPr>
            <w:tcW w:type="dxa" w:w="4880"/>
            <w:vAlign w:val="center"/>
            <w:shd w:fill="DCE6EC"/>
          </w:tcPr>
          <w:p>
            <w:pPr>
              <w:spacing w:after="20" w:before="20" w:line="264" w:lineRule="auto"/>
              <w:jc w:val="left"/>
            </w:pPr>
            <w:r>
              <w:rPr>
                <w:b/>
                <w:sz w:val="18"/>
              </w:rPr>
              <w:t>本项目中的作用</w:t>
            </w:r>
          </w:p>
        </w:tc>
      </w:tr>
      <w:tr>
        <w:trPr>
          <w:cantSplit/>
        </w:trPr>
        <w:tc>
          <w:tcPr>
            <w:tcW w:type="dxa" w:w="1728"/>
            <w:vAlign w:val="center"/>
            <w:shd w:fill="FFFFFF"/>
          </w:tcPr>
          <w:p>
            <w:pPr>
              <w:spacing w:after="20" w:before="20" w:line="264" w:lineRule="auto"/>
              <w:jc w:val="left"/>
            </w:pPr>
            <w:r>
              <w:rPr>
                <w:b w:val="0"/>
                <w:sz w:val="18"/>
              </w:rPr>
              <w:t>PPO</w:t>
            </w:r>
          </w:p>
        </w:tc>
        <w:tc>
          <w:tcPr>
            <w:tcW w:type="dxa" w:w="3558"/>
            <w:vAlign w:val="center"/>
            <w:shd w:fill="FFFFFF"/>
          </w:tcPr>
          <w:p>
            <w:pPr>
              <w:spacing w:after="20" w:before="20" w:line="264" w:lineRule="auto"/>
              <w:jc w:val="left"/>
            </w:pPr>
            <w:r>
              <w:rPr>
                <w:b w:val="0"/>
                <w:sz w:val="18"/>
              </w:rPr>
              <w:t>如何根据采样轨迹更新策略</w:t>
            </w:r>
          </w:p>
        </w:tc>
        <w:tc>
          <w:tcPr>
            <w:tcW w:type="dxa" w:w="4880"/>
            <w:vAlign w:val="center"/>
            <w:shd w:fill="FFFFFF"/>
          </w:tcPr>
          <w:p>
            <w:pPr>
              <w:spacing w:after="20" w:before="20" w:line="264" w:lineRule="auto"/>
              <w:jc w:val="left"/>
            </w:pPr>
            <w:r>
              <w:rPr>
                <w:b w:val="0"/>
                <w:sz w:val="18"/>
              </w:rPr>
              <w:t>建立训练与驾驶评测闭环</w:t>
            </w:r>
          </w:p>
        </w:tc>
      </w:tr>
      <w:tr>
        <w:trPr>
          <w:cantSplit/>
        </w:trPr>
        <w:tc>
          <w:tcPr>
            <w:tcW w:type="dxa" w:w="1728"/>
            <w:vAlign w:val="center"/>
            <w:shd w:fill="F4F7F9"/>
          </w:tcPr>
          <w:p>
            <w:pPr>
              <w:spacing w:after="20" w:before="20" w:line="264" w:lineRule="auto"/>
              <w:jc w:val="left"/>
            </w:pPr>
            <w:r>
              <w:rPr>
                <w:b w:val="0"/>
                <w:sz w:val="18"/>
              </w:rPr>
              <w:t>世界模型</w:t>
            </w:r>
          </w:p>
        </w:tc>
        <w:tc>
          <w:tcPr>
            <w:tcW w:type="dxa" w:w="3558"/>
            <w:vAlign w:val="center"/>
            <w:shd w:fill="F4F7F9"/>
          </w:tcPr>
          <w:p>
            <w:pPr>
              <w:spacing w:after="20" w:before="20" w:line="264" w:lineRule="auto"/>
              <w:jc w:val="left"/>
            </w:pPr>
            <w:r>
              <w:rPr>
                <w:b w:val="0"/>
                <w:sz w:val="18"/>
              </w:rPr>
              <w:t>给定状态或历史与动作，未来会怎样</w:t>
            </w:r>
          </w:p>
        </w:tc>
        <w:tc>
          <w:tcPr>
            <w:tcW w:type="dxa" w:w="4880"/>
            <w:vAlign w:val="center"/>
            <w:shd w:fill="F4F7F9"/>
          </w:tcPr>
          <w:p>
            <w:pPr>
              <w:spacing w:after="20" w:before="20" w:line="264" w:lineRule="auto"/>
              <w:jc w:val="left"/>
            </w:pPr>
            <w:r>
              <w:rPr>
                <w:b w:val="0"/>
                <w:sz w:val="18"/>
              </w:rPr>
              <w:t>预测邻车/自车演化、代价和终止，支持想象或规划</w:t>
            </w:r>
          </w:p>
        </w:tc>
      </w:tr>
      <w:tr>
        <w:trPr>
          <w:cantSplit/>
        </w:trPr>
        <w:tc>
          <w:tcPr>
            <w:tcW w:type="dxa" w:w="1728"/>
            <w:vAlign w:val="center"/>
            <w:shd w:fill="FFFFFF"/>
          </w:tcPr>
          <w:p>
            <w:pPr>
              <w:spacing w:after="20" w:before="20" w:line="264" w:lineRule="auto"/>
              <w:jc w:val="left"/>
            </w:pPr>
            <w:r>
              <w:rPr>
                <w:b w:val="0"/>
                <w:sz w:val="18"/>
              </w:rPr>
              <w:t>约束 RL</w:t>
            </w:r>
          </w:p>
        </w:tc>
        <w:tc>
          <w:tcPr>
            <w:tcW w:type="dxa" w:w="3558"/>
            <w:vAlign w:val="center"/>
            <w:shd w:fill="FFFFFF"/>
          </w:tcPr>
          <w:p>
            <w:pPr>
              <w:spacing w:after="20" w:before="20" w:line="264" w:lineRule="auto"/>
              <w:jc w:val="left"/>
            </w:pPr>
            <w:r>
              <w:rPr>
                <w:b w:val="0"/>
                <w:sz w:val="18"/>
              </w:rPr>
              <w:t>在什么安全预算内优化性能</w:t>
            </w:r>
          </w:p>
        </w:tc>
        <w:tc>
          <w:tcPr>
            <w:tcW w:type="dxa" w:w="4880"/>
            <w:vAlign w:val="center"/>
            <w:shd w:fill="FFFFFF"/>
          </w:tcPr>
          <w:p>
            <w:pPr>
              <w:spacing w:after="20" w:before="20" w:line="264" w:lineRule="auto"/>
              <w:jc w:val="left"/>
            </w:pPr>
            <w:r>
              <w:rPr>
                <w:b w:val="0"/>
                <w:sz w:val="18"/>
              </w:rPr>
              <w:t>将碰撞、越界等 cost 与任务 reward 分开</w:t>
            </w:r>
          </w:p>
        </w:tc>
      </w:tr>
      <w:tr>
        <w:trPr>
          <w:cantSplit/>
        </w:trPr>
        <w:tc>
          <w:tcPr>
            <w:tcW w:type="dxa" w:w="1728"/>
            <w:vAlign w:val="center"/>
            <w:shd w:fill="F4F7F9"/>
          </w:tcPr>
          <w:p>
            <w:pPr>
              <w:spacing w:after="20" w:before="20" w:line="264" w:lineRule="auto"/>
              <w:jc w:val="left"/>
            </w:pPr>
            <w:r>
              <w:rPr>
                <w:b w:val="0"/>
                <w:sz w:val="18"/>
              </w:rPr>
              <w:t>Shield 或 CBF</w:t>
            </w:r>
          </w:p>
        </w:tc>
        <w:tc>
          <w:tcPr>
            <w:tcW w:type="dxa" w:w="3558"/>
            <w:vAlign w:val="center"/>
            <w:shd w:fill="F4F7F9"/>
          </w:tcPr>
          <w:p>
            <w:pPr>
              <w:spacing w:after="20" w:before="20" w:line="264" w:lineRule="auto"/>
              <w:jc w:val="left"/>
            </w:pPr>
            <w:r>
              <w:rPr>
                <w:b w:val="0"/>
                <w:sz w:val="18"/>
              </w:rPr>
              <w:t>当前动作是否需要过滤</w:t>
            </w:r>
          </w:p>
        </w:tc>
        <w:tc>
          <w:tcPr>
            <w:tcW w:type="dxa" w:w="4880"/>
            <w:vAlign w:val="center"/>
            <w:shd w:fill="F4F7F9"/>
          </w:tcPr>
          <w:p>
            <w:pPr>
              <w:spacing w:after="20" w:before="20" w:line="264" w:lineRule="auto"/>
              <w:jc w:val="left"/>
            </w:pPr>
            <w:r>
              <w:rPr>
                <w:b w:val="0"/>
                <w:sz w:val="18"/>
              </w:rPr>
              <w:t>为动作增加额外保护，依赖模型与可行性条件</w:t>
            </w:r>
          </w:p>
        </w:tc>
      </w:tr>
      <w:tr>
        <w:trPr>
          <w:cantSplit/>
        </w:trPr>
        <w:tc>
          <w:tcPr>
            <w:tcW w:type="dxa" w:w="1728"/>
            <w:vAlign w:val="center"/>
            <w:shd w:fill="FFFFFF"/>
          </w:tcPr>
          <w:p>
            <w:pPr>
              <w:spacing w:after="20" w:before="20" w:line="264" w:lineRule="auto"/>
              <w:jc w:val="left"/>
            </w:pPr>
            <w:r>
              <w:rPr>
                <w:b w:val="0"/>
                <w:sz w:val="18"/>
              </w:rPr>
              <w:t>车端推理</w:t>
            </w:r>
          </w:p>
        </w:tc>
        <w:tc>
          <w:tcPr>
            <w:tcW w:type="dxa" w:w="3558"/>
            <w:vAlign w:val="center"/>
            <w:shd w:fill="FFFFFF"/>
          </w:tcPr>
          <w:p>
            <w:pPr>
              <w:spacing w:after="20" w:before="20" w:line="264" w:lineRule="auto"/>
              <w:jc w:val="left"/>
            </w:pPr>
            <w:r>
              <w:rPr>
                <w:b w:val="0"/>
                <w:sz w:val="18"/>
              </w:rPr>
              <w:t>每周期能否稳定及时给出动作</w:t>
            </w:r>
          </w:p>
        </w:tc>
        <w:tc>
          <w:tcPr>
            <w:tcW w:type="dxa" w:w="4880"/>
            <w:vAlign w:val="center"/>
            <w:shd w:fill="FFFFFF"/>
          </w:tcPr>
          <w:p>
            <w:pPr>
              <w:spacing w:after="20" w:before="20" w:line="264" w:lineRule="auto"/>
              <w:jc w:val="left"/>
            </w:pPr>
            <w:r>
              <w:rPr>
                <w:b w:val="0"/>
                <w:sz w:val="18"/>
              </w:rPr>
              <w:t>部署 actor，或 actor 加世界模型/规划器/过滤器</w:t>
            </w:r>
          </w:p>
        </w:tc>
      </w:tr>
    </w:tbl>
    <w:p>
      <w:pPr>
        <w:spacing w:after="40" w:before="0" w:line="96" w:lineRule="auto"/>
      </w:pPr>
    </w:p>
    <w:p>
      <w:pPr>
        <w:pStyle w:val="Heading2"/>
        <w:widowControl/>
      </w:pPr>
      <w:r>
        <w:t>三个容易混淆的边界</w:t>
      </w:r>
    </w:p>
    <w:p>
      <w:pPr>
        <w:widowControl/>
      </w:pPr>
      <w:r>
        <w:t>首先，奖励里扣除碰撞分数属于惩罚式设计，并不会自动获得显式约束满足。其次，Dreamer 使用其世界模型与想象策略学习结构，不是对现有 PPO 加一个预测网络即可保持算法等价。最后，世界模型也可以只用于风险预警或候选轨迹筛选，这与在模型中训练策略是两类实验，应分别命名和比较。</w:t>
      </w:r>
      <w:hyperlink r:id="rId16">
        <w:r>
          <w:rPr>
            <w:color w:val="174C72"/>
            <w:rFonts w:ascii="Noto Sans CJK SC" w:hAnsi="Noto Sans CJK SC" w:eastAsia="Noto Sans CJK SC"/>
          </w:rPr>
          <w:t>[R11]</w:t>
        </w:r>
      </w:hyperlink>
      <w:r/>
      <w:hyperlink r:id="rId18">
        <w:r>
          <w:rPr>
            <w:color w:val="174C72"/>
            <w:rFonts w:ascii="Noto Sans CJK SC" w:hAnsi="Noto Sans CJK SC" w:eastAsia="Noto Sans CJK SC"/>
          </w:rPr>
          <w:t>[R14]</w:t>
        </w:r>
      </w:hyperlink>
      <w:r/>
      <w:hyperlink r:id="rId19">
        <w:r>
          <w:rPr>
            <w:color w:val="174C72"/>
            <w:rFonts w:ascii="Noto Sans CJK SC" w:hAnsi="Noto Sans CJK SC" w:eastAsia="Noto Sans CJK SC"/>
          </w:rPr>
          <w:t>[R25]</w:t>
        </w:r>
      </w:hyperlink>
      <w:r/>
    </w:p>
    <w:p>
      <w:pPr>
        <w:pStyle w:val="Heading2"/>
        <w:widowControl/>
      </w:pPr>
      <w:r>
        <w:t>将目标写成可检验假设</w:t>
      </w:r>
    </w:p>
    <w:p>
      <w:pPr>
        <w:widowControl/>
      </w:pPr>
      <w:r>
        <w:t>建议将核心假设写为：在预先固定的驾驶 ODD、真实环境交互预算和部署时延预算下，小世界模型提供的风险预测与显式成本约束，能够减少未见场景中的安全代价，并保持预注册的到达率与效率下限。若收益仅来自更保守停车、更多交互或更大模型，不能据此认定研究假设成立。</w:t>
      </w:r>
    </w:p>
    <w:p>
      <w:pPr>
        <w:widowControl/>
      </w:pPr>
      <w:r>
        <w:t>训练问题可表述为最大化期望累计任务奖励 J_R，同时满足每类期望累计安全成本 J_Ci ≤ d_i。需明确 horizon、折扣、单位和预算来源。期望约束、有限样本评估与现实的逐次安全是不同证据层级；研究报告应同时保留均值、尾部、最差子场景和失败回放。</w:t>
      </w:r>
      <w:hyperlink r:id="rId17">
        <w:r>
          <w:rPr>
            <w:color w:val="174C72"/>
            <w:rFonts w:ascii="Noto Sans CJK SC" w:hAnsi="Noto Sans CJK SC" w:eastAsia="Noto Sans CJK SC"/>
          </w:rPr>
          <w:t>[R16]</w:t>
        </w:r>
      </w:hyperlink>
      <w:r/>
    </w:p>
    <w:p>
      <w:pPr>
        <w:pStyle w:val="Heading1"/>
        <w:pageBreakBefore/>
        <w:widowControl/>
      </w:pPr>
      <w:r>
        <w:t>2 驾驶任务与运行设计域</w:t>
      </w:r>
    </w:p>
    <w:p>
      <w:pPr>
        <w:widowControl/>
      </w:pPr>
      <w:r>
        <w:t>运行设计域 ODD 用于限定结论适用条件。第一阶段建议使用可控仿真、结构化状态和受限动作空间，先排除感知训练与复杂车辆动力学带来的混杂。该简化能检验驾驶策略，不代表已实现原始传感器端到端自动驾驶。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0" w:type="dxa"/>
          <w:bottom w:w="85" w:type="dxa"/>
          <w:right w:w="100" w:type="dxa"/>
        </w:tblCellMar>
      </w:tblPr>
      <w:tblGrid>
        <w:gridCol w:w="1728"/>
        <w:gridCol w:w="4372"/>
        <w:gridCol w:w="4067"/>
      </w:tblGrid>
      <w:tr>
        <w:trPr>
          <w:tblHeader/>
          <w:cantSplit/>
        </w:trPr>
        <w:tc>
          <w:tcPr>
            <w:tcW w:type="dxa" w:w="1728"/>
            <w:vAlign w:val="center"/>
            <w:shd w:fill="DCE6EC"/>
          </w:tcPr>
          <w:p>
            <w:pPr>
              <w:spacing w:after="20" w:before="20" w:line="264" w:lineRule="auto"/>
              <w:jc w:val="left"/>
            </w:pPr>
            <w:r>
              <w:rPr>
                <w:b/>
                <w:sz w:val="18"/>
              </w:rPr>
              <w:t>维度</w:t>
            </w:r>
          </w:p>
        </w:tc>
        <w:tc>
          <w:tcPr>
            <w:tcW w:type="dxa" w:w="4372"/>
            <w:vAlign w:val="center"/>
            <w:shd w:fill="DCE6EC"/>
          </w:tcPr>
          <w:p>
            <w:pPr>
              <w:spacing w:after="20" w:before="20" w:line="264" w:lineRule="auto"/>
              <w:jc w:val="left"/>
            </w:pPr>
            <w:r>
              <w:rPr>
                <w:b/>
                <w:sz w:val="18"/>
              </w:rPr>
              <w:t>第一阶段建议</w:t>
            </w:r>
          </w:p>
        </w:tc>
        <w:tc>
          <w:tcPr>
            <w:tcW w:type="dxa" w:w="4067"/>
            <w:vAlign w:val="center"/>
            <w:shd w:fill="DCE6EC"/>
          </w:tcPr>
          <w:p>
            <w:pPr>
              <w:spacing w:after="20" w:before="20" w:line="264" w:lineRule="auto"/>
              <w:jc w:val="left"/>
            </w:pPr>
            <w:r>
              <w:rPr>
                <w:b/>
                <w:sz w:val="18"/>
              </w:rPr>
              <w:t>暂不外推</w:t>
            </w:r>
          </w:p>
        </w:tc>
      </w:tr>
      <w:tr>
        <w:trPr>
          <w:cantSplit/>
        </w:trPr>
        <w:tc>
          <w:tcPr>
            <w:tcW w:type="dxa" w:w="1728"/>
            <w:vAlign w:val="center"/>
            <w:shd w:fill="FFFFFF"/>
          </w:tcPr>
          <w:p>
            <w:pPr>
              <w:spacing w:after="20" w:before="20" w:line="264" w:lineRule="auto"/>
              <w:jc w:val="left"/>
            </w:pPr>
            <w:r>
              <w:rPr>
                <w:b w:val="0"/>
                <w:sz w:val="18"/>
              </w:rPr>
              <w:t>道路与交通</w:t>
            </w:r>
          </w:p>
        </w:tc>
        <w:tc>
          <w:tcPr>
            <w:tcW w:type="dxa" w:w="4372"/>
            <w:vAlign w:val="center"/>
            <w:shd w:fill="FFFFFF"/>
          </w:tcPr>
          <w:p>
            <w:pPr>
              <w:spacing w:after="20" w:before="20" w:line="264" w:lineRule="auto"/>
              <w:jc w:val="left"/>
            </w:pPr>
            <w:r>
              <w:rPr>
                <w:b w:val="0"/>
                <w:sz w:val="18"/>
              </w:rPr>
              <w:t>单车道纵向跟车，受控切入/急刹</w:t>
            </w:r>
          </w:p>
        </w:tc>
        <w:tc>
          <w:tcPr>
            <w:tcW w:type="dxa" w:w="4067"/>
            <w:vAlign w:val="center"/>
            <w:shd w:fill="FFFFFF"/>
          </w:tcPr>
          <w:p>
            <w:pPr>
              <w:spacing w:after="20" w:before="20" w:line="264" w:lineRule="auto"/>
              <w:jc w:val="left"/>
            </w:pPr>
            <w:r>
              <w:rPr>
                <w:b w:val="0"/>
                <w:sz w:val="18"/>
              </w:rPr>
              <w:t>任意都市道路、混合交通和开放世界</w:t>
            </w:r>
          </w:p>
        </w:tc>
      </w:tr>
      <w:tr>
        <w:trPr>
          <w:cantSplit/>
        </w:trPr>
        <w:tc>
          <w:tcPr>
            <w:tcW w:type="dxa" w:w="1728"/>
            <w:vAlign w:val="center"/>
            <w:shd w:fill="F4F7F9"/>
          </w:tcPr>
          <w:p>
            <w:pPr>
              <w:spacing w:after="20" w:before="20" w:line="264" w:lineRule="auto"/>
              <w:jc w:val="left"/>
            </w:pPr>
            <w:r>
              <w:rPr>
                <w:b w:val="0"/>
                <w:sz w:val="18"/>
              </w:rPr>
              <w:t>输入</w:t>
            </w:r>
          </w:p>
        </w:tc>
        <w:tc>
          <w:tcPr>
            <w:tcW w:type="dxa" w:w="4372"/>
            <w:vAlign w:val="center"/>
            <w:shd w:fill="F4F7F9"/>
          </w:tcPr>
          <w:p>
            <w:pPr>
              <w:spacing w:after="20" w:before="20" w:line="264" w:lineRule="auto"/>
              <w:jc w:val="left"/>
            </w:pPr>
            <w:r>
              <w:rPr>
                <w:b w:val="0"/>
                <w:sz w:val="18"/>
              </w:rPr>
              <w:t>自车速度、相对距离/速度、可见邻车、历史动作</w:t>
            </w:r>
          </w:p>
        </w:tc>
        <w:tc>
          <w:tcPr>
            <w:tcW w:type="dxa" w:w="4067"/>
            <w:vAlign w:val="center"/>
            <w:shd w:fill="F4F7F9"/>
          </w:tcPr>
          <w:p>
            <w:pPr>
              <w:spacing w:after="20" w:before="20" w:line="264" w:lineRule="auto"/>
              <w:jc w:val="left"/>
            </w:pPr>
            <w:r>
              <w:rPr>
                <w:b w:val="0"/>
                <w:sz w:val="18"/>
              </w:rPr>
              <w:t>完美真值到现实感知无损迁移</w:t>
            </w:r>
          </w:p>
        </w:tc>
      </w:tr>
      <w:tr>
        <w:trPr>
          <w:cantSplit/>
        </w:trPr>
        <w:tc>
          <w:tcPr>
            <w:tcW w:type="dxa" w:w="1728"/>
            <w:vAlign w:val="center"/>
            <w:shd w:fill="FFFFFF"/>
          </w:tcPr>
          <w:p>
            <w:pPr>
              <w:spacing w:after="20" w:before="20" w:line="264" w:lineRule="auto"/>
              <w:jc w:val="left"/>
            </w:pPr>
            <w:r>
              <w:rPr>
                <w:b w:val="0"/>
                <w:sz w:val="18"/>
              </w:rPr>
              <w:t>动作</w:t>
            </w:r>
          </w:p>
        </w:tc>
        <w:tc>
          <w:tcPr>
            <w:tcW w:type="dxa" w:w="4372"/>
            <w:vAlign w:val="center"/>
            <w:shd w:fill="FFFFFF"/>
          </w:tcPr>
          <w:p>
            <w:pPr>
              <w:spacing w:after="20" w:before="20" w:line="264" w:lineRule="auto"/>
              <w:jc w:val="left"/>
            </w:pPr>
            <w:r>
              <w:rPr>
                <w:b w:val="0"/>
                <w:sz w:val="18"/>
              </w:rPr>
              <w:t>纵向加速度或目标速度，统一底层执行器</w:t>
            </w:r>
          </w:p>
        </w:tc>
        <w:tc>
          <w:tcPr>
            <w:tcW w:type="dxa" w:w="4067"/>
            <w:vAlign w:val="center"/>
            <w:shd w:fill="FFFFFF"/>
          </w:tcPr>
          <w:p>
            <w:pPr>
              <w:spacing w:after="20" w:before="20" w:line="264" w:lineRule="auto"/>
              <w:jc w:val="left"/>
            </w:pPr>
            <w:r>
              <w:rPr>
                <w:b w:val="0"/>
                <w:sz w:val="18"/>
              </w:rPr>
              <w:t>同时学习油门 制动 转向全栈控制</w:t>
            </w:r>
          </w:p>
        </w:tc>
      </w:tr>
      <w:tr>
        <w:trPr>
          <w:cantSplit/>
        </w:trPr>
        <w:tc>
          <w:tcPr>
            <w:tcW w:type="dxa" w:w="1728"/>
            <w:vAlign w:val="center"/>
            <w:shd w:fill="F4F7F9"/>
          </w:tcPr>
          <w:p>
            <w:pPr>
              <w:spacing w:after="20" w:before="20" w:line="264" w:lineRule="auto"/>
              <w:jc w:val="left"/>
            </w:pPr>
            <w:r>
              <w:rPr>
                <w:b w:val="0"/>
                <w:sz w:val="18"/>
              </w:rPr>
              <w:t>环境</w:t>
            </w:r>
          </w:p>
        </w:tc>
        <w:tc>
          <w:tcPr>
            <w:tcW w:type="dxa" w:w="4372"/>
            <w:vAlign w:val="center"/>
            <w:shd w:fill="F4F7F9"/>
          </w:tcPr>
          <w:p>
            <w:pPr>
              <w:spacing w:after="20" w:before="20" w:line="264" w:lineRule="auto"/>
              <w:jc w:val="left"/>
            </w:pPr>
            <w:r>
              <w:rPr>
                <w:b w:val="0"/>
                <w:sz w:val="18"/>
              </w:rPr>
              <w:t>默认 SafeMetaDrive；已有稳定平台优先复用；HighwayEnv 仅作轻量教学/备选</w:t>
            </w:r>
          </w:p>
        </w:tc>
        <w:tc>
          <w:tcPr>
            <w:tcW w:type="dxa" w:w="4067"/>
            <w:vAlign w:val="center"/>
            <w:shd w:fill="F4F7F9"/>
          </w:tcPr>
          <w:p>
            <w:pPr>
              <w:spacing w:after="20" w:before="20" w:line="264" w:lineRule="auto"/>
              <w:jc w:val="left"/>
            </w:pPr>
            <w:r>
              <w:rPr>
                <w:b w:val="0"/>
                <w:sz w:val="18"/>
              </w:rPr>
              <w:t>换仿真器后成绩自然保持</w:t>
            </w:r>
          </w:p>
        </w:tc>
      </w:tr>
      <w:tr>
        <w:trPr>
          <w:cantSplit/>
        </w:trPr>
        <w:tc>
          <w:tcPr>
            <w:tcW w:type="dxa" w:w="1728"/>
            <w:vAlign w:val="center"/>
            <w:shd w:fill="FFFFFF"/>
          </w:tcPr>
          <w:p>
            <w:pPr>
              <w:spacing w:after="20" w:before="20" w:line="264" w:lineRule="auto"/>
              <w:jc w:val="left"/>
            </w:pPr>
            <w:r>
              <w:rPr>
                <w:b w:val="0"/>
                <w:sz w:val="18"/>
              </w:rPr>
              <w:t>扰动</w:t>
            </w:r>
          </w:p>
        </w:tc>
        <w:tc>
          <w:tcPr>
            <w:tcW w:type="dxa" w:w="4372"/>
            <w:vAlign w:val="center"/>
            <w:shd w:fill="FFFFFF"/>
          </w:tcPr>
          <w:p>
            <w:pPr>
              <w:spacing w:after="20" w:before="20" w:line="264" w:lineRule="auto"/>
              <w:jc w:val="left"/>
            </w:pPr>
            <w:r>
              <w:rPr>
                <w:b w:val="0"/>
                <w:sz w:val="18"/>
              </w:rPr>
              <w:t>可配置观测噪声、时延、制动能力变化</w:t>
            </w:r>
          </w:p>
        </w:tc>
        <w:tc>
          <w:tcPr>
            <w:tcW w:type="dxa" w:w="4067"/>
            <w:vAlign w:val="center"/>
            <w:shd w:fill="FFFFFF"/>
          </w:tcPr>
          <w:p>
            <w:pPr>
              <w:spacing w:after="20" w:before="20" w:line="264" w:lineRule="auto"/>
              <w:jc w:val="left"/>
            </w:pPr>
            <w:r>
              <w:rPr>
                <w:b w:val="0"/>
                <w:sz w:val="18"/>
              </w:rPr>
              <w:t>未建模的轮胎 极端天气 传感器失效</w:t>
            </w:r>
          </w:p>
        </w:tc>
      </w:tr>
      <w:tr>
        <w:trPr>
          <w:cantSplit/>
        </w:trPr>
        <w:tc>
          <w:tcPr>
            <w:tcW w:type="dxa" w:w="1728"/>
            <w:vAlign w:val="center"/>
            <w:shd w:fill="F4F7F9"/>
          </w:tcPr>
          <w:p>
            <w:pPr>
              <w:spacing w:after="20" w:before="20" w:line="264" w:lineRule="auto"/>
              <w:jc w:val="left"/>
            </w:pPr>
            <w:r>
              <w:rPr>
                <w:b w:val="0"/>
                <w:sz w:val="18"/>
              </w:rPr>
              <w:t>验证</w:t>
            </w:r>
          </w:p>
        </w:tc>
        <w:tc>
          <w:tcPr>
            <w:tcW w:type="dxa" w:w="4372"/>
            <w:vAlign w:val="center"/>
            <w:shd w:fill="F4F7F9"/>
          </w:tcPr>
          <w:p>
            <w:pPr>
              <w:spacing w:after="20" w:before="20" w:line="264" w:lineRule="auto"/>
              <w:jc w:val="left"/>
            </w:pPr>
            <w:r>
              <w:rPr>
                <w:b w:val="0"/>
                <w:sz w:val="18"/>
              </w:rPr>
              <w:t>ID 留出场景、OOD 扰动、稀有危险面板</w:t>
            </w:r>
          </w:p>
        </w:tc>
        <w:tc>
          <w:tcPr>
            <w:tcW w:type="dxa" w:w="4067"/>
            <w:vAlign w:val="center"/>
            <w:shd w:fill="F4F7F9"/>
          </w:tcPr>
          <w:p>
            <w:pPr>
              <w:spacing w:after="20" w:before="20" w:line="264" w:lineRule="auto"/>
              <w:jc w:val="left"/>
            </w:pPr>
            <w:r>
              <w:rPr>
                <w:b w:val="0"/>
                <w:sz w:val="18"/>
              </w:rPr>
              <w:t>模拟零碰撞等同真实道路安全</w:t>
            </w:r>
          </w:p>
        </w:tc>
      </w:tr>
    </w:tbl>
    <w:p>
      <w:pPr>
        <w:spacing w:after="40" w:before="0" w:line="96" w:lineRule="auto"/>
      </w:pPr>
    </w:p>
    <w:p>
      <w:pPr>
        <w:pStyle w:val="Heading2"/>
        <w:widowControl/>
      </w:pPr>
      <w:r>
        <w:t>为何先选跟车</w:t>
      </w:r>
    </w:p>
    <w:p>
      <w:pPr>
        <w:widowControl/>
      </w:pPr>
      <w:r>
        <w:t>跟车可把主要风险落在相对运动、制动和时间延迟上；输入、动作、安全代价及传统基线较容易解释。固定车道仍可通过切入和急刹覆盖交互突变。它适合回答小世界模型是否有价值，而不会同时承担全场景轨迹规划、地图理解和视觉表示学习。此为项目方案建议，并非声称跟车已被证明是最优研究选题。</w:t>
      </w:r>
    </w:p>
    <w:p>
      <w:pPr>
        <w:pStyle w:val="Heading2"/>
        <w:widowControl/>
      </w:pPr>
      <w:r>
        <w:t>平台选择应服务已有工作</w:t>
      </w:r>
    </w:p>
    <w:p>
      <w:pPr>
        <w:widowControl/>
      </w:pPr>
      <w:r>
        <w:t>HighwayEnv 提供可配置观测和动作，适合轻量机制验证；MetaDrive 具备向量观测、程序化道路和成本接口，作为本报告默认研究平台。ACC 任务需要显式配置/适配，不能把默认环境当现成跟车功能。若既有代码已稳定，先评估复用成本，避免为了统一文献迁移整个平台。</w:t>
      </w:r>
      <w:hyperlink r:id="rId20">
        <w:r>
          <w:rPr>
            <w:color w:val="174C72"/>
            <w:rFonts w:ascii="Noto Sans CJK SC" w:hAnsi="Noto Sans CJK SC" w:eastAsia="Noto Sans CJK SC"/>
          </w:rPr>
          <w:t>[R03]</w:t>
        </w:r>
      </w:hyperlink>
      <w:r/>
      <w:hyperlink r:id="rId21">
        <w:r>
          <w:rPr>
            <w:color w:val="174C72"/>
            <w:rFonts w:ascii="Noto Sans CJK SC" w:hAnsi="Noto Sans CJK SC" w:eastAsia="Noto Sans CJK SC"/>
          </w:rPr>
          <w:t>[R04]</w:t>
        </w:r>
      </w:hyperlink>
      <w:r/>
      <w:hyperlink r:id="rId22">
        <w:r>
          <w:rPr>
            <w:color w:val="174C72"/>
            <w:rFonts w:ascii="Noto Sans CJK SC" w:hAnsi="Noto Sans CJK SC" w:eastAsia="Noto Sans CJK SC"/>
          </w:rPr>
          <w:t>[R08]</w:t>
        </w:r>
      </w:hyperlink>
      <w:r/>
      <w:hyperlink r:id="rId23">
        <w:r>
          <w:rPr>
            <w:color w:val="174C72"/>
            <w:rFonts w:ascii="Noto Sans CJK SC" w:hAnsi="Noto Sans CJK SC" w:eastAsia="Noto Sans CJK SC"/>
          </w:rPr>
          <w:t>[R09]</w:t>
        </w:r>
      </w:hyperlink>
      <w:r/>
      <w:hyperlink r:id="rId24">
        <w:r>
          <w:rPr>
            <w:color w:val="174C72"/>
            <w:rFonts w:ascii="Noto Sans CJK SC" w:hAnsi="Noto Sans CJK SC" w:eastAsia="Noto Sans CJK SC"/>
          </w:rPr>
          <w:t>[R10]</w:t>
        </w:r>
      </w:hyperlink>
      <w:r/>
    </w:p>
    <w:p>
      <w:pPr>
        <w:widowControl/>
      </w:pPr>
      <w:r>
        <w:t>实施前冻结一份任务契约：观测字段及来源、坐标系、单位、动作裁剪、控制频率、episode 起止、碰撞事件定义、训练/测试分割、需要保留的日志。任何修改都应产生配置版本；否则“方法改进”可能只是任务定义变化。</w:t>
      </w:r>
    </w:p>
    <w:p>
      <w:pPr>
        <w:pStyle w:val="Heading1"/>
        <w:pageBreakBefore/>
        <w:widowControl/>
      </w:pPr>
      <w:r>
        <w:t>3 跟车与纵向安全应用</w:t>
      </w:r>
    </w:p>
    <w:p>
      <w:pPr>
        <w:widowControl/>
      </w:pPr>
      <w:r>
        <w:t>以下为研究应用设计，不是已经实现的产品功能。首个纵向场景同时覆盖 ACC、低速 stop-and-go、前车急刹及切入后的恢复。对静止障碍物、行人和遮挡目标的处理需另行建模与验证，不能由普通跟车表现推断。</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0" w:type="dxa"/>
          <w:bottom w:w="85" w:type="dxa"/>
          <w:right w:w="100" w:type="dxa"/>
        </w:tblCellMar>
      </w:tblPr>
      <w:tblGrid>
        <w:gridCol w:w="1830"/>
        <w:gridCol w:w="8336"/>
      </w:tblGrid>
      <w:tr>
        <w:trPr>
          <w:tblHeader/>
          <w:cantSplit/>
        </w:trPr>
        <w:tc>
          <w:tcPr>
            <w:tcW w:type="dxa" w:w="1830"/>
            <w:vAlign w:val="center"/>
            <w:shd w:fill="DCE6EC"/>
          </w:tcPr>
          <w:p>
            <w:pPr>
              <w:spacing w:after="20" w:before="20" w:line="264" w:lineRule="auto"/>
              <w:jc w:val="left"/>
            </w:pPr>
            <w:r>
              <w:rPr>
                <w:b/>
                <w:sz w:val="19"/>
              </w:rPr>
              <w:t>要素</w:t>
            </w:r>
          </w:p>
        </w:tc>
        <w:tc>
          <w:tcPr>
            <w:tcW w:type="dxa" w:w="8336"/>
            <w:vAlign w:val="center"/>
            <w:shd w:fill="DCE6EC"/>
          </w:tcPr>
          <w:p>
            <w:pPr>
              <w:spacing w:after="20" w:before="20" w:line="264" w:lineRule="auto"/>
              <w:jc w:val="left"/>
            </w:pPr>
            <w:r>
              <w:rPr>
                <w:b/>
                <w:sz w:val="19"/>
              </w:rPr>
              <w:t>研究实现建议</w:t>
            </w:r>
          </w:p>
        </w:tc>
      </w:tr>
      <w:tr>
        <w:trPr>
          <w:cantSplit/>
        </w:trPr>
        <w:tc>
          <w:tcPr>
            <w:tcW w:type="dxa" w:w="1830"/>
            <w:vAlign w:val="center"/>
            <w:shd w:fill="FFFFFF"/>
          </w:tcPr>
          <w:p>
            <w:pPr>
              <w:spacing w:after="20" w:before="20" w:line="264" w:lineRule="auto"/>
              <w:jc w:val="left"/>
            </w:pPr>
            <w:r>
              <w:rPr>
                <w:b w:val="0"/>
                <w:sz w:val="19"/>
              </w:rPr>
              <w:t>输入</w:t>
            </w:r>
          </w:p>
        </w:tc>
        <w:tc>
          <w:tcPr>
            <w:tcW w:type="dxa" w:w="8336"/>
            <w:vAlign w:val="center"/>
            <w:shd w:fill="FFFFFF"/>
          </w:tcPr>
          <w:p>
            <w:pPr>
              <w:spacing w:after="20" w:before="20" w:line="264" w:lineRule="auto"/>
              <w:jc w:val="left"/>
            </w:pPr>
            <w:r>
              <w:rPr>
                <w:b w:val="0"/>
                <w:sz w:val="19"/>
              </w:rPr>
              <w:t>自车速度/加速度、前车相对距离与速度、目标速度、上一步动作、有效观测标记；短历史用于时延或部分可观测性</w:t>
            </w:r>
          </w:p>
        </w:tc>
      </w:tr>
      <w:tr>
        <w:trPr>
          <w:cantSplit/>
        </w:trPr>
        <w:tc>
          <w:tcPr>
            <w:tcW w:type="dxa" w:w="1830"/>
            <w:vAlign w:val="center"/>
            <w:shd w:fill="F4F7F9"/>
          </w:tcPr>
          <w:p>
            <w:pPr>
              <w:spacing w:after="20" w:before="20" w:line="264" w:lineRule="auto"/>
              <w:jc w:val="left"/>
            </w:pPr>
            <w:r>
              <w:rPr>
                <w:b w:val="0"/>
                <w:sz w:val="19"/>
              </w:rPr>
              <w:t>动作</w:t>
            </w:r>
          </w:p>
        </w:tc>
        <w:tc>
          <w:tcPr>
            <w:tcW w:type="dxa" w:w="8336"/>
            <w:vAlign w:val="center"/>
            <w:shd w:fill="F4F7F9"/>
          </w:tcPr>
          <w:p>
            <w:pPr>
              <w:spacing w:after="20" w:before="20" w:line="264" w:lineRule="auto"/>
              <w:jc w:val="left"/>
            </w:pPr>
            <w:r>
              <w:rPr>
                <w:b w:val="0"/>
                <w:sz w:val="19"/>
              </w:rPr>
              <w:t>先用受限纵向加速度或目标速度；明确动作保持时间、执行延迟、制动饱和和低速停车逻辑</w:t>
            </w:r>
          </w:p>
        </w:tc>
      </w:tr>
      <w:tr>
        <w:trPr>
          <w:cantSplit/>
        </w:trPr>
        <w:tc>
          <w:tcPr>
            <w:tcW w:type="dxa" w:w="1830"/>
            <w:vAlign w:val="center"/>
            <w:shd w:fill="FFFFFF"/>
          </w:tcPr>
          <w:p>
            <w:pPr>
              <w:spacing w:after="20" w:before="20" w:line="264" w:lineRule="auto"/>
              <w:jc w:val="left"/>
            </w:pPr>
            <w:r>
              <w:rPr>
                <w:b w:val="0"/>
                <w:sz w:val="19"/>
              </w:rPr>
              <w:t>模型预测</w:t>
            </w:r>
          </w:p>
        </w:tc>
        <w:tc>
          <w:tcPr>
            <w:tcW w:type="dxa" w:w="8336"/>
            <w:vAlign w:val="center"/>
            <w:shd w:fill="FFFFFF"/>
          </w:tcPr>
          <w:p>
            <w:pPr>
              <w:spacing w:after="20" w:before="20" w:line="264" w:lineRule="auto"/>
              <w:jc w:val="left"/>
            </w:pPr>
            <w:r>
              <w:rPr>
                <w:b w:val="0"/>
                <w:sz w:val="19"/>
              </w:rPr>
              <w:t>自车与前车短期相对运动、目标切换、制动响应、碰撞/危险接近风险；先输出状态与风险，不需要生成视频</w:t>
            </w:r>
          </w:p>
        </w:tc>
      </w:tr>
      <w:tr>
        <w:trPr>
          <w:cantSplit/>
        </w:trPr>
        <w:tc>
          <w:tcPr>
            <w:tcW w:type="dxa" w:w="1830"/>
            <w:vAlign w:val="center"/>
            <w:shd w:fill="F4F7F9"/>
          </w:tcPr>
          <w:p>
            <w:pPr>
              <w:spacing w:after="20" w:before="20" w:line="264" w:lineRule="auto"/>
              <w:jc w:val="left"/>
            </w:pPr>
            <w:r>
              <w:rPr>
                <w:b w:val="0"/>
                <w:sz w:val="19"/>
              </w:rPr>
              <w:t>安全 cost</w:t>
            </w:r>
          </w:p>
        </w:tc>
        <w:tc>
          <w:tcPr>
            <w:tcW w:type="dxa" w:w="8336"/>
            <w:vAlign w:val="center"/>
            <w:shd w:fill="F4F7F9"/>
          </w:tcPr>
          <w:p>
            <w:pPr>
              <w:spacing w:after="20" w:before="20" w:line="264" w:lineRule="auto"/>
              <w:jc w:val="left"/>
            </w:pPr>
            <w:r>
              <w:rPr>
                <w:b w:val="0"/>
                <w:sz w:val="19"/>
              </w:rPr>
              <w:t>碰撞事件独立计数；危险时距/低 TTC 暴露作辅助；加速度与 jerk 作舒适度指标或单列约束</w:t>
            </w:r>
          </w:p>
        </w:tc>
      </w:tr>
      <w:tr>
        <w:trPr>
          <w:cantSplit/>
        </w:trPr>
        <w:tc>
          <w:tcPr>
            <w:tcW w:type="dxa" w:w="1830"/>
            <w:vAlign w:val="center"/>
            <w:shd w:fill="FFFFFF"/>
          </w:tcPr>
          <w:p>
            <w:pPr>
              <w:spacing w:after="20" w:before="20" w:line="264" w:lineRule="auto"/>
              <w:jc w:val="left"/>
            </w:pPr>
            <w:r>
              <w:rPr>
                <w:b w:val="0"/>
                <w:sz w:val="19"/>
              </w:rPr>
              <w:t>非学习基线</w:t>
            </w:r>
          </w:p>
        </w:tc>
        <w:tc>
          <w:tcPr>
            <w:tcW w:type="dxa" w:w="8336"/>
            <w:vAlign w:val="center"/>
            <w:shd w:fill="FFFFFF"/>
          </w:tcPr>
          <w:p>
            <w:pPr>
              <w:spacing w:after="20" w:before="20" w:line="264" w:lineRule="auto"/>
              <w:jc w:val="left"/>
            </w:pPr>
            <w:r>
              <w:rPr>
                <w:b w:val="0"/>
                <w:sz w:val="19"/>
              </w:rPr>
              <w:t>IDM；项目已有 ACC/PID 或有限视野 MPC；所有方法使用相同观测与执行器限制</w:t>
            </w:r>
          </w:p>
        </w:tc>
      </w:tr>
      <w:tr>
        <w:trPr>
          <w:cantSplit/>
        </w:trPr>
        <w:tc>
          <w:tcPr>
            <w:tcW w:type="dxa" w:w="1830"/>
            <w:vAlign w:val="center"/>
            <w:shd w:fill="F4F7F9"/>
          </w:tcPr>
          <w:p>
            <w:pPr>
              <w:spacing w:after="20" w:before="20" w:line="264" w:lineRule="auto"/>
              <w:jc w:val="left"/>
            </w:pPr>
            <w:r>
              <w:rPr>
                <w:b w:val="0"/>
                <w:sz w:val="19"/>
              </w:rPr>
              <w:t>评测</w:t>
            </w:r>
          </w:p>
        </w:tc>
        <w:tc>
          <w:tcPr>
            <w:tcW w:type="dxa" w:w="8336"/>
            <w:vAlign w:val="center"/>
            <w:shd w:fill="F4F7F9"/>
          </w:tcPr>
          <w:p>
            <w:pPr>
              <w:spacing w:after="20" w:before="20" w:line="264" w:lineRule="auto"/>
              <w:jc w:val="left"/>
            </w:pPr>
            <w:r>
              <w:rPr>
                <w:b w:val="0"/>
                <w:sz w:val="19"/>
              </w:rPr>
              <w:t>匀速跟随、前车启停、不同制动强度、近距离切入、目标突然消失、噪声与观测/执行延迟</w:t>
            </w:r>
          </w:p>
        </w:tc>
      </w:tr>
    </w:tbl>
    <w:p>
      <w:pPr>
        <w:spacing w:after="40" w:before="0" w:line="96" w:lineRule="auto"/>
      </w:pPr>
    </w:p>
    <w:p>
      <w:pPr>
        <w:widowControl/>
      </w:pPr>
      <w:r>
        <w:t>IDM 的跟车加速度取决于速度、期望速度、距离和相对速度，适合作为可解释参照。它在简化仿真中的实现与真实车辆 ACC 软件存在边界，不能把“优于 IDM”表述为“优于量产 ACC”。</w:t>
      </w:r>
      <w:hyperlink r:id="rId22">
        <w:r>
          <w:rPr>
            <w:color w:val="174C72"/>
            <w:rFonts w:ascii="Noto Sans CJK SC" w:hAnsi="Noto Sans CJK SC" w:eastAsia="Noto Sans CJK SC"/>
          </w:rPr>
          <w:t>[R08]</w:t>
        </w:r>
      </w:hyperlink>
      <w:r/>
    </w:p>
    <w:p>
      <w:pPr>
        <w:pStyle w:val="Heading2"/>
        <w:widowControl/>
      </w:pPr>
      <w:r>
        <w:t>世界模型能带来的具体价值</w:t>
      </w:r>
    </w:p>
    <w:p>
      <w:pPr>
        <w:widowControl/>
      </w:pPr>
      <w:r>
        <w:t>模型可以帮助比较“现在制动”与“再等待一个周期”的未来风险；在前车行为不确定时，可比较多种候选演化而非只预测均值。研究重点应放在危险事件漏报、短期风险校准与控制后果，而不仅是下一步位置均方误差。平均预测很准确的模型仍可能漏掉少量强制动事件。</w:t>
      </w:r>
    </w:p>
    <w:p>
      <w:pPr>
        <w:pStyle w:val="Heading2"/>
        <w:widowControl/>
      </w:pPr>
      <w:r>
        <w:t>部署边界</w:t>
      </w:r>
    </w:p>
    <w:p>
      <w:pPr>
        <w:widowControl/>
      </w:pPr>
      <w:r>
        <w:t>训练可以使用仿真真值产生监督标签，但部署 actor 或风险模型只能使用定义好的在线输入。若训练时借助未来前车轨迹或隐藏意图，应标记为教师信息，不能混入学生推理接口。紧急制动和停车回退必须由独立工程流程评估；本研究不能替代 AEB 的系统级验证。</w:t>
      </w:r>
    </w:p>
    <w:p>
      <w:pPr>
        <w:pStyle w:val="Heading1"/>
        <w:pageBreakBefore/>
        <w:widowControl/>
      </w:pPr>
      <w:r>
        <w:t>4 换道 汇入与路口应用</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0" w:type="dxa"/>
          <w:bottom w:w="85" w:type="dxa"/>
          <w:right w:w="100" w:type="dxa"/>
        </w:tblCellMar>
      </w:tblPr>
      <w:tblGrid>
        <w:gridCol w:w="1423"/>
        <w:gridCol w:w="2745"/>
        <w:gridCol w:w="3050"/>
        <w:gridCol w:w="2948"/>
      </w:tblGrid>
      <w:tr>
        <w:trPr>
          <w:tblHeader/>
          <w:cantSplit/>
        </w:trPr>
        <w:tc>
          <w:tcPr>
            <w:tcW w:type="dxa" w:w="1423"/>
            <w:vAlign w:val="center"/>
            <w:shd w:fill="DCE6EC"/>
          </w:tcPr>
          <w:p>
            <w:pPr>
              <w:spacing w:after="20" w:before="20" w:line="264" w:lineRule="auto"/>
              <w:jc w:val="left"/>
            </w:pPr>
            <w:r>
              <w:rPr>
                <w:b/>
                <w:sz w:val="18"/>
              </w:rPr>
              <w:t>应用</w:t>
            </w:r>
          </w:p>
        </w:tc>
        <w:tc>
          <w:tcPr>
            <w:tcW w:type="dxa" w:w="2745"/>
            <w:vAlign w:val="center"/>
            <w:shd w:fill="DCE6EC"/>
          </w:tcPr>
          <w:p>
            <w:pPr>
              <w:spacing w:after="20" w:before="20" w:line="264" w:lineRule="auto"/>
              <w:jc w:val="left"/>
            </w:pPr>
            <w:r>
              <w:rPr>
                <w:b/>
                <w:sz w:val="18"/>
              </w:rPr>
              <w:t>输入与动作</w:t>
            </w:r>
          </w:p>
        </w:tc>
        <w:tc>
          <w:tcPr>
            <w:tcW w:type="dxa" w:w="3050"/>
            <w:vAlign w:val="center"/>
            <w:shd w:fill="DCE6EC"/>
          </w:tcPr>
          <w:p>
            <w:pPr>
              <w:spacing w:after="20" w:before="20" w:line="264" w:lineRule="auto"/>
              <w:jc w:val="left"/>
            </w:pPr>
            <w:r>
              <w:rPr>
                <w:b/>
                <w:sz w:val="18"/>
              </w:rPr>
              <w:t>模型与 cost</w:t>
            </w:r>
          </w:p>
        </w:tc>
        <w:tc>
          <w:tcPr>
            <w:tcW w:type="dxa" w:w="2948"/>
            <w:vAlign w:val="center"/>
            <w:shd w:fill="DCE6EC"/>
          </w:tcPr>
          <w:p>
            <w:pPr>
              <w:spacing w:after="20" w:before="20" w:line="264" w:lineRule="auto"/>
              <w:jc w:val="left"/>
            </w:pPr>
            <w:r>
              <w:rPr>
                <w:b/>
                <w:sz w:val="18"/>
              </w:rPr>
              <w:t>基线及场景</w:t>
            </w:r>
          </w:p>
        </w:tc>
      </w:tr>
      <w:tr>
        <w:trPr>
          <w:cantSplit/>
        </w:trPr>
        <w:tc>
          <w:tcPr>
            <w:tcW w:type="dxa" w:w="1423"/>
            <w:vAlign w:val="center"/>
            <w:shd w:fill="FFFFFF"/>
          </w:tcPr>
          <w:p>
            <w:pPr>
              <w:spacing w:after="20" w:before="20" w:line="264" w:lineRule="auto"/>
              <w:jc w:val="left"/>
            </w:pPr>
            <w:r>
              <w:rPr>
                <w:b w:val="0"/>
                <w:sz w:val="18"/>
              </w:rPr>
              <w:t>换道</w:t>
            </w:r>
          </w:p>
        </w:tc>
        <w:tc>
          <w:tcPr>
            <w:tcW w:type="dxa" w:w="2745"/>
            <w:vAlign w:val="center"/>
            <w:shd w:fill="FFFFFF"/>
          </w:tcPr>
          <w:p>
            <w:pPr>
              <w:spacing w:after="20" w:before="20" w:line="264" w:lineRule="auto"/>
              <w:jc w:val="left"/>
            </w:pPr>
            <w:r>
              <w:rPr>
                <w:b w:val="0"/>
                <w:sz w:val="18"/>
              </w:rPr>
              <w:t>车道几何、前后车状态；车道决策或候选轨迹选择</w:t>
            </w:r>
          </w:p>
        </w:tc>
        <w:tc>
          <w:tcPr>
            <w:tcW w:type="dxa" w:w="3050"/>
            <w:vAlign w:val="center"/>
            <w:shd w:fill="FFFFFF"/>
          </w:tcPr>
          <w:p>
            <w:pPr>
              <w:spacing w:after="20" w:before="20" w:line="264" w:lineRule="auto"/>
              <w:jc w:val="left"/>
            </w:pPr>
            <w:r>
              <w:rPr>
                <w:b w:val="0"/>
                <w:sz w:val="18"/>
              </w:rPr>
              <w:t>预测目标车道空隙和后车响应；碰撞、越界、强迫他车急刹</w:t>
            </w:r>
          </w:p>
        </w:tc>
        <w:tc>
          <w:tcPr>
            <w:tcW w:type="dxa" w:w="2948"/>
            <w:vAlign w:val="center"/>
            <w:shd w:fill="FFFFFF"/>
          </w:tcPr>
          <w:p>
            <w:pPr>
              <w:spacing w:after="20" w:before="20" w:line="264" w:lineRule="auto"/>
              <w:jc w:val="left"/>
            </w:pPr>
            <w:r>
              <w:rPr>
                <w:b w:val="0"/>
                <w:sz w:val="18"/>
              </w:rPr>
              <w:t>MOBIL 加底层控制；拥堵、后车高速接近、连续换道</w:t>
            </w:r>
          </w:p>
        </w:tc>
      </w:tr>
      <w:tr>
        <w:trPr>
          <w:cantSplit/>
        </w:trPr>
        <w:tc>
          <w:tcPr>
            <w:tcW w:type="dxa" w:w="1423"/>
            <w:vAlign w:val="center"/>
            <w:shd w:fill="F4F7F9"/>
          </w:tcPr>
          <w:p>
            <w:pPr>
              <w:spacing w:after="20" w:before="20" w:line="264" w:lineRule="auto"/>
              <w:jc w:val="left"/>
            </w:pPr>
            <w:r>
              <w:rPr>
                <w:b w:val="0"/>
                <w:sz w:val="18"/>
              </w:rPr>
              <w:t>匝道汇入</w:t>
            </w:r>
          </w:p>
        </w:tc>
        <w:tc>
          <w:tcPr>
            <w:tcW w:type="dxa" w:w="2745"/>
            <w:vAlign w:val="center"/>
            <w:shd w:fill="F4F7F9"/>
          </w:tcPr>
          <w:p>
            <w:pPr>
              <w:spacing w:after="20" w:before="20" w:line="264" w:lineRule="auto"/>
              <w:jc w:val="left"/>
            </w:pPr>
            <w:r>
              <w:rPr>
                <w:b w:val="0"/>
                <w:sz w:val="18"/>
              </w:rPr>
              <w:t>主路/匝道相对位置、可见车辆及剩余距离；让行或加速汇入</w:t>
            </w:r>
          </w:p>
        </w:tc>
        <w:tc>
          <w:tcPr>
            <w:tcW w:type="dxa" w:w="3050"/>
            <w:vAlign w:val="center"/>
            <w:shd w:fill="F4F7F9"/>
          </w:tcPr>
          <w:p>
            <w:pPr>
              <w:spacing w:after="20" w:before="20" w:line="264" w:lineRule="auto"/>
              <w:jc w:val="left"/>
            </w:pPr>
            <w:r>
              <w:rPr>
                <w:b w:val="0"/>
                <w:sz w:val="18"/>
              </w:rPr>
              <w:t>预测可接受间隙及交互；碰撞、驶出边界、汇入超时</w:t>
            </w:r>
          </w:p>
        </w:tc>
        <w:tc>
          <w:tcPr>
            <w:tcW w:type="dxa" w:w="2948"/>
            <w:vAlign w:val="center"/>
            <w:shd w:fill="F4F7F9"/>
          </w:tcPr>
          <w:p>
            <w:pPr>
              <w:spacing w:after="20" w:before="20" w:line="264" w:lineRule="auto"/>
              <w:jc w:val="left"/>
            </w:pPr>
            <w:r>
              <w:rPr>
                <w:b w:val="0"/>
                <w:sz w:val="18"/>
              </w:rPr>
              <w:t>规则间隙接受或 MPC；密集车流、主路不让行、路端收窄</w:t>
            </w:r>
          </w:p>
        </w:tc>
      </w:tr>
      <w:tr>
        <w:trPr>
          <w:cantSplit/>
        </w:trPr>
        <w:tc>
          <w:tcPr>
            <w:tcW w:type="dxa" w:w="1423"/>
            <w:vAlign w:val="center"/>
            <w:shd w:fill="FFFFFF"/>
          </w:tcPr>
          <w:p>
            <w:pPr>
              <w:spacing w:after="20" w:before="20" w:line="264" w:lineRule="auto"/>
              <w:jc w:val="left"/>
            </w:pPr>
            <w:r>
              <w:rPr>
                <w:b w:val="0"/>
                <w:sz w:val="18"/>
              </w:rPr>
              <w:t>无保护路口</w:t>
            </w:r>
          </w:p>
        </w:tc>
        <w:tc>
          <w:tcPr>
            <w:tcW w:type="dxa" w:w="2745"/>
            <w:vAlign w:val="center"/>
            <w:shd w:fill="FFFFFF"/>
          </w:tcPr>
          <w:p>
            <w:pPr>
              <w:spacing w:after="20" w:before="20" w:line="264" w:lineRule="auto"/>
              <w:jc w:val="left"/>
            </w:pPr>
            <w:r>
              <w:rPr>
                <w:b w:val="0"/>
                <w:sz w:val="18"/>
              </w:rPr>
              <w:t>路口拓扑、优先权、可见冲突对象；通行/等待或轨迹</w:t>
            </w:r>
          </w:p>
        </w:tc>
        <w:tc>
          <w:tcPr>
            <w:tcW w:type="dxa" w:w="3050"/>
            <w:vAlign w:val="center"/>
            <w:shd w:fill="FFFFFF"/>
          </w:tcPr>
          <w:p>
            <w:pPr>
              <w:spacing w:after="20" w:before="20" w:line="264" w:lineRule="auto"/>
              <w:jc w:val="left"/>
            </w:pPr>
            <w:r>
              <w:rPr>
                <w:b w:val="0"/>
                <w:sz w:val="18"/>
              </w:rPr>
              <w:t>预测占用冲突区时间；碰撞、让行/信号违规、占道停滞</w:t>
            </w:r>
          </w:p>
        </w:tc>
        <w:tc>
          <w:tcPr>
            <w:tcW w:type="dxa" w:w="2948"/>
            <w:vAlign w:val="center"/>
            <w:shd w:fill="FFFFFF"/>
          </w:tcPr>
          <w:p>
            <w:pPr>
              <w:spacing w:after="20" w:before="20" w:line="264" w:lineRule="auto"/>
              <w:jc w:val="left"/>
            </w:pPr>
            <w:r>
              <w:rPr>
                <w:b w:val="0"/>
                <w:sz w:val="18"/>
              </w:rPr>
              <w:t>优先权规则与轨迹规划器；遮挡、交叉来车、复杂让行</w:t>
            </w:r>
          </w:p>
        </w:tc>
      </w:tr>
      <w:tr>
        <w:trPr>
          <w:cantSplit/>
        </w:trPr>
        <w:tc>
          <w:tcPr>
            <w:tcW w:type="dxa" w:w="1423"/>
            <w:vAlign w:val="center"/>
            <w:shd w:fill="F4F7F9"/>
          </w:tcPr>
          <w:p>
            <w:pPr>
              <w:spacing w:after="20" w:before="20" w:line="264" w:lineRule="auto"/>
              <w:jc w:val="left"/>
            </w:pPr>
            <w:r>
              <w:rPr>
                <w:b w:val="0"/>
                <w:sz w:val="18"/>
              </w:rPr>
              <w:t>主动避碰</w:t>
            </w:r>
          </w:p>
        </w:tc>
        <w:tc>
          <w:tcPr>
            <w:tcW w:type="dxa" w:w="2745"/>
            <w:vAlign w:val="center"/>
            <w:shd w:fill="F4F7F9"/>
          </w:tcPr>
          <w:p>
            <w:pPr>
              <w:spacing w:after="20" w:before="20" w:line="264" w:lineRule="auto"/>
              <w:jc w:val="left"/>
            </w:pPr>
            <w:r>
              <w:rPr>
                <w:b w:val="0"/>
                <w:sz w:val="18"/>
              </w:rPr>
              <w:t>障碍相对状态、可行驶区域与动力学边界；制动/转向候选</w:t>
            </w:r>
          </w:p>
        </w:tc>
        <w:tc>
          <w:tcPr>
            <w:tcW w:type="dxa" w:w="3050"/>
            <w:vAlign w:val="center"/>
            <w:shd w:fill="F4F7F9"/>
          </w:tcPr>
          <w:p>
            <w:pPr>
              <w:spacing w:after="20" w:before="20" w:line="264" w:lineRule="auto"/>
              <w:jc w:val="left"/>
            </w:pPr>
            <w:r>
              <w:rPr>
                <w:b w:val="0"/>
                <w:sz w:val="18"/>
              </w:rPr>
              <w:t>预测可达空间和风险；碰撞、驶离道路、不可控动作</w:t>
            </w:r>
          </w:p>
        </w:tc>
        <w:tc>
          <w:tcPr>
            <w:tcW w:type="dxa" w:w="2948"/>
            <w:vAlign w:val="center"/>
            <w:shd w:fill="F4F7F9"/>
          </w:tcPr>
          <w:p>
            <w:pPr>
              <w:spacing w:after="20" w:before="20" w:line="264" w:lineRule="auto"/>
              <w:jc w:val="left"/>
            </w:pPr>
            <w:r>
              <w:rPr>
                <w:b w:val="0"/>
                <w:sz w:val="18"/>
              </w:rPr>
              <w:t>制动阈值与约束 MPC；近距离障碍、低附着、控制饱和</w:t>
            </w:r>
          </w:p>
        </w:tc>
      </w:tr>
    </w:tbl>
    <w:p>
      <w:pPr>
        <w:spacing w:after="40" w:before="0" w:line="96" w:lineRule="auto"/>
      </w:pPr>
    </w:p>
    <w:p>
      <w:pPr>
        <w:widowControl/>
      </w:pPr>
      <w:r>
        <w:t>HighwayEnv 有 Merge、Intersection 等简化任务，但任务名称不等于所需车辆角色：Merge 的常见设置中自车在主路为匝道车辆让出空间；若研究自车汇入，需检查并修改场景。Intersection 的默认动作也主要控制纵向。移植到 SafeMetaDrive 或 CARLA 时应核对交通行为、规则和终止条件。</w:t>
      </w:r>
      <w:hyperlink r:id="rId23">
        <w:r>
          <w:rPr>
            <w:color w:val="174C72"/>
            <w:rFonts w:ascii="Noto Sans CJK SC" w:hAnsi="Noto Sans CJK SC" w:eastAsia="Noto Sans CJK SC"/>
          </w:rPr>
          <w:t>[R09]</w:t>
        </w:r>
      </w:hyperlink>
      <w:r/>
      <w:hyperlink r:id="rId24">
        <w:r>
          <w:rPr>
            <w:color w:val="174C72"/>
            <w:rFonts w:ascii="Noto Sans CJK SC" w:hAnsi="Noto Sans CJK SC" w:eastAsia="Noto Sans CJK SC"/>
          </w:rPr>
          <w:t>[R10]</w:t>
        </w:r>
      </w:hyperlink>
      <w:r/>
      <w:hyperlink r:id="rId25">
        <w:r>
          <w:rPr>
            <w:color w:val="174C72"/>
            <w:rFonts w:ascii="Noto Sans CJK SC" w:hAnsi="Noto Sans CJK SC" w:eastAsia="Noto Sans CJK SC"/>
          </w:rPr>
          <w:t>[R56]</w:t>
        </w:r>
      </w:hyperlink>
      <w:r/>
    </w:p>
    <w:p>
      <w:pPr>
        <w:pStyle w:val="Heading2"/>
        <w:widowControl/>
      </w:pPr>
      <w:r>
        <w:t>为什么这些适合作为扩展</w:t>
      </w:r>
    </w:p>
    <w:p>
      <w:pPr>
        <w:widowControl/>
      </w:pPr>
      <w:r>
        <w:t>换道与汇入增加了对他车反应的建模需求，单一平均轨迹容易掩盖“让行”和“不让行”两种未来。路口又增加优先权、遮挡和横向冲突，安全标注难度明显提高。应在纵向任务通过后，每次扩展一种交互与一类风险，而非把所有应用压进同一个未验证的 reward。</w:t>
      </w:r>
    </w:p>
    <w:p>
      <w:pPr>
        <w:pStyle w:val="Heading2"/>
        <w:widowControl/>
      </w:pPr>
      <w:r>
        <w:t>必须保留的分项证据</w:t>
      </w:r>
    </w:p>
    <w:p>
      <w:pPr>
        <w:widowControl/>
      </w:pPr>
      <w:r>
        <w:t>每类应用报告成功率、安全代价、通行效率、最差子场景以及过滤器干预。对于换道还需观察被影响车辆的强制动；对于汇入需观察是否长期停在末端；对于路口需观察是否通过永久等待获取低碰撞分。规则违规只有在环境判定器可靠实现后才能报告，未覆盖项应保持未覆盖。</w:t>
      </w:r>
    </w:p>
    <w:p>
      <w:pPr>
        <w:widowControl/>
      </w:pPr>
      <w:r>
        <w:t>应用扩展不要求同时新增算法。默认仍沿用第 10 节的一条小 RSSM 主线，在相同任务上诊断失败后，再判断是否需要集合、多模态预测或其他模型。显式动力学网络可作备选机制实验，不纳入本阶段并行承诺。</w:t>
      </w:r>
    </w:p>
    <w:p>
      <w:pPr>
        <w:pStyle w:val="Heading1"/>
        <w:pageBreakBefore/>
        <w:widowControl/>
      </w:pPr>
      <w:r>
        <w:t>5 泊车与车载软件中的位置</w:t>
      </w:r>
    </w:p>
    <w:p>
      <w:pPr>
        <w:pStyle w:val="Heading2"/>
        <w:widowControl/>
      </w:pPr>
      <w:r>
        <w:t>泊车作为独立可选分支</w:t>
      </w:r>
    </w:p>
    <w:p>
      <w:pPr>
        <w:widowControl/>
      </w:pPr>
      <w:r>
        <w:t>泊车的低速、目标姿态和几何碰撞使其便于构建小规模研究，但它与高速交互驾驶的分布差异很大。输入可为相对车位目标、车身姿态、局部占用/障碍和转向状态；动作可为速度与转向；世界模型关注低速运动学、转向滞后及几何占用。cost 应分离碰撞、越界和不合理频繁换挡，效率同时统计入位成功、姿态误差、时间与路径长度。</w:t>
      </w:r>
    </w:p>
    <w:p>
      <w:pPr>
        <w:widowControl/>
      </w:pPr>
      <w:r>
        <w:t>建议与 Hybrid A* 或既有几何规划加轨迹跟踪方案比较，而不是只与另一个 RL 方法比较。首批场景为垂直/侧方、窄车位、初始姿态扰动和观测误差；行人、动态障碍与坡道应单列后续范围。HighwayEnv 提供 goal-conditioned Parking 环境，但完成该任务不能直接推断真实车辆自动泊车能力。</w:t>
      </w:r>
      <w:hyperlink r:id="rId23">
        <w:r>
          <w:rPr>
            <w:color w:val="174C72"/>
            <w:rFonts w:ascii="Noto Sans CJK SC" w:hAnsi="Noto Sans CJK SC" w:eastAsia="Noto Sans CJK SC"/>
          </w:rPr>
          <w:t>[R09]</w:t>
        </w:r>
      </w:hyperlink>
      <w:r/>
    </w:p>
    <w:p>
      <w:pPr>
        <w:pStyle w:val="Heading2"/>
        <w:widowControl/>
      </w:pPr>
      <w:r>
        <w:t>三种车载结合方式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0" w:type="dxa"/>
          <w:bottom w:w="85" w:type="dxa"/>
          <w:right w:w="100" w:type="dxa"/>
        </w:tblCellMar>
      </w:tblPr>
      <w:tblGrid>
        <w:gridCol w:w="1932"/>
        <w:gridCol w:w="2948"/>
        <w:gridCol w:w="2847"/>
        <w:gridCol w:w="2440"/>
      </w:tblGrid>
      <w:tr>
        <w:trPr>
          <w:tblHeader/>
          <w:cantSplit/>
        </w:trPr>
        <w:tc>
          <w:tcPr>
            <w:tcW w:type="dxa" w:w="1932"/>
            <w:vAlign w:val="center"/>
            <w:shd w:fill="DCE6EC"/>
          </w:tcPr>
          <w:p>
            <w:pPr>
              <w:spacing w:after="20" w:before="20" w:line="264" w:lineRule="auto"/>
              <w:jc w:val="left"/>
            </w:pPr>
            <w:r>
              <w:rPr>
                <w:b/>
                <w:sz w:val="18"/>
              </w:rPr>
              <w:t>架构</w:t>
            </w:r>
          </w:p>
        </w:tc>
        <w:tc>
          <w:tcPr>
            <w:tcW w:type="dxa" w:w="2948"/>
            <w:vAlign w:val="center"/>
            <w:shd w:fill="DCE6EC"/>
          </w:tcPr>
          <w:p>
            <w:pPr>
              <w:spacing w:after="20" w:before="20" w:line="264" w:lineRule="auto"/>
              <w:jc w:val="left"/>
            </w:pPr>
            <w:r>
              <w:rPr>
                <w:b/>
                <w:sz w:val="18"/>
              </w:rPr>
              <w:t>车端实际运行组件</w:t>
            </w:r>
          </w:p>
        </w:tc>
        <w:tc>
          <w:tcPr>
            <w:tcW w:type="dxa" w:w="2847"/>
            <w:vAlign w:val="center"/>
            <w:shd w:fill="DCE6EC"/>
          </w:tcPr>
          <w:p>
            <w:pPr>
              <w:spacing w:after="20" w:before="20" w:line="264" w:lineRule="auto"/>
              <w:jc w:val="left"/>
            </w:pPr>
            <w:r>
              <w:rPr>
                <w:b/>
                <w:sz w:val="18"/>
              </w:rPr>
              <w:t>适合检验的问题</w:t>
            </w:r>
          </w:p>
        </w:tc>
        <w:tc>
          <w:tcPr>
            <w:tcW w:type="dxa" w:w="2440"/>
            <w:vAlign w:val="center"/>
            <w:shd w:fill="DCE6EC"/>
          </w:tcPr>
          <w:p>
            <w:pPr>
              <w:spacing w:after="20" w:before="20" w:line="264" w:lineRule="auto"/>
              <w:jc w:val="left"/>
            </w:pPr>
            <w:r>
              <w:rPr>
                <w:b/>
                <w:sz w:val="18"/>
              </w:rPr>
              <w:t>主要代价</w:t>
            </w:r>
          </w:p>
        </w:tc>
      </w:tr>
      <w:tr>
        <w:trPr>
          <w:cantSplit/>
        </w:trPr>
        <w:tc>
          <w:tcPr>
            <w:tcW w:type="dxa" w:w="1932"/>
            <w:vAlign w:val="center"/>
            <w:shd w:fill="FFFFFF"/>
          </w:tcPr>
          <w:p>
            <w:pPr>
              <w:spacing w:after="20" w:before="20" w:line="264" w:lineRule="auto"/>
              <w:jc w:val="left"/>
            </w:pPr>
            <w:r>
              <w:rPr>
                <w:b w:val="0"/>
                <w:sz w:val="18"/>
              </w:rPr>
              <w:t>训练期世界模型</w:t>
            </w:r>
          </w:p>
        </w:tc>
        <w:tc>
          <w:tcPr>
            <w:tcW w:type="dxa" w:w="2948"/>
            <w:vAlign w:val="center"/>
            <w:shd w:fill="FFFFFF"/>
          </w:tcPr>
          <w:p>
            <w:pPr>
              <w:spacing w:after="20" w:before="20" w:line="264" w:lineRule="auto"/>
              <w:jc w:val="left"/>
            </w:pPr>
            <w:r>
              <w:rPr>
                <w:b w:val="0"/>
                <w:sz w:val="18"/>
              </w:rPr>
              <w:t>策略及必要的输入编码/状态估计/记忆更新；无在线轨迹搜索</w:t>
            </w:r>
          </w:p>
        </w:tc>
        <w:tc>
          <w:tcPr>
            <w:tcW w:type="dxa" w:w="2847"/>
            <w:vAlign w:val="center"/>
            <w:shd w:fill="FFFFFF"/>
          </w:tcPr>
          <w:p>
            <w:pPr>
              <w:spacing w:after="20" w:before="20" w:line="264" w:lineRule="auto"/>
              <w:jc w:val="left"/>
            </w:pPr>
            <w:r>
              <w:rPr>
                <w:b w:val="0"/>
                <w:sz w:val="18"/>
              </w:rPr>
              <w:t>世界模型能否减少训练交互</w:t>
            </w:r>
          </w:p>
        </w:tc>
        <w:tc>
          <w:tcPr>
            <w:tcW w:type="dxa" w:w="2440"/>
            <w:vAlign w:val="center"/>
            <w:shd w:fill="FFFFFF"/>
          </w:tcPr>
          <w:p>
            <w:pPr>
              <w:spacing w:after="20" w:before="20" w:line="264" w:lineRule="auto"/>
              <w:jc w:val="left"/>
            </w:pPr>
            <w:r>
              <w:rPr>
                <w:b w:val="0"/>
                <w:sz w:val="18"/>
              </w:rPr>
              <w:t>部署较轻，但需验证学生策略失效边界</w:t>
            </w:r>
          </w:p>
        </w:tc>
      </w:tr>
      <w:tr>
        <w:trPr>
          <w:cantSplit/>
        </w:trPr>
        <w:tc>
          <w:tcPr>
            <w:tcW w:type="dxa" w:w="1932"/>
            <w:vAlign w:val="center"/>
            <w:shd w:fill="F4F7F9"/>
          </w:tcPr>
          <w:p>
            <w:pPr>
              <w:spacing w:after="20" w:before="20" w:line="264" w:lineRule="auto"/>
              <w:jc w:val="left"/>
            </w:pPr>
            <w:r>
              <w:rPr>
                <w:b w:val="0"/>
                <w:sz w:val="18"/>
              </w:rPr>
              <w:t>在线模型规划</w:t>
            </w:r>
          </w:p>
        </w:tc>
        <w:tc>
          <w:tcPr>
            <w:tcW w:type="dxa" w:w="2948"/>
            <w:vAlign w:val="center"/>
            <w:shd w:fill="F4F7F9"/>
          </w:tcPr>
          <w:p>
            <w:pPr>
              <w:spacing w:after="20" w:before="20" w:line="264" w:lineRule="auto"/>
              <w:jc w:val="left"/>
            </w:pPr>
            <w:r>
              <w:rPr>
                <w:b w:val="0"/>
                <w:sz w:val="18"/>
              </w:rPr>
              <w:t>编码器/状态估计、世界模型、候选轨迹搜索</w:t>
            </w:r>
          </w:p>
        </w:tc>
        <w:tc>
          <w:tcPr>
            <w:tcW w:type="dxa" w:w="2847"/>
            <w:vAlign w:val="center"/>
            <w:shd w:fill="F4F7F9"/>
          </w:tcPr>
          <w:p>
            <w:pPr>
              <w:spacing w:after="20" w:before="20" w:line="264" w:lineRule="auto"/>
              <w:jc w:val="left"/>
            </w:pPr>
            <w:r>
              <w:rPr>
                <w:b w:val="0"/>
                <w:sz w:val="18"/>
              </w:rPr>
              <w:t>预测是否改善交互决策</w:t>
            </w:r>
          </w:p>
        </w:tc>
        <w:tc>
          <w:tcPr>
            <w:tcW w:type="dxa" w:w="2440"/>
            <w:vAlign w:val="center"/>
            <w:shd w:fill="F4F7F9"/>
          </w:tcPr>
          <w:p>
            <w:pPr>
              <w:spacing w:after="20" w:before="20" w:line="264" w:lineRule="auto"/>
              <w:jc w:val="left"/>
            </w:pPr>
            <w:r>
              <w:rPr>
                <w:b w:val="0"/>
                <w:sz w:val="18"/>
              </w:rPr>
              <w:t>规划候选数和 horizon 决定时延与算力</w:t>
            </w:r>
          </w:p>
        </w:tc>
      </w:tr>
      <w:tr>
        <w:trPr>
          <w:cantSplit/>
        </w:trPr>
        <w:tc>
          <w:tcPr>
            <w:tcW w:type="dxa" w:w="1932"/>
            <w:vAlign w:val="center"/>
            <w:shd w:fill="FFFFFF"/>
          </w:tcPr>
          <w:p>
            <w:pPr>
              <w:spacing w:after="20" w:before="20" w:line="264" w:lineRule="auto"/>
              <w:jc w:val="left"/>
            </w:pPr>
            <w:r>
              <w:rPr>
                <w:b w:val="0"/>
                <w:sz w:val="18"/>
              </w:rPr>
              <w:t>风险辅助与动作过滤</w:t>
            </w:r>
          </w:p>
        </w:tc>
        <w:tc>
          <w:tcPr>
            <w:tcW w:type="dxa" w:w="2948"/>
            <w:vAlign w:val="center"/>
            <w:shd w:fill="FFFFFF"/>
          </w:tcPr>
          <w:p>
            <w:pPr>
              <w:spacing w:after="20" w:before="20" w:line="264" w:lineRule="auto"/>
              <w:jc w:val="left"/>
            </w:pPr>
            <w:r>
              <w:rPr>
                <w:b w:val="0"/>
                <w:sz w:val="18"/>
              </w:rPr>
              <w:t>既有策略加风险模型/安全过滤器</w:t>
            </w:r>
          </w:p>
        </w:tc>
        <w:tc>
          <w:tcPr>
            <w:tcW w:type="dxa" w:w="2847"/>
            <w:vAlign w:val="center"/>
            <w:shd w:fill="FFFFFF"/>
          </w:tcPr>
          <w:p>
            <w:pPr>
              <w:spacing w:after="20" w:before="20" w:line="264" w:lineRule="auto"/>
              <w:jc w:val="left"/>
            </w:pPr>
            <w:r>
              <w:rPr>
                <w:b w:val="0"/>
                <w:sz w:val="18"/>
              </w:rPr>
              <w:t>能否识别并拦截高风险动作</w:t>
            </w:r>
          </w:p>
        </w:tc>
        <w:tc>
          <w:tcPr>
            <w:tcW w:type="dxa" w:w="2440"/>
            <w:vAlign w:val="center"/>
            <w:shd w:fill="FFFFFF"/>
          </w:tcPr>
          <w:p>
            <w:pPr>
              <w:spacing w:after="20" w:before="20" w:line="264" w:lineRule="auto"/>
              <w:jc w:val="left"/>
            </w:pPr>
            <w:r>
              <w:rPr>
                <w:b w:val="0"/>
                <w:sz w:val="18"/>
              </w:rPr>
              <w:t>必须处理误报、漏报、不可行与回退</w:t>
            </w:r>
          </w:p>
        </w:tc>
      </w:tr>
    </w:tbl>
    <w:p>
      <w:pPr>
        <w:spacing w:after="40" w:before="0" w:line="96" w:lineRule="auto"/>
      </w:pPr>
    </w:p>
    <w:p>
      <w:pPr>
        <w:widowControl/>
      </w:pPr>
      <w:r>
        <w:t>研究者应先明确“模型在车上是否运行”。仅训练期进行想象时，车端仍可能需要 encoder 和 RSSM 记忆更新；不能笼统称为移除全部世界模型。在线规划时，必须测完整搜索环路。若输出候选轨迹，底层跟踪器与执行器同样属于闭环。</w:t>
      </w:r>
    </w:p>
    <w:p>
      <w:pPr>
        <w:pStyle w:val="Heading2"/>
        <w:widowControl/>
      </w:pPr>
      <w:r>
        <w:t>与感知和车辆控制的接口</w:t>
      </w:r>
    </w:p>
    <w:p>
      <w:pPr>
        <w:widowControl/>
      </w:pPr>
      <w:r>
        <w:t>结构化向量可来源于仿真真值、感知检测跟踪或融合定位。三种来源的噪声、延迟和缺失机制不同。研究应标注每个字段的来源，并设计缺失值、置信度、时间戳与坐标转换。后续车端原型先采用清楚的数据契约与只读回放/影子推理，之后才评估是否具备受控闭环条件。</w:t>
      </w:r>
    </w:p>
    <w:p>
      <w:pPr>
        <w:pStyle w:val="Heading1"/>
        <w:pageBreakBefore/>
        <w:widowControl/>
      </w:pPr>
      <w:r>
        <w:t>6 一次驾驶决策如何进入训练</w:t>
      </w:r>
    </w:p>
    <w:p>
      <w:pPr>
        <w:widowControl/>
      </w:pPr>
      <w:r>
        <w:t>以“前车突然减速”为例，可把系统理解为一个按周期运行的闭环。观测是当前可得到的信息；策略是把这些信息映射成动作的程序；价值函数估计后续任务表现；训练更新发生在采样之后。世界模型增加的是未来预测，安全机制增加的是约束或动作审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0" w:type="dxa"/>
          <w:bottom w:w="85" w:type="dxa"/>
          <w:right w:w="100" w:type="dxa"/>
        </w:tblCellMar>
      </w:tblPr>
      <w:tblGrid>
        <w:gridCol w:w="1728"/>
        <w:gridCol w:w="4067"/>
        <w:gridCol w:w="4372"/>
      </w:tblGrid>
      <w:tr>
        <w:trPr>
          <w:tblHeader/>
          <w:cantSplit/>
        </w:trPr>
        <w:tc>
          <w:tcPr>
            <w:tcW w:type="dxa" w:w="1728"/>
            <w:vAlign w:val="center"/>
            <w:shd w:fill="DCE6EC"/>
          </w:tcPr>
          <w:p>
            <w:pPr>
              <w:spacing w:after="20" w:before="20" w:line="264" w:lineRule="auto"/>
              <w:jc w:val="left"/>
            </w:pPr>
            <w:r>
              <w:rPr>
                <w:b/>
                <w:sz w:val="18"/>
              </w:rPr>
              <w:t>环节</w:t>
            </w:r>
          </w:p>
        </w:tc>
        <w:tc>
          <w:tcPr>
            <w:tcW w:type="dxa" w:w="4067"/>
            <w:vAlign w:val="center"/>
            <w:shd w:fill="DCE6EC"/>
          </w:tcPr>
          <w:p>
            <w:pPr>
              <w:spacing w:after="20" w:before="20" w:line="264" w:lineRule="auto"/>
              <w:jc w:val="left"/>
            </w:pPr>
            <w:r>
              <w:rPr>
                <w:b/>
                <w:sz w:val="18"/>
              </w:rPr>
              <w:t>跟车例子</w:t>
            </w:r>
          </w:p>
        </w:tc>
        <w:tc>
          <w:tcPr>
            <w:tcW w:type="dxa" w:w="4372"/>
            <w:vAlign w:val="center"/>
            <w:shd w:fill="DCE6EC"/>
          </w:tcPr>
          <w:p>
            <w:pPr>
              <w:spacing w:after="20" w:before="20" w:line="264" w:lineRule="auto"/>
              <w:jc w:val="left"/>
            </w:pPr>
            <w:r>
              <w:rPr>
                <w:b/>
                <w:sz w:val="18"/>
              </w:rPr>
              <w:t>需要记录和验证</w:t>
            </w:r>
          </w:p>
        </w:tc>
      </w:tr>
      <w:tr>
        <w:trPr>
          <w:cantSplit/>
        </w:trPr>
        <w:tc>
          <w:tcPr>
            <w:tcW w:type="dxa" w:w="1728"/>
            <w:vAlign w:val="center"/>
            <w:shd w:fill="FFFFFF"/>
          </w:tcPr>
          <w:p>
            <w:pPr>
              <w:spacing w:after="20" w:before="20" w:line="264" w:lineRule="auto"/>
              <w:jc w:val="left"/>
            </w:pPr>
            <w:r>
              <w:rPr>
                <w:b w:val="0"/>
                <w:sz w:val="18"/>
              </w:rPr>
              <w:t>1 读取观测</w:t>
            </w:r>
          </w:p>
        </w:tc>
        <w:tc>
          <w:tcPr>
            <w:tcW w:type="dxa" w:w="4067"/>
            <w:vAlign w:val="center"/>
            <w:shd w:fill="FFFFFF"/>
          </w:tcPr>
          <w:p>
            <w:pPr>
              <w:spacing w:after="20" w:before="20" w:line="264" w:lineRule="auto"/>
              <w:jc w:val="left"/>
            </w:pPr>
            <w:r>
              <w:rPr>
                <w:b w:val="0"/>
                <w:sz w:val="18"/>
              </w:rPr>
              <w:t>自车速度、前车距离/相对速度、历史动作</w:t>
            </w:r>
          </w:p>
        </w:tc>
        <w:tc>
          <w:tcPr>
            <w:tcW w:type="dxa" w:w="4372"/>
            <w:vAlign w:val="center"/>
            <w:shd w:fill="FFFFFF"/>
          </w:tcPr>
          <w:p>
            <w:pPr>
              <w:spacing w:after="20" w:before="20" w:line="264" w:lineRule="auto"/>
              <w:jc w:val="left"/>
            </w:pPr>
            <w:r>
              <w:rPr>
                <w:b w:val="0"/>
                <w:sz w:val="18"/>
              </w:rPr>
              <w:t>来源、时间戳、缺失标记；禁止未来真值泄漏</w:t>
            </w:r>
          </w:p>
        </w:tc>
      </w:tr>
      <w:tr>
        <w:trPr>
          <w:cantSplit/>
        </w:trPr>
        <w:tc>
          <w:tcPr>
            <w:tcW w:type="dxa" w:w="1728"/>
            <w:vAlign w:val="center"/>
            <w:shd w:fill="F4F7F9"/>
          </w:tcPr>
          <w:p>
            <w:pPr>
              <w:spacing w:after="20" w:before="20" w:line="264" w:lineRule="auto"/>
              <w:jc w:val="left"/>
            </w:pPr>
            <w:r>
              <w:rPr>
                <w:b w:val="0"/>
                <w:sz w:val="18"/>
              </w:rPr>
              <w:t>2 提出动作</w:t>
            </w:r>
          </w:p>
        </w:tc>
        <w:tc>
          <w:tcPr>
            <w:tcW w:type="dxa" w:w="4067"/>
            <w:vAlign w:val="center"/>
            <w:shd w:fill="F4F7F9"/>
          </w:tcPr>
          <w:p>
            <w:pPr>
              <w:spacing w:after="20" w:before="20" w:line="264" w:lineRule="auto"/>
              <w:jc w:val="left"/>
            </w:pPr>
            <w:r>
              <w:rPr>
                <w:b w:val="0"/>
                <w:sz w:val="18"/>
              </w:rPr>
              <w:t>PPO 直接给动作；模型规划比较若干未来动作序列</w:t>
            </w:r>
          </w:p>
        </w:tc>
        <w:tc>
          <w:tcPr>
            <w:tcW w:type="dxa" w:w="4372"/>
            <w:vAlign w:val="center"/>
            <w:shd w:fill="F4F7F9"/>
          </w:tcPr>
          <w:p>
            <w:pPr>
              <w:spacing w:after="20" w:before="20" w:line="264" w:lineRule="auto"/>
              <w:jc w:val="left"/>
            </w:pPr>
            <w:r>
              <w:rPr>
                <w:b w:val="0"/>
                <w:sz w:val="18"/>
              </w:rPr>
              <w:t>提议动作、预测奖励/风险、规划耗时</w:t>
            </w:r>
          </w:p>
        </w:tc>
      </w:tr>
      <w:tr>
        <w:trPr>
          <w:cantSplit/>
        </w:trPr>
        <w:tc>
          <w:tcPr>
            <w:tcW w:type="dxa" w:w="1728"/>
            <w:vAlign w:val="center"/>
            <w:shd w:fill="FFFFFF"/>
          </w:tcPr>
          <w:p>
            <w:pPr>
              <w:spacing w:after="20" w:before="20" w:line="264" w:lineRule="auto"/>
              <w:jc w:val="left"/>
            </w:pPr>
            <w:r>
              <w:rPr>
                <w:b w:val="0"/>
                <w:sz w:val="18"/>
              </w:rPr>
              <w:t>3 审核并执行</w:t>
            </w:r>
          </w:p>
        </w:tc>
        <w:tc>
          <w:tcPr>
            <w:tcW w:type="dxa" w:w="4067"/>
            <w:vAlign w:val="center"/>
            <w:shd w:fill="FFFFFF"/>
          </w:tcPr>
          <w:p>
            <w:pPr>
              <w:spacing w:after="20" w:before="20" w:line="264" w:lineRule="auto"/>
              <w:jc w:val="left"/>
            </w:pPr>
            <w:r>
              <w:rPr>
                <w:b w:val="0"/>
                <w:sz w:val="18"/>
              </w:rPr>
              <w:t>限幅或安全模块修正后送入仿真车辆</w:t>
            </w:r>
          </w:p>
        </w:tc>
        <w:tc>
          <w:tcPr>
            <w:tcW w:type="dxa" w:w="4372"/>
            <w:vAlign w:val="center"/>
            <w:shd w:fill="FFFFFF"/>
          </w:tcPr>
          <w:p>
            <w:pPr>
              <w:spacing w:after="20" w:before="20" w:line="264" w:lineRule="auto"/>
              <w:jc w:val="left"/>
            </w:pPr>
            <w:r>
              <w:rPr>
                <w:b w:val="0"/>
                <w:sz w:val="18"/>
              </w:rPr>
              <w:t>实际执行动作和干预原因；不能只记提议动作</w:t>
            </w:r>
          </w:p>
        </w:tc>
      </w:tr>
      <w:tr>
        <w:trPr>
          <w:cantSplit/>
        </w:trPr>
        <w:tc>
          <w:tcPr>
            <w:tcW w:type="dxa" w:w="1728"/>
            <w:vAlign w:val="center"/>
            <w:shd w:fill="F4F7F9"/>
          </w:tcPr>
          <w:p>
            <w:pPr>
              <w:spacing w:after="20" w:before="20" w:line="264" w:lineRule="auto"/>
              <w:jc w:val="left"/>
            </w:pPr>
            <w:r>
              <w:rPr>
                <w:b w:val="0"/>
                <w:sz w:val="18"/>
              </w:rPr>
              <w:t>4 环境演化</w:t>
            </w:r>
          </w:p>
        </w:tc>
        <w:tc>
          <w:tcPr>
            <w:tcW w:type="dxa" w:w="4067"/>
            <w:vAlign w:val="center"/>
            <w:shd w:fill="F4F7F9"/>
          </w:tcPr>
          <w:p>
            <w:pPr>
              <w:spacing w:after="20" w:before="20" w:line="264" w:lineRule="auto"/>
              <w:jc w:val="left"/>
            </w:pPr>
            <w:r>
              <w:rPr>
                <w:b w:val="0"/>
                <w:sz w:val="18"/>
              </w:rPr>
              <w:t>前后车移动，得到下一观测</w:t>
            </w:r>
          </w:p>
        </w:tc>
        <w:tc>
          <w:tcPr>
            <w:tcW w:type="dxa" w:w="4372"/>
            <w:vAlign w:val="center"/>
            <w:shd w:fill="F4F7F9"/>
          </w:tcPr>
          <w:p>
            <w:pPr>
              <w:spacing w:after="20" w:before="20" w:line="264" w:lineRule="auto"/>
              <w:jc w:val="left"/>
            </w:pPr>
            <w:r>
              <w:rPr>
                <w:b w:val="0"/>
                <w:sz w:val="18"/>
              </w:rPr>
              <w:t>物理 dt、动作保持、碰撞/越界/到达/超时</w:t>
            </w:r>
          </w:p>
        </w:tc>
      </w:tr>
      <w:tr>
        <w:trPr>
          <w:cantSplit/>
        </w:trPr>
        <w:tc>
          <w:tcPr>
            <w:tcW w:type="dxa" w:w="1728"/>
            <w:vAlign w:val="center"/>
            <w:shd w:fill="FFFFFF"/>
          </w:tcPr>
          <w:p>
            <w:pPr>
              <w:spacing w:after="20" w:before="20" w:line="264" w:lineRule="auto"/>
              <w:jc w:val="left"/>
            </w:pPr>
            <w:r>
              <w:rPr>
                <w:b w:val="0"/>
                <w:sz w:val="18"/>
              </w:rPr>
              <w:t>5 评价结果</w:t>
            </w:r>
          </w:p>
        </w:tc>
        <w:tc>
          <w:tcPr>
            <w:tcW w:type="dxa" w:w="4067"/>
            <w:vAlign w:val="center"/>
            <w:shd w:fill="FFFFFF"/>
          </w:tcPr>
          <w:p>
            <w:pPr>
              <w:spacing w:after="20" w:before="20" w:line="264" w:lineRule="auto"/>
              <w:jc w:val="left"/>
            </w:pPr>
            <w:r>
              <w:rPr>
                <w:b w:val="0"/>
                <w:sz w:val="18"/>
              </w:rPr>
              <w:t>reward 衡量进度/舒适性；cost 单列事故风险</w:t>
            </w:r>
          </w:p>
        </w:tc>
        <w:tc>
          <w:tcPr>
            <w:tcW w:type="dxa" w:w="4372"/>
            <w:vAlign w:val="center"/>
            <w:shd w:fill="FFFFFF"/>
          </w:tcPr>
          <w:p>
            <w:pPr>
              <w:spacing w:after="20" w:before="20" w:line="264" w:lineRule="auto"/>
              <w:jc w:val="left"/>
            </w:pPr>
            <w:r>
              <w:rPr>
                <w:b w:val="0"/>
                <w:sz w:val="18"/>
              </w:rPr>
              <w:t>原始分项数据与累计量，避免缩放后丢失语义</w:t>
            </w:r>
          </w:p>
        </w:tc>
      </w:tr>
      <w:tr>
        <w:trPr>
          <w:cantSplit/>
        </w:trPr>
        <w:tc>
          <w:tcPr>
            <w:tcW w:type="dxa" w:w="1728"/>
            <w:vAlign w:val="center"/>
            <w:shd w:fill="F4F7F9"/>
          </w:tcPr>
          <w:p>
            <w:pPr>
              <w:spacing w:after="20" w:before="20" w:line="264" w:lineRule="auto"/>
              <w:jc w:val="left"/>
            </w:pPr>
            <w:r>
              <w:rPr>
                <w:b w:val="0"/>
                <w:sz w:val="18"/>
              </w:rPr>
              <w:t>6 更新模型</w:t>
            </w:r>
          </w:p>
        </w:tc>
        <w:tc>
          <w:tcPr>
            <w:tcW w:type="dxa" w:w="4067"/>
            <w:vAlign w:val="center"/>
            <w:shd w:fill="F4F7F9"/>
          </w:tcPr>
          <w:p>
            <w:pPr>
              <w:spacing w:after="20" w:before="20" w:line="264" w:lineRule="auto"/>
              <w:jc w:val="left"/>
            </w:pPr>
            <w:r>
              <w:rPr>
                <w:b w:val="0"/>
                <w:sz w:val="18"/>
              </w:rPr>
              <w:t>PPO 更新策略与价值；世界模型学习状态与风险预测</w:t>
            </w:r>
          </w:p>
        </w:tc>
        <w:tc>
          <w:tcPr>
            <w:tcW w:type="dxa" w:w="4372"/>
            <w:vAlign w:val="center"/>
            <w:shd w:fill="F4F7F9"/>
          </w:tcPr>
          <w:p>
            <w:pPr>
              <w:spacing w:after="20" w:before="20" w:line="264" w:lineRule="auto"/>
              <w:jc w:val="left"/>
            </w:pPr>
            <w:r>
              <w:rPr>
                <w:b w:val="0"/>
                <w:sz w:val="18"/>
              </w:rPr>
              <w:t>版本、采样策略、训练 seed、真实与想象步数</w:t>
            </w:r>
          </w:p>
        </w:tc>
      </w:tr>
    </w:tbl>
    <w:p>
      <w:pPr>
        <w:spacing w:after="40" w:before="0" w:line="96" w:lineRule="auto"/>
      </w:pPr>
    </w:p>
    <w:p>
      <w:pPr>
        <w:pStyle w:val="Heading2"/>
        <w:widowControl/>
      </w:pPr>
      <w:r>
        <w:t>PPO 基线应先把哪些事情做好</w:t>
      </w:r>
    </w:p>
    <w:p>
      <w:pPr>
        <w:widowControl/>
      </w:pPr>
      <w:r>
        <w:t>固定一个实现栈，优先复用既有代码；缺省可用 SB3。保存学习率、并行环境数、每轮步数、minibatch、更新 epoch、GAE、clip、熵项、归一化与动作裁剪。除 reward 外观察 KL、clip fraction、策略熵、价值拟合和采样/更新耗时。小型非图像 PPO 在特定实现中可能更适合 CPU，设备选择靠实测。</w:t>
      </w:r>
      <w:hyperlink r:id="rId15">
        <w:r>
          <w:rPr>
            <w:color w:val="174C72"/>
            <w:rFonts w:ascii="Noto Sans CJK SC" w:hAnsi="Noto Sans CJK SC" w:eastAsia="Noto Sans CJK SC"/>
          </w:rPr>
          <w:t>[R01]</w:t>
        </w:r>
      </w:hyperlink>
      <w:r/>
      <w:hyperlink r:id="rId10">
        <w:r>
          <w:rPr>
            <w:color w:val="174C72"/>
            <w:rFonts w:ascii="Noto Sans CJK SC" w:hAnsi="Noto Sans CJK SC" w:eastAsia="Noto Sans CJK SC"/>
          </w:rPr>
          <w:t>[R02]</w:t>
        </w:r>
      </w:hyperlink>
      <w:r/>
      <w:hyperlink r:id="rId20">
        <w:r>
          <w:rPr>
            <w:color w:val="174C72"/>
            <w:rFonts w:ascii="Noto Sans CJK SC" w:hAnsi="Noto Sans CJK SC" w:eastAsia="Noto Sans CJK SC"/>
          </w:rPr>
          <w:t>[R03]</w:t>
        </w:r>
      </w:hyperlink>
      <w:r/>
    </w:p>
    <w:p>
      <w:pPr>
        <w:widowControl/>
      </w:pPr>
      <w:r>
        <w:t>先用随机动作、停车、边界动作和简单规则检查任务，再用一个 seed 排错、三个 seed 探索。终止与超时截断必须分别处理，否则价值 bootstrap 会系统性出错。连续动作的裁剪、log-prob 与环境执行语义也必须一致。</w:t>
      </w:r>
      <w:hyperlink r:id="rId26">
        <w:r>
          <w:rPr>
            <w:color w:val="174C72"/>
            <w:rFonts w:ascii="Noto Sans CJK SC" w:hAnsi="Noto Sans CJK SC" w:eastAsia="Noto Sans CJK SC"/>
          </w:rPr>
          <w:t>[R55]</w:t>
        </w:r>
      </w:hyperlink>
      <w:r/>
    </w:p>
    <w:p>
      <w:pPr>
        <w:pStyle w:val="Heading2"/>
        <w:widowControl/>
      </w:pPr>
      <w:r>
        <w:t>对嵌入式开发最有用的类比</w:t>
      </w:r>
    </w:p>
    <w:p>
      <w:pPr>
        <w:widowControl/>
      </w:pPr>
      <w:r>
        <w:t>观测/动作契约类似模块 API；随机种子与配置类似可复现构建参数；checkpoint 类似固件版本；冻结测试集类似不能随意改动的回归测试；安全成本判定器类似故障检测逻辑。训练分数只能在这些基础可信后用于比较。</w:t>
      </w:r>
    </w:p>
    <w:p>
      <w:pPr>
        <w:pStyle w:val="Heading1"/>
        <w:pageBreakBefore/>
        <w:widowControl/>
      </w:pPr>
      <w:r>
        <w:t>7 通用世界模型文献与选型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0" w:type="dxa"/>
          <w:bottom w:w="85" w:type="dxa"/>
          <w:right w:w="100" w:type="dxa"/>
        </w:tblCellMar>
      </w:tblPr>
      <w:tblGrid>
        <w:gridCol w:w="2542"/>
        <w:gridCol w:w="3762"/>
        <w:gridCol w:w="3863"/>
      </w:tblGrid>
      <w:tr>
        <w:trPr>
          <w:tblHeader/>
          <w:cantSplit/>
        </w:trPr>
        <w:tc>
          <w:tcPr>
            <w:tcW w:type="dxa" w:w="2542"/>
            <w:vAlign w:val="center"/>
            <w:shd w:fill="DCE6EC"/>
          </w:tcPr>
          <w:p>
            <w:pPr>
              <w:spacing w:after="20" w:before="20" w:line="264" w:lineRule="auto"/>
              <w:jc w:val="left"/>
            </w:pPr>
            <w:r>
              <w:rPr>
                <w:b/>
                <w:sz w:val="18"/>
              </w:rPr>
              <w:t>方法</w:t>
            </w:r>
          </w:p>
        </w:tc>
        <w:tc>
          <w:tcPr>
            <w:tcW w:type="dxa" w:w="3762"/>
            <w:vAlign w:val="center"/>
            <w:shd w:fill="DCE6EC"/>
          </w:tcPr>
          <w:p>
            <w:pPr>
              <w:spacing w:after="20" w:before="20" w:line="264" w:lineRule="auto"/>
              <w:jc w:val="left"/>
            </w:pPr>
            <w:r>
              <w:rPr>
                <w:b/>
                <w:sz w:val="18"/>
              </w:rPr>
              <w:t>主要思路及迁移价值</w:t>
            </w:r>
          </w:p>
        </w:tc>
        <w:tc>
          <w:tcPr>
            <w:tcW w:type="dxa" w:w="3863"/>
            <w:vAlign w:val="center"/>
            <w:shd w:fill="DCE6EC"/>
          </w:tcPr>
          <w:p>
            <w:pPr>
              <w:spacing w:after="20" w:before="20" w:line="264" w:lineRule="auto"/>
              <w:jc w:val="left"/>
            </w:pPr>
            <w:r>
              <w:rPr>
                <w:b/>
                <w:sz w:val="18"/>
              </w:rPr>
              <w:t>限制与本项目定位</w:t>
            </w:r>
          </w:p>
        </w:tc>
      </w:tr>
      <w:tr>
        <w:trPr>
          <w:cantSplit/>
        </w:trPr>
        <w:tc>
          <w:tcPr>
            <w:tcW w:type="dxa" w:w="2542"/>
            <w:vAlign w:val="center"/>
            <w:shd w:fill="FFFFFF"/>
          </w:tcPr>
          <w:p>
            <w:pPr>
              <w:spacing w:after="20" w:before="20" w:line="264" w:lineRule="auto"/>
              <w:jc w:val="left"/>
            </w:pPr>
            <w:r>
              <w:rPr>
                <w:b w:val="0"/>
                <w:sz w:val="18"/>
              </w:rPr>
              <w:t xml:space="preserve">PETS 2018 </w:t>
            </w:r>
            <w:hyperlink r:id="rId27">
              <w:r>
                <w:rPr>
                  <w:color w:val="174C72"/>
                  <w:rFonts w:ascii="Noto Sans CJK SC" w:hAnsi="Noto Sans CJK SC" w:eastAsia="Noto Sans CJK SC"/>
                </w:rPr>
                <w:t>[R39]</w:t>
              </w:r>
            </w:hyperlink>
            <w:r>
              <w:rPr>
                <w:b w:val="0"/>
                <w:sz w:val="18"/>
              </w:rPr>
            </w:r>
          </w:p>
        </w:tc>
        <w:tc>
          <w:tcPr>
            <w:tcW w:type="dxa" w:w="3762"/>
            <w:vAlign w:val="center"/>
            <w:shd w:fill="FFFFFF"/>
          </w:tcPr>
          <w:p>
            <w:pPr>
              <w:spacing w:after="20" w:before="20" w:line="264" w:lineRule="auto"/>
              <w:jc w:val="left"/>
            </w:pPr>
            <w:r>
              <w:rPr>
                <w:b w:val="0"/>
                <w:sz w:val="18"/>
              </w:rPr>
              <w:t>概率动力学集合加在线规划，方便理解模型误差</w:t>
            </w:r>
          </w:p>
        </w:tc>
        <w:tc>
          <w:tcPr>
            <w:tcW w:type="dxa" w:w="3863"/>
            <w:vAlign w:val="center"/>
            <w:shd w:fill="FFFFFF"/>
          </w:tcPr>
          <w:p>
            <w:pPr>
              <w:spacing w:after="20" w:before="20" w:line="264" w:lineRule="auto"/>
              <w:jc w:val="left"/>
            </w:pPr>
            <w:r>
              <w:rPr>
                <w:b w:val="0"/>
                <w:sz w:val="18"/>
              </w:rPr>
              <w:t>连续低维机制实验备选；不确定性不自动成为安全保证</w:t>
            </w:r>
          </w:p>
        </w:tc>
      </w:tr>
      <w:tr>
        <w:trPr>
          <w:cantSplit/>
        </w:trPr>
        <w:tc>
          <w:tcPr>
            <w:tcW w:type="dxa" w:w="2542"/>
            <w:vAlign w:val="center"/>
            <w:shd w:fill="F4F7F9"/>
          </w:tcPr>
          <w:p>
            <w:pPr>
              <w:spacing w:after="20" w:before="20" w:line="264" w:lineRule="auto"/>
              <w:jc w:val="left"/>
            </w:pPr>
            <w:r>
              <w:rPr>
                <w:b w:val="0"/>
                <w:sz w:val="18"/>
              </w:rPr>
              <w:t xml:space="preserve">MBPO 2019 </w:t>
            </w:r>
            <w:hyperlink r:id="rId28">
              <w:r>
                <w:rPr>
                  <w:color w:val="174C72"/>
                  <w:rFonts w:ascii="Noto Sans CJK SC" w:hAnsi="Noto Sans CJK SC" w:eastAsia="Noto Sans CJK SC"/>
                </w:rPr>
                <w:t>[R40]</w:t>
              </w:r>
            </w:hyperlink>
            <w:r>
              <w:rPr>
                <w:b w:val="0"/>
                <w:sz w:val="18"/>
              </w:rPr>
            </w:r>
          </w:p>
        </w:tc>
        <w:tc>
          <w:tcPr>
            <w:tcW w:type="dxa" w:w="3762"/>
            <w:vAlign w:val="center"/>
            <w:shd w:fill="F4F7F9"/>
          </w:tcPr>
          <w:p>
            <w:pPr>
              <w:spacing w:after="20" w:before="20" w:line="264" w:lineRule="auto"/>
              <w:jc w:val="left"/>
            </w:pPr>
            <w:r>
              <w:rPr>
                <w:b w:val="0"/>
                <w:sz w:val="18"/>
              </w:rPr>
              <w:t>从真实 replay 起点做短模型 rollout，提高样本利用</w:t>
            </w:r>
          </w:p>
        </w:tc>
        <w:tc>
          <w:tcPr>
            <w:tcW w:type="dxa" w:w="3863"/>
            <w:vAlign w:val="center"/>
            <w:shd w:fill="F4F7F9"/>
          </w:tcPr>
          <w:p>
            <w:pPr>
              <w:spacing w:after="20" w:before="20" w:line="264" w:lineRule="auto"/>
              <w:jc w:val="left"/>
            </w:pPr>
            <w:r>
              <w:rPr>
                <w:b w:val="0"/>
                <w:sz w:val="18"/>
              </w:rPr>
              <w:t>经典路线使用离策略学习，不能当 PPO 即插即用插件</w:t>
            </w:r>
          </w:p>
        </w:tc>
      </w:tr>
      <w:tr>
        <w:trPr>
          <w:cantSplit/>
        </w:trPr>
        <w:tc>
          <w:tcPr>
            <w:tcW w:type="dxa" w:w="2542"/>
            <w:vAlign w:val="center"/>
            <w:shd w:fill="FFFFFF"/>
          </w:tcPr>
          <w:p>
            <w:pPr>
              <w:spacing w:after="20" w:before="20" w:line="264" w:lineRule="auto"/>
              <w:jc w:val="left"/>
            </w:pPr>
            <w:r>
              <w:rPr>
                <w:b w:val="0"/>
                <w:sz w:val="18"/>
              </w:rPr>
              <w:t xml:space="preserve">DreamerV3 2025 </w:t>
            </w:r>
            <w:hyperlink r:id="rId16">
              <w:r>
                <w:rPr>
                  <w:color w:val="174C72"/>
                  <w:rFonts w:ascii="Noto Sans CJK SC" w:hAnsi="Noto Sans CJK SC" w:eastAsia="Noto Sans CJK SC"/>
                </w:rPr>
                <w:t>[R11]</w:t>
              </w:r>
            </w:hyperlink>
            <w:r>
              <w:rPr>
                <w:b w:val="0"/>
                <w:sz w:val="18"/>
              </w:rPr>
            </w:r>
            <w:hyperlink r:id="rId29">
              <w:r>
                <w:rPr>
                  <w:color w:val="174C72"/>
                  <w:rFonts w:ascii="Noto Sans CJK SC" w:hAnsi="Noto Sans CJK SC" w:eastAsia="Noto Sans CJK SC"/>
                </w:rPr>
                <w:t>[R12]</w:t>
              </w:r>
            </w:hyperlink>
            <w:r>
              <w:rPr>
                <w:b w:val="0"/>
                <w:sz w:val="18"/>
              </w:rPr>
            </w:r>
          </w:p>
        </w:tc>
        <w:tc>
          <w:tcPr>
            <w:tcW w:type="dxa" w:w="3762"/>
            <w:vAlign w:val="center"/>
            <w:shd w:fill="FFFFFF"/>
          </w:tcPr>
          <w:p>
            <w:pPr>
              <w:spacing w:after="20" w:before="20" w:line="264" w:lineRule="auto"/>
              <w:jc w:val="left"/>
            </w:pPr>
            <w:r>
              <w:rPr>
                <w:b w:val="0"/>
                <w:sz w:val="18"/>
              </w:rPr>
              <w:t>循环潜变量世界模型与想象策略学习，支持历史信息</w:t>
            </w:r>
          </w:p>
        </w:tc>
        <w:tc>
          <w:tcPr>
            <w:tcW w:type="dxa" w:w="3863"/>
            <w:vAlign w:val="center"/>
            <w:shd w:fill="FFFFFF"/>
          </w:tcPr>
          <w:p>
            <w:pPr>
              <w:spacing w:after="20" w:before="20" w:line="264" w:lineRule="auto"/>
              <w:jc w:val="left"/>
            </w:pPr>
            <w:r>
              <w:rPr>
                <w:b w:val="0"/>
                <w:sz w:val="18"/>
              </w:rPr>
              <w:t>为 RSSM 路线提供背景；当前开源版本与论文配置需分别锁定</w:t>
            </w:r>
          </w:p>
        </w:tc>
      </w:tr>
      <w:tr>
        <w:trPr>
          <w:cantSplit/>
        </w:trPr>
        <w:tc>
          <w:tcPr>
            <w:tcW w:type="dxa" w:w="2542"/>
            <w:vAlign w:val="center"/>
            <w:shd w:fill="F4F7F9"/>
          </w:tcPr>
          <w:p>
            <w:pPr>
              <w:spacing w:after="20" w:before="20" w:line="264" w:lineRule="auto"/>
              <w:jc w:val="left"/>
            </w:pPr>
            <w:r>
              <w:rPr>
                <w:b w:val="0"/>
                <w:sz w:val="18"/>
              </w:rPr>
              <w:t xml:space="preserve">TD MPC2 2024 </w:t>
            </w:r>
            <w:hyperlink r:id="rId30">
              <w:r>
                <w:rPr>
                  <w:color w:val="174C72"/>
                  <w:rFonts w:ascii="Noto Sans CJK SC" w:hAnsi="Noto Sans CJK SC" w:eastAsia="Noto Sans CJK SC"/>
                </w:rPr>
                <w:t>[R41]</w:t>
              </w:r>
            </w:hyperlink>
            <w:r>
              <w:rPr>
                <w:b w:val="0"/>
                <w:sz w:val="18"/>
              </w:rPr>
            </w:r>
            <w:hyperlink r:id="rId31">
              <w:r>
                <w:rPr>
                  <w:color w:val="174C72"/>
                  <w:rFonts w:ascii="Noto Sans CJK SC" w:hAnsi="Noto Sans CJK SC" w:eastAsia="Noto Sans CJK SC"/>
                </w:rPr>
                <w:t>[R42]</w:t>
              </w:r>
            </w:hyperlink>
            <w:r>
              <w:rPr>
                <w:b w:val="0"/>
                <w:sz w:val="18"/>
              </w:rPr>
            </w:r>
          </w:p>
        </w:tc>
        <w:tc>
          <w:tcPr>
            <w:tcW w:type="dxa" w:w="3762"/>
            <w:vAlign w:val="center"/>
            <w:shd w:fill="F4F7F9"/>
          </w:tcPr>
          <w:p>
            <w:pPr>
              <w:spacing w:after="20" w:before="20" w:line="264" w:lineRule="auto"/>
              <w:jc w:val="left"/>
            </w:pPr>
            <w:r>
              <w:rPr>
                <w:b w:val="0"/>
                <w:sz w:val="18"/>
              </w:rPr>
              <w:t>在潜在空间学习动力学和价值并优化轨迹</w:t>
            </w:r>
          </w:p>
        </w:tc>
        <w:tc>
          <w:tcPr>
            <w:tcW w:type="dxa" w:w="3863"/>
            <w:vAlign w:val="center"/>
            <w:shd w:fill="F4F7F9"/>
          </w:tcPr>
          <w:p>
            <w:pPr>
              <w:spacing w:after="20" w:before="20" w:line="264" w:lineRule="auto"/>
              <w:jc w:val="left"/>
            </w:pPr>
            <w:r>
              <w:rPr>
                <w:b w:val="0"/>
                <w:sz w:val="18"/>
              </w:rPr>
              <w:t>连续控制备选；需要独立设计安全成本与约束规划</w:t>
            </w:r>
          </w:p>
        </w:tc>
      </w:tr>
      <w:tr>
        <w:trPr>
          <w:cantSplit/>
        </w:trPr>
        <w:tc>
          <w:tcPr>
            <w:tcW w:type="dxa" w:w="2542"/>
            <w:vAlign w:val="center"/>
            <w:shd w:fill="FFFFFF"/>
          </w:tcPr>
          <w:p>
            <w:pPr>
              <w:spacing w:after="20" w:before="20" w:line="264" w:lineRule="auto"/>
              <w:jc w:val="left"/>
            </w:pPr>
            <w:r>
              <w:rPr>
                <w:b w:val="0"/>
                <w:sz w:val="18"/>
              </w:rPr>
              <w:t xml:space="preserve">SafeDreamer 2024 </w:t>
            </w:r>
            <w:hyperlink r:id="rId32">
              <w:r>
                <w:rPr>
                  <w:color w:val="174C72"/>
                  <w:rFonts w:ascii="Noto Sans CJK SC" w:hAnsi="Noto Sans CJK SC" w:eastAsia="Noto Sans CJK SC"/>
                </w:rPr>
                <w:t>[R20]</w:t>
              </w:r>
            </w:hyperlink>
            <w:r>
              <w:rPr>
                <w:b w:val="0"/>
                <w:sz w:val="18"/>
              </w:rPr>
            </w:r>
            <w:hyperlink r:id="rId33">
              <w:r>
                <w:rPr>
                  <w:color w:val="174C72"/>
                  <w:rFonts w:ascii="Noto Sans CJK SC" w:hAnsi="Noto Sans CJK SC" w:eastAsia="Noto Sans CJK SC"/>
                </w:rPr>
                <w:t>[R21]</w:t>
              </w:r>
            </w:hyperlink>
            <w:r>
              <w:rPr>
                <w:b w:val="0"/>
                <w:sz w:val="18"/>
              </w:rPr>
            </w:r>
          </w:p>
        </w:tc>
        <w:tc>
          <w:tcPr>
            <w:tcW w:type="dxa" w:w="3762"/>
            <w:vAlign w:val="center"/>
            <w:shd w:fill="FFFFFF"/>
          </w:tcPr>
          <w:p>
            <w:pPr>
              <w:spacing w:after="20" w:before="20" w:line="264" w:lineRule="auto"/>
              <w:jc w:val="left"/>
            </w:pPr>
            <w:r>
              <w:rPr>
                <w:b w:val="0"/>
                <w:sz w:val="18"/>
              </w:rPr>
              <w:t>在世界模型中进行安全规划及拉格朗日约束</w:t>
            </w:r>
          </w:p>
        </w:tc>
        <w:tc>
          <w:tcPr>
            <w:tcW w:type="dxa" w:w="3863"/>
            <w:vAlign w:val="center"/>
            <w:shd w:fill="FFFFFF"/>
          </w:tcPr>
          <w:p>
            <w:pPr>
              <w:spacing w:after="20" w:before="20" w:line="264" w:lineRule="auto"/>
              <w:jc w:val="left"/>
            </w:pPr>
            <w:r>
              <w:rPr>
                <w:b w:val="0"/>
                <w:sz w:val="18"/>
              </w:rPr>
              <w:t>中期迁移依据；原任务为安全导航，驾驶适配是开发工作</w:t>
            </w:r>
          </w:p>
        </w:tc>
      </w:tr>
    </w:tbl>
    <w:p>
      <w:pPr>
        <w:spacing w:after="40" w:before="0" w:line="96" w:lineRule="auto"/>
      </w:pPr>
    </w:p>
    <w:p>
      <w:pPr>
        <w:pStyle w:val="Heading2"/>
        <w:widowControl/>
      </w:pPr>
      <w:r>
        <w:t>小世界模型具体是什么</w:t>
      </w:r>
    </w:p>
    <w:p>
      <w:pPr>
        <w:widowControl/>
      </w:pPr>
      <w:r>
        <w:t>推荐的循环状态空间模型 RSSM，把历史信息压缩成可更新的隐状态。输入编码器将向量转成特征；动力学模块根据上一步隐状态和动作预测未来；观测到来后修正状态；不同预测头估计奖励、成本与终止。它可以很小，也可以用于图像，但“世界模型”本身不限定必须使用大 Transformer 或生成视频。</w:t>
      </w:r>
    </w:p>
    <w:p>
      <w:pPr>
        <w:widowControl/>
      </w:pPr>
      <w:r>
        <w:t>公开 DreamerV3 配置包含小型向量任务入口。TD-MPC2 也有不同规模模型，但规划成本还取决于候选轨迹数、时域和迭代次数。因此参数量只是成本的一部分；本项目不从论文模型档位直接推导本机显存或车端时延。</w:t>
      </w:r>
      <w:hyperlink r:id="rId29">
        <w:r>
          <w:rPr>
            <w:color w:val="174C72"/>
            <w:rFonts w:ascii="Noto Sans CJK SC" w:hAnsi="Noto Sans CJK SC" w:eastAsia="Noto Sans CJK SC"/>
          </w:rPr>
          <w:t>[R12]</w:t>
        </w:r>
      </w:hyperlink>
      <w:r/>
      <w:hyperlink r:id="rId31">
        <w:r>
          <w:rPr>
            <w:color w:val="174C72"/>
            <w:rFonts w:ascii="Noto Sans CJK SC" w:hAnsi="Noto Sans CJK SC" w:eastAsia="Noto Sans CJK SC"/>
          </w:rPr>
          <w:t>[R42]</w:t>
        </w:r>
      </w:hyperlink>
      <w:r/>
    </w:p>
    <w:p>
      <w:pPr>
        <w:pStyle w:val="Heading2"/>
        <w:widowControl/>
      </w:pPr>
      <w:r>
        <w:t>为什么默认只保留一条中期路线</w:t>
      </w:r>
    </w:p>
    <w:p>
      <w:pPr>
        <w:widowControl/>
      </w:pPr>
      <w:r>
        <w:t>本项目的主要问题是世界模型与安全约束能否在驾驶中产生可复验价值。默认采用 SafeDreamer 派生的小 RSSM 安全规划方案，减少同时开发多套算法的成本。PETS、MBPO、TD-MPC2 保留为机制参考和遇到明确工程阻塞时的备选；若既有工作已成熟使用其中一种，应先评估复用，再调整路线。</w:t>
      </w:r>
    </w:p>
    <w:p>
      <w:pPr>
        <w:widowControl/>
      </w:pPr>
      <w:r>
        <w:t>世界模型质量要分别评估：一步/多步状态预测、成本事件召回与校准、终止预测，以及在独立仿真器中的闭环结果。模型自己的想象环境不能同时担任训练环境与最终验收裁判。</w:t>
      </w:r>
    </w:p>
    <w:p>
      <w:pPr>
        <w:pStyle w:val="Heading1"/>
        <w:pageBreakBefore/>
        <w:widowControl/>
      </w:pPr>
      <w:r>
        <w:t>8 智驾世界模型研究与代码成熟度</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0" w:type="dxa"/>
          <w:bottom w:w="85" w:type="dxa"/>
          <w:right w:w="100" w:type="dxa"/>
        </w:tblCellMar>
      </w:tblPr>
      <w:tblGrid>
        <w:gridCol w:w="2542"/>
        <w:gridCol w:w="3660"/>
        <w:gridCol w:w="3965"/>
      </w:tblGrid>
      <w:tr>
        <w:trPr>
          <w:tblHeader/>
          <w:cantSplit/>
        </w:trPr>
        <w:tc>
          <w:tcPr>
            <w:tcW w:type="dxa" w:w="2542"/>
            <w:vAlign w:val="center"/>
            <w:shd w:fill="DCE6EC"/>
          </w:tcPr>
          <w:p>
            <w:pPr>
              <w:spacing w:after="20" w:before="20" w:line="264" w:lineRule="auto"/>
              <w:jc w:val="left"/>
            </w:pPr>
            <w:r>
              <w:rPr>
                <w:b/>
                <w:sz w:val="18"/>
              </w:rPr>
              <w:t>研究</w:t>
            </w:r>
          </w:p>
        </w:tc>
        <w:tc>
          <w:tcPr>
            <w:tcW w:type="dxa" w:w="3660"/>
            <w:vAlign w:val="center"/>
            <w:shd w:fill="DCE6EC"/>
          </w:tcPr>
          <w:p>
            <w:pPr>
              <w:spacing w:after="20" w:before="20" w:line="264" w:lineRule="auto"/>
              <w:jc w:val="left"/>
            </w:pPr>
            <w:r>
              <w:rPr>
                <w:b/>
                <w:sz w:val="18"/>
              </w:rPr>
              <w:t>对本项目的启发</w:t>
            </w:r>
          </w:p>
        </w:tc>
        <w:tc>
          <w:tcPr>
            <w:tcW w:type="dxa" w:w="3965"/>
            <w:vAlign w:val="center"/>
            <w:shd w:fill="DCE6EC"/>
          </w:tcPr>
          <w:p>
            <w:pPr>
              <w:spacing w:after="20" w:before="20" w:line="264" w:lineRule="auto"/>
              <w:jc w:val="left"/>
            </w:pPr>
            <w:r>
              <w:rPr>
                <w:b/>
                <w:sz w:val="18"/>
              </w:rPr>
              <w:t>公开代码与适用边界</w:t>
            </w:r>
          </w:p>
        </w:tc>
      </w:tr>
      <w:tr>
        <w:trPr>
          <w:cantSplit/>
        </w:trPr>
        <w:tc>
          <w:tcPr>
            <w:tcW w:type="dxa" w:w="2542"/>
            <w:vAlign w:val="center"/>
            <w:shd w:fill="FFFFFF"/>
          </w:tcPr>
          <w:p>
            <w:pPr>
              <w:spacing w:after="20" w:before="20" w:line="264" w:lineRule="auto"/>
              <w:jc w:val="left"/>
            </w:pPr>
            <w:r>
              <w:rPr>
                <w:b w:val="0"/>
                <w:sz w:val="18"/>
              </w:rPr>
              <w:t xml:space="preserve">Roach ICCV 2021 </w:t>
            </w:r>
            <w:hyperlink r:id="rId34">
              <w:r>
                <w:rPr>
                  <w:color w:val="174C72"/>
                  <w:rFonts w:ascii="Noto Sans CJK SC" w:hAnsi="Noto Sans CJK SC" w:eastAsia="Noto Sans CJK SC"/>
                </w:rPr>
                <w:t>[R47]</w:t>
              </w:r>
            </w:hyperlink>
            <w:r>
              <w:rPr>
                <w:b w:val="0"/>
                <w:sz w:val="18"/>
              </w:rPr>
            </w:r>
            <w:hyperlink r:id="rId35">
              <w:r>
                <w:rPr>
                  <w:color w:val="174C72"/>
                  <w:rFonts w:ascii="Noto Sans CJK SC" w:hAnsi="Noto Sans CJK SC" w:eastAsia="Noto Sans CJK SC"/>
                </w:rPr>
                <w:t>[R48]</w:t>
              </w:r>
            </w:hyperlink>
            <w:r>
              <w:rPr>
                <w:b w:val="0"/>
                <w:sz w:val="18"/>
              </w:rPr>
            </w:r>
          </w:p>
        </w:tc>
        <w:tc>
          <w:tcPr>
            <w:tcW w:type="dxa" w:w="3660"/>
            <w:vAlign w:val="center"/>
            <w:shd w:fill="FFFFFF"/>
          </w:tcPr>
          <w:p>
            <w:pPr>
              <w:spacing w:after="20" w:before="20" w:line="264" w:lineRule="auto"/>
              <w:jc w:val="left"/>
            </w:pPr>
            <w:r>
              <w:rPr>
                <w:b w:val="0"/>
                <w:sz w:val="18"/>
              </w:rPr>
              <w:t>特权 BEV RL 教师指导视觉学生</w:t>
            </w:r>
          </w:p>
        </w:tc>
        <w:tc>
          <w:tcPr>
            <w:tcW w:type="dxa" w:w="3965"/>
            <w:vAlign w:val="center"/>
            <w:shd w:fill="FFFFFF"/>
          </w:tcPr>
          <w:p>
            <w:pPr>
              <w:spacing w:after="20" w:before="20" w:line="264" w:lineRule="auto"/>
              <w:jc w:val="left"/>
            </w:pPr>
            <w:r>
              <w:rPr>
                <w:b w:val="0"/>
                <w:sz w:val="18"/>
              </w:rPr>
              <w:t>有训练/采集/评测代码；版本较早，输入不是原始视觉教师</w:t>
            </w:r>
          </w:p>
        </w:tc>
      </w:tr>
      <w:tr>
        <w:trPr>
          <w:cantSplit/>
        </w:trPr>
        <w:tc>
          <w:tcPr>
            <w:tcW w:type="dxa" w:w="2542"/>
            <w:vAlign w:val="center"/>
            <w:shd w:fill="F4F7F9"/>
          </w:tcPr>
          <w:p>
            <w:pPr>
              <w:spacing w:after="20" w:before="20" w:line="264" w:lineRule="auto"/>
              <w:jc w:val="left"/>
            </w:pPr>
            <w:r>
              <w:rPr>
                <w:b w:val="0"/>
                <w:sz w:val="18"/>
              </w:rPr>
              <w:t xml:space="preserve">Think2Drive ECCV 2024 </w:t>
            </w:r>
            <w:hyperlink r:id="rId36">
              <w:r>
                <w:rPr>
                  <w:color w:val="174C72"/>
                  <w:rFonts w:ascii="Noto Sans CJK SC" w:hAnsi="Noto Sans CJK SC" w:eastAsia="Noto Sans CJK SC"/>
                </w:rPr>
                <w:t>[R43]</w:t>
              </w:r>
            </w:hyperlink>
            <w:r>
              <w:rPr>
                <w:b w:val="0"/>
                <w:sz w:val="18"/>
              </w:rPr>
            </w:r>
          </w:p>
        </w:tc>
        <w:tc>
          <w:tcPr>
            <w:tcW w:type="dxa" w:w="3660"/>
            <w:vAlign w:val="center"/>
            <w:shd w:fill="F4F7F9"/>
          </w:tcPr>
          <w:p>
            <w:pPr>
              <w:spacing w:after="20" w:before="20" w:line="264" w:lineRule="auto"/>
              <w:jc w:val="left"/>
            </w:pPr>
            <w:r>
              <w:rPr>
                <w:b w:val="0"/>
                <w:sz w:val="18"/>
              </w:rPr>
              <w:t>以潜在世界模型训练复杂驾驶策略</w:t>
            </w:r>
          </w:p>
        </w:tc>
        <w:tc>
          <w:tcPr>
            <w:tcW w:type="dxa" w:w="3965"/>
            <w:vAlign w:val="center"/>
            <w:shd w:fill="F4F7F9"/>
          </w:tcPr>
          <w:p>
            <w:pPr>
              <w:spacing w:after="20" w:before="20" w:line="264" w:lineRule="auto"/>
              <w:jc w:val="left"/>
            </w:pPr>
            <w:r>
              <w:rPr>
                <w:b w:val="0"/>
                <w:sz w:val="18"/>
              </w:rPr>
              <w:t>特权 BEV 与离散化控制；本次未核实完整作者训练代码可用</w:t>
            </w:r>
          </w:p>
        </w:tc>
      </w:tr>
      <w:tr>
        <w:trPr>
          <w:cantSplit/>
        </w:trPr>
        <w:tc>
          <w:tcPr>
            <w:tcW w:type="dxa" w:w="2542"/>
            <w:vAlign w:val="center"/>
            <w:shd w:fill="FFFFFF"/>
          </w:tcPr>
          <w:p>
            <w:pPr>
              <w:spacing w:after="20" w:before="20" w:line="264" w:lineRule="auto"/>
              <w:jc w:val="left"/>
            </w:pPr>
            <w:r>
              <w:rPr>
                <w:b w:val="0"/>
                <w:sz w:val="18"/>
              </w:rPr>
              <w:t xml:space="preserve">CarDreamer 2024 </w:t>
            </w:r>
            <w:hyperlink r:id="rId37">
              <w:r>
                <w:rPr>
                  <w:color w:val="174C72"/>
                  <w:rFonts w:ascii="Noto Sans CJK SC" w:hAnsi="Noto Sans CJK SC" w:eastAsia="Noto Sans CJK SC"/>
                </w:rPr>
                <w:t>[R44]</w:t>
              </w:r>
            </w:hyperlink>
            <w:r>
              <w:rPr>
                <w:b w:val="0"/>
                <w:sz w:val="18"/>
              </w:rPr>
            </w:r>
          </w:p>
        </w:tc>
        <w:tc>
          <w:tcPr>
            <w:tcW w:type="dxa" w:w="3660"/>
            <w:vAlign w:val="center"/>
            <w:shd w:fill="FFFFFF"/>
          </w:tcPr>
          <w:p>
            <w:pPr>
              <w:spacing w:after="20" w:before="20" w:line="264" w:lineRule="auto"/>
              <w:jc w:val="left"/>
            </w:pPr>
            <w:r>
              <w:rPr>
                <w:b w:val="0"/>
                <w:sz w:val="18"/>
              </w:rPr>
              <w:t>把 CARLA 小任务与 Dreamer 训练链连接</w:t>
            </w:r>
          </w:p>
        </w:tc>
        <w:tc>
          <w:tcPr>
            <w:tcW w:type="dxa" w:w="3965"/>
            <w:vAlign w:val="center"/>
            <w:shd w:fill="FFFFFF"/>
          </w:tcPr>
          <w:p>
            <w:pPr>
              <w:spacing w:after="20" w:before="20" w:line="264" w:lineRule="auto"/>
              <w:jc w:val="left"/>
            </w:pPr>
            <w:r>
              <w:rPr>
                <w:b w:val="0"/>
                <w:sz w:val="18"/>
              </w:rPr>
              <w:t>有任务、脚本、checkpoint；适合作为后续 CARLA 复现入口</w:t>
            </w:r>
          </w:p>
        </w:tc>
      </w:tr>
      <w:tr>
        <w:trPr>
          <w:cantSplit/>
        </w:trPr>
        <w:tc>
          <w:tcPr>
            <w:tcW w:type="dxa" w:w="2542"/>
            <w:vAlign w:val="center"/>
            <w:shd w:fill="F4F7F9"/>
          </w:tcPr>
          <w:p>
            <w:pPr>
              <w:spacing w:after="20" w:before="20" w:line="264" w:lineRule="auto"/>
              <w:jc w:val="left"/>
            </w:pPr>
            <w:r>
              <w:rPr>
                <w:b w:val="0"/>
                <w:sz w:val="18"/>
              </w:rPr>
              <w:t xml:space="preserve">AdaWM ICLR 2025 </w:t>
            </w:r>
            <w:hyperlink r:id="rId38">
              <w:r>
                <w:rPr>
                  <w:color w:val="174C72"/>
                  <w:rFonts w:ascii="Noto Sans CJK SC" w:hAnsi="Noto Sans CJK SC" w:eastAsia="Noto Sans CJK SC"/>
                </w:rPr>
                <w:t>[R36]</w:t>
              </w:r>
            </w:hyperlink>
            <w:r>
              <w:rPr>
                <w:b w:val="0"/>
                <w:sz w:val="18"/>
              </w:rPr>
            </w:r>
          </w:p>
        </w:tc>
        <w:tc>
          <w:tcPr>
            <w:tcW w:type="dxa" w:w="3660"/>
            <w:vAlign w:val="center"/>
            <w:shd w:fill="F4F7F9"/>
          </w:tcPr>
          <w:p>
            <w:pPr>
              <w:spacing w:after="20" w:before="20" w:line="264" w:lineRule="auto"/>
              <w:jc w:val="left"/>
            </w:pPr>
            <w:r>
              <w:rPr>
                <w:b w:val="0"/>
                <w:sz w:val="18"/>
              </w:rPr>
              <w:t>区分模型失配与策略失配，选择性适配</w:t>
            </w:r>
          </w:p>
        </w:tc>
        <w:tc>
          <w:tcPr>
            <w:tcW w:type="dxa" w:w="3965"/>
            <w:vAlign w:val="center"/>
            <w:shd w:fill="F4F7F9"/>
          </w:tcPr>
          <w:p>
            <w:pPr>
              <w:spacing w:after="20" w:before="20" w:line="264" w:lineRule="auto"/>
              <w:jc w:val="left"/>
            </w:pPr>
            <w:r>
              <w:rPr>
                <w:b w:val="0"/>
                <w:sz w:val="18"/>
              </w:rPr>
              <w:t>提示跨 ODD 迁移需诊断；本报告不把摘要当完整复现证据</w:t>
            </w:r>
          </w:p>
        </w:tc>
      </w:tr>
      <w:tr>
        <w:trPr>
          <w:cantSplit/>
        </w:trPr>
        <w:tc>
          <w:tcPr>
            <w:tcW w:type="dxa" w:w="2542"/>
            <w:vAlign w:val="center"/>
            <w:shd w:fill="FFFFFF"/>
          </w:tcPr>
          <w:p>
            <w:pPr>
              <w:spacing w:after="20" w:before="20" w:line="264" w:lineRule="auto"/>
              <w:jc w:val="left"/>
            </w:pPr>
            <w:r>
              <w:rPr>
                <w:b w:val="0"/>
                <w:sz w:val="18"/>
              </w:rPr>
              <w:t xml:space="preserve">Raw2Drive NeurIPS 2025 </w:t>
            </w:r>
            <w:hyperlink r:id="rId39">
              <w:r>
                <w:rPr>
                  <w:color w:val="174C72"/>
                  <w:rFonts w:ascii="Noto Sans CJK SC" w:hAnsi="Noto Sans CJK SC" w:eastAsia="Noto Sans CJK SC"/>
                </w:rPr>
                <w:t>[R37]</w:t>
              </w:r>
            </w:hyperlink>
            <w:r>
              <w:rPr>
                <w:b w:val="0"/>
                <w:sz w:val="18"/>
              </w:rPr>
            </w:r>
            <w:hyperlink r:id="rId40">
              <w:r>
                <w:rPr>
                  <w:color w:val="174C72"/>
                  <w:rFonts w:ascii="Noto Sans CJK SC" w:hAnsi="Noto Sans CJK SC" w:eastAsia="Noto Sans CJK SC"/>
                </w:rPr>
                <w:t>[R45]</w:t>
              </w:r>
            </w:hyperlink>
            <w:r>
              <w:rPr>
                <w:b w:val="0"/>
                <w:sz w:val="18"/>
              </w:rPr>
            </w:r>
          </w:p>
        </w:tc>
        <w:tc>
          <w:tcPr>
            <w:tcW w:type="dxa" w:w="3660"/>
            <w:vAlign w:val="center"/>
            <w:shd w:fill="FFFFFF"/>
          </w:tcPr>
          <w:p>
            <w:pPr>
              <w:spacing w:after="20" w:before="20" w:line="264" w:lineRule="auto"/>
              <w:jc w:val="left"/>
            </w:pPr>
            <w:r>
              <w:rPr>
                <w:b w:val="0"/>
                <w:sz w:val="18"/>
              </w:rPr>
              <w:t>从特权世界模型向传感器世界模型转移</w:t>
            </w:r>
          </w:p>
        </w:tc>
        <w:tc>
          <w:tcPr>
            <w:tcW w:type="dxa" w:w="3965"/>
            <w:vAlign w:val="center"/>
            <w:shd w:fill="FFFFFF"/>
          </w:tcPr>
          <w:p>
            <w:pPr>
              <w:spacing w:after="20" w:before="20" w:line="264" w:lineRule="auto"/>
              <w:jc w:val="left"/>
            </w:pPr>
            <w:r>
              <w:rPr>
                <w:b w:val="0"/>
                <w:sz w:val="18"/>
              </w:rPr>
              <w:t>核验时仓库主要为 README；不列为已公开完整训练流水线</w:t>
            </w:r>
          </w:p>
        </w:tc>
      </w:tr>
      <w:tr>
        <w:trPr>
          <w:cantSplit/>
        </w:trPr>
        <w:tc>
          <w:tcPr>
            <w:tcW w:type="dxa" w:w="2542"/>
            <w:vAlign w:val="center"/>
            <w:shd w:fill="F4F7F9"/>
          </w:tcPr>
          <w:p>
            <w:pPr>
              <w:spacing w:after="20" w:before="20" w:line="264" w:lineRule="auto"/>
              <w:jc w:val="left"/>
            </w:pPr>
            <w:r>
              <w:rPr>
                <w:b w:val="0"/>
                <w:sz w:val="18"/>
              </w:rPr>
              <w:t xml:space="preserve">WorldRFT AAAI 2026 </w:t>
            </w:r>
            <w:hyperlink r:id="rId41">
              <w:r>
                <w:rPr>
                  <w:color w:val="174C72"/>
                  <w:rFonts w:ascii="Noto Sans CJK SC" w:hAnsi="Noto Sans CJK SC" w:eastAsia="Noto Sans CJK SC"/>
                </w:rPr>
                <w:t>[R38]</w:t>
              </w:r>
            </w:hyperlink>
            <w:r>
              <w:rPr>
                <w:b w:val="0"/>
                <w:sz w:val="18"/>
              </w:rPr>
            </w:r>
          </w:p>
        </w:tc>
        <w:tc>
          <w:tcPr>
            <w:tcW w:type="dxa" w:w="3660"/>
            <w:vAlign w:val="center"/>
            <w:shd w:fill="F4F7F9"/>
          </w:tcPr>
          <w:p>
            <w:pPr>
              <w:spacing w:after="20" w:before="20" w:line="264" w:lineRule="auto"/>
              <w:jc w:val="left"/>
            </w:pPr>
            <w:r>
              <w:rPr>
                <w:b w:val="0"/>
                <w:sz w:val="18"/>
              </w:rPr>
              <w:t>将表示学习与规划目标对齐，并用 GRPO 微调</w:t>
            </w:r>
          </w:p>
        </w:tc>
        <w:tc>
          <w:tcPr>
            <w:tcW w:type="dxa" w:w="3965"/>
            <w:vAlign w:val="center"/>
            <w:shd w:fill="F4F7F9"/>
          </w:tcPr>
          <w:p>
            <w:pPr>
              <w:spacing w:after="20" w:before="20" w:line="264" w:lineRule="auto"/>
              <w:jc w:val="left"/>
            </w:pPr>
            <w:r>
              <w:rPr>
                <w:b w:val="0"/>
                <w:sz w:val="18"/>
              </w:rPr>
              <w:t>视觉潜在规划方向；其基准碰撞指标不能当现实道路风险</w:t>
            </w:r>
          </w:p>
        </w:tc>
      </w:tr>
      <w:tr>
        <w:trPr>
          <w:cantSplit/>
        </w:trPr>
        <w:tc>
          <w:tcPr>
            <w:tcW w:type="dxa" w:w="2542"/>
            <w:vAlign w:val="center"/>
            <w:shd w:fill="FFFFFF"/>
          </w:tcPr>
          <w:p>
            <w:pPr>
              <w:spacing w:after="20" w:before="20" w:line="264" w:lineRule="auto"/>
              <w:jc w:val="left"/>
            </w:pPr>
            <w:r>
              <w:rPr>
                <w:b w:val="0"/>
                <w:sz w:val="18"/>
              </w:rPr>
              <w:t xml:space="preserve">Vista NeurIPS 2024 </w:t>
            </w:r>
            <w:hyperlink r:id="rId42">
              <w:r>
                <w:rPr>
                  <w:color w:val="174C72"/>
                  <w:rFonts w:ascii="Noto Sans CJK SC" w:hAnsi="Noto Sans CJK SC" w:eastAsia="Noto Sans CJK SC"/>
                </w:rPr>
                <w:t>[R46]</w:t>
              </w:r>
            </w:hyperlink>
            <w:r>
              <w:rPr>
                <w:b w:val="0"/>
                <w:sz w:val="18"/>
              </w:rPr>
            </w:r>
          </w:p>
        </w:tc>
        <w:tc>
          <w:tcPr>
            <w:tcW w:type="dxa" w:w="3660"/>
            <w:vAlign w:val="center"/>
            <w:shd w:fill="FFFFFF"/>
          </w:tcPr>
          <w:p>
            <w:pPr>
              <w:spacing w:after="20" w:before="20" w:line="264" w:lineRule="auto"/>
              <w:jc w:val="left"/>
            </w:pPr>
            <w:r>
              <w:rPr>
                <w:b w:val="0"/>
                <w:sz w:val="18"/>
              </w:rPr>
              <w:t>可控驾驶视频预测与场景生成</w:t>
            </w:r>
          </w:p>
        </w:tc>
        <w:tc>
          <w:tcPr>
            <w:tcW w:type="dxa" w:w="3965"/>
            <w:vAlign w:val="center"/>
            <w:shd w:fill="FFFFFF"/>
          </w:tcPr>
          <w:p>
            <w:pPr>
              <w:spacing w:after="20" w:before="20" w:line="264" w:lineRule="auto"/>
              <w:jc w:val="left"/>
            </w:pPr>
            <w:r>
              <w:rPr>
                <w:b w:val="0"/>
                <w:sz w:val="18"/>
              </w:rPr>
              <w:t>有代码/权重；生成质量和闭环控制安全需分别证明</w:t>
            </w:r>
          </w:p>
        </w:tc>
      </w:tr>
    </w:tbl>
    <w:p>
      <w:pPr>
        <w:spacing w:after="40" w:before="0" w:line="96" w:lineRule="auto"/>
      </w:pPr>
    </w:p>
    <w:p>
      <w:pPr>
        <w:pStyle w:val="Heading2"/>
        <w:widowControl/>
      </w:pPr>
      <w:r>
        <w:t>读文献时应保留的条件</w:t>
      </w:r>
    </w:p>
    <w:p>
      <w:pPr>
        <w:widowControl/>
      </w:pPr>
      <w:r>
        <w:t>把输入类型、控制层级、环境版本、训练数据、真值/特权信息、评测分母和代码公开范围放在同一张登记表。一个方法在 CARLA 的成绩，不能与另一个方法在简化驾驶环境的 reward 直接排名；离散动作和连续低层控制也不能被当成同一任务。</w:t>
      </w:r>
    </w:p>
    <w:p>
      <w:pPr>
        <w:widowControl/>
      </w:pPr>
      <w:r>
        <w:t>Think2Drive 的单 A6000 约三天是作者特定实验设置，包含较强 CPU 配套。CarDreamer 作者报告单 4090 配置，并给出模型与 CARLA 的显存开销说明。这些证明“某些驾驶世界模型能在单卡研究”具有先例，不证明本项目三天可完成，也不证明任意 24GB 配置足够。</w:t>
      </w:r>
      <w:hyperlink r:id="rId36">
        <w:r>
          <w:rPr>
            <w:color w:val="174C72"/>
            <w:rFonts w:ascii="Noto Sans CJK SC" w:hAnsi="Noto Sans CJK SC" w:eastAsia="Noto Sans CJK SC"/>
          </w:rPr>
          <w:t>[R43]</w:t>
        </w:r>
      </w:hyperlink>
      <w:r/>
      <w:hyperlink r:id="rId37">
        <w:r>
          <w:rPr>
            <w:color w:val="174C72"/>
            <w:rFonts w:ascii="Noto Sans CJK SC" w:hAnsi="Noto Sans CJK SC" w:eastAsia="Noto Sans CJK SC"/>
          </w:rPr>
          <w:t>[R44]</w:t>
        </w:r>
      </w:hyperlink>
      <w:r/>
    </w:p>
    <w:p>
      <w:pPr>
        <w:pStyle w:val="Heading2"/>
        <w:widowControl/>
      </w:pPr>
      <w:r>
        <w:t>最新工作的实际用途</w:t>
      </w:r>
    </w:p>
    <w:p>
      <w:pPr>
        <w:widowControl/>
      </w:pPr>
      <w:r>
        <w:t>近期视觉研究值得用于设计后续问题：怎样处理预训练到新 ODD 的失配，怎样去掉特权输入，怎样让表示服务规划。当前不宜把它们叠加成第一版工程需求。先验证向量路线后，再判断瓶颈来自感知、历史建模、交互预测还是约束设计。</w:t>
      </w:r>
    </w:p>
    <w:p>
      <w:pPr>
        <w:pStyle w:val="Heading1"/>
        <w:pageBreakBefore/>
        <w:widowControl/>
      </w:pPr>
      <w:r>
        <w:t>9 安全强化学习文献与实现边界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0" w:type="dxa"/>
          <w:bottom w:w="85" w:type="dxa"/>
          <w:right w:w="100" w:type="dxa"/>
        </w:tblCellMar>
      </w:tblPr>
      <w:tblGrid>
        <w:gridCol w:w="2745"/>
        <w:gridCol w:w="3558"/>
        <w:gridCol w:w="3863"/>
      </w:tblGrid>
      <w:tr>
        <w:trPr>
          <w:tblHeader/>
          <w:cantSplit/>
        </w:trPr>
        <w:tc>
          <w:tcPr>
            <w:tcW w:type="dxa" w:w="2745"/>
            <w:vAlign w:val="center"/>
            <w:shd w:fill="DCE6EC"/>
          </w:tcPr>
          <w:p>
            <w:pPr>
              <w:spacing w:after="20" w:before="20" w:line="264" w:lineRule="auto"/>
              <w:jc w:val="left"/>
            </w:pPr>
            <w:r>
              <w:rPr>
                <w:b/>
                <w:sz w:val="18"/>
              </w:rPr>
              <w:t>方法</w:t>
            </w:r>
          </w:p>
        </w:tc>
        <w:tc>
          <w:tcPr>
            <w:tcW w:type="dxa" w:w="3558"/>
            <w:vAlign w:val="center"/>
            <w:shd w:fill="DCE6EC"/>
          </w:tcPr>
          <w:p>
            <w:pPr>
              <w:spacing w:after="20" w:before="20" w:line="264" w:lineRule="auto"/>
              <w:jc w:val="left"/>
            </w:pPr>
            <w:r>
              <w:rPr>
                <w:b/>
                <w:sz w:val="18"/>
              </w:rPr>
              <w:t>可迁移机制</w:t>
            </w:r>
          </w:p>
        </w:tc>
        <w:tc>
          <w:tcPr>
            <w:tcW w:type="dxa" w:w="3863"/>
            <w:vAlign w:val="center"/>
            <w:shd w:fill="DCE6EC"/>
          </w:tcPr>
          <w:p>
            <w:pPr>
              <w:spacing w:after="20" w:before="20" w:line="264" w:lineRule="auto"/>
              <w:jc w:val="left"/>
            </w:pPr>
            <w:r>
              <w:rPr>
                <w:b/>
                <w:sz w:val="18"/>
              </w:rPr>
              <w:t>主要限制</w:t>
            </w:r>
          </w:p>
        </w:tc>
      </w:tr>
      <w:tr>
        <w:trPr>
          <w:cantSplit/>
        </w:trPr>
        <w:tc>
          <w:tcPr>
            <w:tcW w:type="dxa" w:w="2745"/>
            <w:vAlign w:val="center"/>
            <w:shd w:fill="FFFFFF"/>
          </w:tcPr>
          <w:p>
            <w:pPr>
              <w:spacing w:after="20" w:before="20" w:line="264" w:lineRule="auto"/>
              <w:jc w:val="left"/>
            </w:pPr>
            <w:r>
              <w:rPr>
                <w:b w:val="0"/>
                <w:sz w:val="18"/>
              </w:rPr>
              <w:t xml:space="preserve">PPO Lagrangian </w:t>
            </w:r>
            <w:hyperlink r:id="rId18">
              <w:r>
                <w:rPr>
                  <w:color w:val="174C72"/>
                  <w:rFonts w:ascii="Noto Sans CJK SC" w:hAnsi="Noto Sans CJK SC" w:eastAsia="Noto Sans CJK SC"/>
                </w:rPr>
                <w:t>[R14]</w:t>
              </w:r>
            </w:hyperlink>
            <w:r>
              <w:rPr>
                <w:b w:val="0"/>
                <w:sz w:val="18"/>
              </w:rPr>
            </w:r>
          </w:p>
        </w:tc>
        <w:tc>
          <w:tcPr>
            <w:tcW w:type="dxa" w:w="3558"/>
            <w:vAlign w:val="center"/>
            <w:shd w:fill="FFFFFF"/>
          </w:tcPr>
          <w:p>
            <w:pPr>
              <w:spacing w:after="20" w:before="20" w:line="264" w:lineRule="auto"/>
              <w:jc w:val="left"/>
            </w:pPr>
            <w:r>
              <w:rPr>
                <w:b w:val="0"/>
                <w:sz w:val="18"/>
              </w:rPr>
              <w:t>成本价值函数与乘子使安全预算进入策略优化</w:t>
            </w:r>
          </w:p>
        </w:tc>
        <w:tc>
          <w:tcPr>
            <w:tcW w:type="dxa" w:w="3863"/>
            <w:vAlign w:val="center"/>
            <w:shd w:fill="FFFFFF"/>
          </w:tcPr>
          <w:p>
            <w:pPr>
              <w:spacing w:after="20" w:before="20" w:line="264" w:lineRule="auto"/>
              <w:jc w:val="left"/>
            </w:pPr>
            <w:r>
              <w:rPr>
                <w:b w:val="0"/>
                <w:sz w:val="18"/>
              </w:rPr>
              <w:t>训练可能振荡/超调；期望成本约束不等于逐步硬安全</w:t>
            </w:r>
          </w:p>
        </w:tc>
      </w:tr>
      <w:tr>
        <w:trPr>
          <w:cantSplit/>
        </w:trPr>
        <w:tc>
          <w:tcPr>
            <w:tcW w:type="dxa" w:w="2745"/>
            <w:vAlign w:val="center"/>
            <w:shd w:fill="F4F7F9"/>
          </w:tcPr>
          <w:p>
            <w:pPr>
              <w:spacing w:after="20" w:before="20" w:line="264" w:lineRule="auto"/>
              <w:jc w:val="left"/>
            </w:pPr>
            <w:r>
              <w:rPr>
                <w:b w:val="0"/>
                <w:sz w:val="18"/>
              </w:rPr>
              <w:t xml:space="preserve">PID Lagrangian 2020 </w:t>
            </w:r>
            <w:hyperlink r:id="rId43">
              <w:r>
                <w:rPr>
                  <w:color w:val="174C72"/>
                  <w:rFonts w:ascii="Noto Sans CJK SC" w:hAnsi="Noto Sans CJK SC" w:eastAsia="Noto Sans CJK SC"/>
                </w:rPr>
                <w:t>[R15]</w:t>
              </w:r>
            </w:hyperlink>
            <w:r>
              <w:rPr>
                <w:b w:val="0"/>
                <w:sz w:val="18"/>
              </w:rPr>
            </w:r>
          </w:p>
        </w:tc>
        <w:tc>
          <w:tcPr>
            <w:tcW w:type="dxa" w:w="3558"/>
            <w:vAlign w:val="center"/>
            <w:shd w:fill="F4F7F9"/>
          </w:tcPr>
          <w:p>
            <w:pPr>
              <w:spacing w:after="20" w:before="20" w:line="264" w:lineRule="auto"/>
              <w:jc w:val="left"/>
            </w:pPr>
            <w:r>
              <w:rPr>
                <w:b w:val="0"/>
                <w:sz w:val="18"/>
              </w:rPr>
              <w:t>改善乘子响应与振荡</w:t>
            </w:r>
          </w:p>
        </w:tc>
        <w:tc>
          <w:tcPr>
            <w:tcW w:type="dxa" w:w="3863"/>
            <w:vAlign w:val="center"/>
            <w:shd w:fill="F4F7F9"/>
          </w:tcPr>
          <w:p>
            <w:pPr>
              <w:spacing w:after="20" w:before="20" w:line="264" w:lineRule="auto"/>
              <w:jc w:val="left"/>
            </w:pPr>
            <w:r>
              <w:rPr>
                <w:b w:val="0"/>
                <w:sz w:val="18"/>
              </w:rPr>
              <w:t>仍依赖成本尺度和调参；作为后续低成本对照</w:t>
            </w:r>
          </w:p>
        </w:tc>
      </w:tr>
      <w:tr>
        <w:trPr>
          <w:cantSplit/>
        </w:trPr>
        <w:tc>
          <w:tcPr>
            <w:tcW w:type="dxa" w:w="2745"/>
            <w:vAlign w:val="center"/>
            <w:shd w:fill="FFFFFF"/>
          </w:tcPr>
          <w:p>
            <w:pPr>
              <w:spacing w:after="20" w:before="20" w:line="264" w:lineRule="auto"/>
              <w:jc w:val="left"/>
            </w:pPr>
            <w:r>
              <w:rPr>
                <w:b w:val="0"/>
                <w:sz w:val="18"/>
              </w:rPr>
              <w:t xml:space="preserve">CPO 2017 </w:t>
            </w:r>
            <w:hyperlink r:id="rId17">
              <w:r>
                <w:rPr>
                  <w:color w:val="174C72"/>
                  <w:rFonts w:ascii="Noto Sans CJK SC" w:hAnsi="Noto Sans CJK SC" w:eastAsia="Noto Sans CJK SC"/>
                </w:rPr>
                <w:t>[R16]</w:t>
              </w:r>
            </w:hyperlink>
            <w:r>
              <w:rPr>
                <w:b w:val="0"/>
                <w:sz w:val="18"/>
              </w:rPr>
            </w:r>
          </w:p>
        </w:tc>
        <w:tc>
          <w:tcPr>
            <w:tcW w:type="dxa" w:w="3558"/>
            <w:vAlign w:val="center"/>
            <w:shd w:fill="FFFFFF"/>
          </w:tcPr>
          <w:p>
            <w:pPr>
              <w:spacing w:after="20" w:before="20" w:line="264" w:lineRule="auto"/>
              <w:jc w:val="left"/>
            </w:pPr>
            <w:r>
              <w:rPr>
                <w:b w:val="0"/>
                <w:sz w:val="18"/>
              </w:rPr>
              <w:t>约束信赖域更新与理论分析</w:t>
            </w:r>
          </w:p>
        </w:tc>
        <w:tc>
          <w:tcPr>
            <w:tcW w:type="dxa" w:w="3863"/>
            <w:vAlign w:val="center"/>
            <w:shd w:fill="FFFFFF"/>
          </w:tcPr>
          <w:p>
            <w:pPr>
              <w:spacing w:after="20" w:before="20" w:line="264" w:lineRule="auto"/>
              <w:jc w:val="left"/>
            </w:pPr>
            <w:r>
              <w:rPr>
                <w:b w:val="0"/>
                <w:sz w:val="18"/>
              </w:rPr>
              <w:t>保证依赖假设和近似；本期不把复杂求解列为必做</w:t>
            </w:r>
          </w:p>
        </w:tc>
      </w:tr>
      <w:tr>
        <w:trPr>
          <w:cantSplit/>
        </w:trPr>
        <w:tc>
          <w:tcPr>
            <w:tcW w:type="dxa" w:w="2745"/>
            <w:vAlign w:val="center"/>
            <w:shd w:fill="F4F7F9"/>
          </w:tcPr>
          <w:p>
            <w:pPr>
              <w:spacing w:after="20" w:before="20" w:line="264" w:lineRule="auto"/>
              <w:jc w:val="left"/>
            </w:pPr>
            <w:r>
              <w:rPr>
                <w:b w:val="0"/>
                <w:sz w:val="18"/>
              </w:rPr>
              <w:t xml:space="preserve">Safe MBPO 2021 </w:t>
            </w:r>
            <w:hyperlink r:id="rId44">
              <w:r>
                <w:rPr>
                  <w:color w:val="174C72"/>
                  <w:rFonts w:ascii="Noto Sans CJK SC" w:hAnsi="Noto Sans CJK SC" w:eastAsia="Noto Sans CJK SC"/>
                </w:rPr>
                <w:t>[R17]</w:t>
              </w:r>
            </w:hyperlink>
            <w:r>
              <w:rPr>
                <w:b w:val="0"/>
                <w:sz w:val="18"/>
              </w:rPr>
            </w:r>
          </w:p>
        </w:tc>
        <w:tc>
          <w:tcPr>
            <w:tcW w:type="dxa" w:w="3558"/>
            <w:vAlign w:val="center"/>
            <w:shd w:fill="F4F7F9"/>
          </w:tcPr>
          <w:p>
            <w:pPr>
              <w:spacing w:after="20" w:before="20" w:line="264" w:lineRule="auto"/>
              <w:jc w:val="left"/>
            </w:pPr>
            <w:r>
              <w:rPr>
                <w:b w:val="0"/>
                <w:sz w:val="18"/>
              </w:rPr>
              <w:t>通过短期模型预测避免危险</w:t>
            </w:r>
          </w:p>
        </w:tc>
        <w:tc>
          <w:tcPr>
            <w:tcW w:type="dxa" w:w="3863"/>
            <w:vAlign w:val="center"/>
            <w:shd w:fill="F4F7F9"/>
          </w:tcPr>
          <w:p>
            <w:pPr>
              <w:spacing w:after="20" w:before="20" w:line="264" w:lineRule="auto"/>
              <w:jc w:val="left"/>
            </w:pPr>
            <w:r>
              <w:rPr>
                <w:b w:val="0"/>
                <w:sz w:val="18"/>
              </w:rPr>
              <w:t>依赖模型足够准确且风险可在预测窗口内识别</w:t>
            </w:r>
          </w:p>
        </w:tc>
      </w:tr>
      <w:tr>
        <w:trPr>
          <w:cantSplit/>
        </w:trPr>
        <w:tc>
          <w:tcPr>
            <w:tcW w:type="dxa" w:w="2745"/>
            <w:vAlign w:val="center"/>
            <w:shd w:fill="FFFFFF"/>
          </w:tcPr>
          <w:p>
            <w:pPr>
              <w:spacing w:after="20" w:before="20" w:line="264" w:lineRule="auto"/>
              <w:jc w:val="left"/>
            </w:pPr>
            <w:r>
              <w:rPr>
                <w:b w:val="0"/>
                <w:sz w:val="18"/>
              </w:rPr>
              <w:t xml:space="preserve">LAMBDA 2022 </w:t>
            </w:r>
            <w:hyperlink r:id="rId45">
              <w:r>
                <w:rPr>
                  <w:color w:val="174C72"/>
                  <w:rFonts w:ascii="Noto Sans CJK SC" w:hAnsi="Noto Sans CJK SC" w:eastAsia="Noto Sans CJK SC"/>
                </w:rPr>
                <w:t>[R18]</w:t>
              </w:r>
            </w:hyperlink>
            <w:r>
              <w:rPr>
                <w:b w:val="0"/>
                <w:sz w:val="18"/>
              </w:rPr>
            </w:r>
          </w:p>
        </w:tc>
        <w:tc>
          <w:tcPr>
            <w:tcW w:type="dxa" w:w="3558"/>
            <w:vAlign w:val="center"/>
            <w:shd w:fill="FFFFFF"/>
          </w:tcPr>
          <w:p>
            <w:pPr>
              <w:spacing w:after="20" w:before="20" w:line="264" w:lineRule="auto"/>
              <w:jc w:val="left"/>
            </w:pPr>
            <w:r>
              <w:rPr>
                <w:b w:val="0"/>
                <w:sz w:val="18"/>
              </w:rPr>
              <w:t>利用不确定性采取悲观安全估计</w:t>
            </w:r>
          </w:p>
        </w:tc>
        <w:tc>
          <w:tcPr>
            <w:tcW w:type="dxa" w:w="3863"/>
            <w:vAlign w:val="center"/>
            <w:shd w:fill="FFFFFF"/>
          </w:tcPr>
          <w:p>
            <w:pPr>
              <w:spacing w:after="20" w:before="20" w:line="264" w:lineRule="auto"/>
              <w:jc w:val="left"/>
            </w:pPr>
            <w:r>
              <w:rPr>
                <w:b w:val="0"/>
                <w:sz w:val="18"/>
              </w:rPr>
              <w:t>可借鉴风险建模；原实现生态需单独兼容性评估</w:t>
            </w:r>
          </w:p>
        </w:tc>
      </w:tr>
      <w:tr>
        <w:trPr>
          <w:cantSplit/>
        </w:trPr>
        <w:tc>
          <w:tcPr>
            <w:tcW w:type="dxa" w:w="2745"/>
            <w:vAlign w:val="center"/>
            <w:shd w:fill="F4F7F9"/>
          </w:tcPr>
          <w:p>
            <w:pPr>
              <w:spacing w:after="20" w:before="20" w:line="264" w:lineRule="auto"/>
              <w:jc w:val="left"/>
            </w:pPr>
            <w:r>
              <w:rPr>
                <w:b w:val="0"/>
                <w:sz w:val="18"/>
              </w:rPr>
              <w:t xml:space="preserve">模型化约束 PPO 2022 </w:t>
            </w:r>
            <w:hyperlink r:id="rId46">
              <w:r>
                <w:rPr>
                  <w:color w:val="174C72"/>
                  <w:rFonts w:ascii="Noto Sans CJK SC" w:hAnsi="Noto Sans CJK SC" w:eastAsia="Noto Sans CJK SC"/>
                </w:rPr>
                <w:t>[R19]</w:t>
              </w:r>
            </w:hyperlink>
            <w:r>
              <w:rPr>
                <w:b w:val="0"/>
                <w:sz w:val="18"/>
              </w:rPr>
            </w:r>
          </w:p>
        </w:tc>
        <w:tc>
          <w:tcPr>
            <w:tcW w:type="dxa" w:w="3558"/>
            <w:vAlign w:val="center"/>
            <w:shd w:fill="F4F7F9"/>
          </w:tcPr>
          <w:p>
            <w:pPr>
              <w:spacing w:after="20" w:before="20" w:line="264" w:lineRule="auto"/>
              <w:jc w:val="left"/>
            </w:pPr>
            <w:r>
              <w:rPr>
                <w:b w:val="0"/>
                <w:sz w:val="18"/>
              </w:rPr>
              <w:t>动力学集合与约束 PPO 结合</w:t>
            </w:r>
          </w:p>
        </w:tc>
        <w:tc>
          <w:tcPr>
            <w:tcW w:type="dxa" w:w="3863"/>
            <w:vAlign w:val="center"/>
            <w:shd w:fill="F4F7F9"/>
          </w:tcPr>
          <w:p>
            <w:pPr>
              <w:spacing w:after="20" w:before="20" w:line="264" w:lineRule="auto"/>
              <w:jc w:val="left"/>
            </w:pPr>
            <w:r>
              <w:rPr>
                <w:b w:val="0"/>
                <w:sz w:val="18"/>
              </w:rPr>
              <w:t>说明方向已有先例；不可把任意生成数据直接混入 PPO</w:t>
            </w:r>
          </w:p>
        </w:tc>
      </w:tr>
      <w:tr>
        <w:trPr>
          <w:cantSplit/>
        </w:trPr>
        <w:tc>
          <w:tcPr>
            <w:tcW w:type="dxa" w:w="2745"/>
            <w:vAlign w:val="center"/>
            <w:shd w:fill="FFFFFF"/>
          </w:tcPr>
          <w:p>
            <w:pPr>
              <w:spacing w:after="20" w:before="20" w:line="264" w:lineRule="auto"/>
              <w:jc w:val="left"/>
            </w:pPr>
            <w:r>
              <w:rPr>
                <w:b w:val="0"/>
                <w:sz w:val="18"/>
              </w:rPr>
              <w:t xml:space="preserve">SafeDreamer 2024 </w:t>
            </w:r>
            <w:hyperlink r:id="rId32">
              <w:r>
                <w:rPr>
                  <w:color w:val="174C72"/>
                  <w:rFonts w:ascii="Noto Sans CJK SC" w:hAnsi="Noto Sans CJK SC" w:eastAsia="Noto Sans CJK SC"/>
                </w:rPr>
                <w:t>[R20]</w:t>
              </w:r>
            </w:hyperlink>
            <w:r>
              <w:rPr>
                <w:b w:val="0"/>
                <w:sz w:val="18"/>
              </w:rPr>
            </w:r>
            <w:hyperlink r:id="rId33">
              <w:r>
                <w:rPr>
                  <w:color w:val="174C72"/>
                  <w:rFonts w:ascii="Noto Sans CJK SC" w:hAnsi="Noto Sans CJK SC" w:eastAsia="Noto Sans CJK SC"/>
                </w:rPr>
                <w:t>[R21]</w:t>
              </w:r>
            </w:hyperlink>
            <w:r>
              <w:rPr>
                <w:b w:val="0"/>
                <w:sz w:val="18"/>
              </w:rPr>
            </w:r>
          </w:p>
        </w:tc>
        <w:tc>
          <w:tcPr>
            <w:tcW w:type="dxa" w:w="3558"/>
            <w:vAlign w:val="center"/>
            <w:shd w:fill="FFFFFF"/>
          </w:tcPr>
          <w:p>
            <w:pPr>
              <w:spacing w:after="20" w:before="20" w:line="264" w:lineRule="auto"/>
              <w:jc w:val="left"/>
            </w:pPr>
            <w:r>
              <w:rPr>
                <w:b w:val="0"/>
                <w:sz w:val="18"/>
              </w:rPr>
              <w:t>世界模型安全规划与拉格朗日机制</w:t>
            </w:r>
          </w:p>
        </w:tc>
        <w:tc>
          <w:tcPr>
            <w:tcW w:type="dxa" w:w="3863"/>
            <w:vAlign w:val="center"/>
            <w:shd w:fill="FFFFFF"/>
          </w:tcPr>
          <w:p>
            <w:pPr>
              <w:spacing w:after="20" w:before="20" w:line="264" w:lineRule="auto"/>
              <w:jc w:val="left"/>
            </w:pPr>
            <w:r>
              <w:rPr>
                <w:b w:val="0"/>
                <w:sz w:val="18"/>
              </w:rPr>
              <w:t>官方安全导航任务不代表驾驶验证；需重做成本语义</w:t>
            </w:r>
          </w:p>
        </w:tc>
      </w:tr>
    </w:tbl>
    <w:p>
      <w:pPr>
        <w:spacing w:after="40" w:before="0" w:line="96" w:lineRule="auto"/>
      </w:pPr>
    </w:p>
    <w:p>
      <w:pPr>
        <w:pStyle w:val="Heading2"/>
        <w:widowControl/>
      </w:pPr>
      <w:r>
        <w:t>已有基础与可能的研究贡献</w:t>
      </w:r>
    </w:p>
    <w:p>
      <w:pPr>
        <w:widowControl/>
      </w:pPr>
      <w:r>
        <w:t>“世界模型加安全约束”已有多年研究。仅增加一个 cost 预测头或拉格朗日乘子，不足以声称新方法。可检验的贡献应落在驾驶特有的风险识别、稀有危险校准、有限算力规划、分布外稳健性或样本效率，并由公平对照与消融支持。</w:t>
      </w:r>
    </w:p>
    <w:p>
      <w:pPr>
        <w:pStyle w:val="Heading2"/>
        <w:widowControl/>
      </w:pPr>
      <w:r>
        <w:t>算法预验证与驾驶证据分离</w:t>
      </w:r>
    </w:p>
    <w:p>
      <w:pPr>
        <w:widowControl/>
      </w:pPr>
      <w:r>
        <w:t>Safety-Gymnasium 和 OmniSafe 适合验证成本接口、乘子更新和算法行为。安全导航得分不能作为自动驾驶效果证据。原生安全环境 API 可能额外返回 cost；标准 Gymnasium 适配可能把它放入 info。缺失成本应报错，不能默认为零继续训练。</w:t>
      </w:r>
      <w:hyperlink r:id="rId47">
        <w:r>
          <w:rPr>
            <w:color w:val="174C72"/>
            <w:rFonts w:ascii="Noto Sans CJK SC" w:hAnsi="Noto Sans CJK SC" w:eastAsia="Noto Sans CJK SC"/>
          </w:rPr>
          <w:t>[R13]</w:t>
        </w:r>
      </w:hyperlink>
      <w:r/>
      <w:hyperlink r:id="rId48">
        <w:r>
          <w:rPr>
            <w:color w:val="174C72"/>
            <w:rFonts w:ascii="Noto Sans CJK SC" w:hAnsi="Noto Sans CJK SC" w:eastAsia="Noto Sans CJK SC"/>
          </w:rPr>
          <w:t>[R22]</w:t>
        </w:r>
      </w:hyperlink>
      <w:r/>
    </w:p>
    <w:p>
      <w:pPr>
        <w:pStyle w:val="Heading2"/>
        <w:widowControl/>
      </w:pPr>
      <w:r>
        <w:t>运行时保护不是替代品</w:t>
      </w:r>
    </w:p>
    <w:p>
      <w:pPr>
        <w:widowControl/>
      </w:pPr>
      <w:r>
        <w:t>Shield 或 CBF 可以审核动作，但其有效性依赖状态估计、扰动边界、安全集、可行控制与实时计算。应分别报告裸策略和加保护后的结果，以及干预率、不可行率与回退次数。一个经常靠过滤器接管的策略，不能被解释为已经学会安全驾驶。</w:t>
      </w:r>
      <w:hyperlink r:id="rId19">
        <w:r>
          <w:rPr>
            <w:color w:val="174C72"/>
            <w:rFonts w:ascii="Noto Sans CJK SC" w:hAnsi="Noto Sans CJK SC" w:eastAsia="Noto Sans CJK SC"/>
          </w:rPr>
          <w:t>[R25]</w:t>
        </w:r>
      </w:hyperlink>
      <w:r/>
      <w:hyperlink r:id="rId49">
        <w:r>
          <w:rPr>
            <w:color w:val="174C72"/>
            <w:rFonts w:ascii="Noto Sans CJK SC" w:hAnsi="Noto Sans CJK SC" w:eastAsia="Noto Sans CJK SC"/>
          </w:rPr>
          <w:t>[R26]</w:t>
        </w:r>
      </w:hyperlink>
      <w:r/>
    </w:p>
    <w:p>
      <w:pPr>
        <w:pStyle w:val="Heading1"/>
        <w:pageBreakBefore/>
        <w:widowControl/>
      </w:pPr>
      <w:r>
        <w:t>10 中期唯一默认主线</w:t>
      </w:r>
    </w:p>
    <w:p>
      <w:pPr>
        <w:widowControl/>
      </w:pPr>
      <w:r/>
      <w:r>
        <w:rPr>
          <w:b/>
        </w:rPr>
        <w:t>推荐方案</w:t>
      </w:r>
      <w:r>
        <w:t xml:space="preserve"> 在 SafeMetaDrive 的统一向量任务上保留 PPO 与 PPO-Lag，再开发 SafeDreamer 派生的小型 RSSM、学得成本头和 OSRP-Lag 风格安全规划。该方案是待验证的工程选型，不是已经批准或完成的实验；默认 ACC 场景仍需配置/适配，SafeMetaDrive 并非现成 ACC 产品。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0" w:type="dxa"/>
          <w:bottom w:w="85" w:type="dxa"/>
          <w:right w:w="100" w:type="dxa"/>
        </w:tblCellMar>
      </w:tblPr>
      <w:tblGrid>
        <w:gridCol w:w="2542"/>
        <w:gridCol w:w="3152"/>
        <w:gridCol w:w="4473"/>
      </w:tblGrid>
      <w:tr>
        <w:trPr>
          <w:tblHeader/>
          <w:cantSplit/>
        </w:trPr>
        <w:tc>
          <w:tcPr>
            <w:tcW w:type="dxa" w:w="2542"/>
            <w:vAlign w:val="center"/>
            <w:shd w:fill="DCE6EC"/>
          </w:tcPr>
          <w:p>
            <w:pPr>
              <w:spacing w:after="20" w:before="20" w:line="264" w:lineRule="auto"/>
              <w:jc w:val="left"/>
            </w:pPr>
            <w:r>
              <w:rPr>
                <w:b/>
                <w:sz w:val="18"/>
              </w:rPr>
              <w:t>组别</w:t>
            </w:r>
          </w:p>
        </w:tc>
        <w:tc>
          <w:tcPr>
            <w:tcW w:type="dxa" w:w="3152"/>
            <w:vAlign w:val="center"/>
            <w:shd w:fill="DCE6EC"/>
          </w:tcPr>
          <w:p>
            <w:pPr>
              <w:spacing w:after="20" w:before="20" w:line="264" w:lineRule="auto"/>
              <w:jc w:val="left"/>
            </w:pPr>
            <w:r>
              <w:rPr>
                <w:b/>
                <w:sz w:val="18"/>
              </w:rPr>
              <w:t>作用</w:t>
            </w:r>
          </w:p>
        </w:tc>
        <w:tc>
          <w:tcPr>
            <w:tcW w:type="dxa" w:w="4473"/>
            <w:vAlign w:val="center"/>
            <w:shd w:fill="DCE6EC"/>
          </w:tcPr>
          <w:p>
            <w:pPr>
              <w:spacing w:after="20" w:before="20" w:line="264" w:lineRule="auto"/>
              <w:jc w:val="left"/>
            </w:pPr>
            <w:r>
              <w:rPr>
                <w:b/>
                <w:sz w:val="18"/>
              </w:rPr>
              <w:t>公平比较要求</w:t>
            </w:r>
          </w:p>
        </w:tc>
      </w:tr>
      <w:tr>
        <w:trPr>
          <w:cantSplit/>
        </w:trPr>
        <w:tc>
          <w:tcPr>
            <w:tcW w:type="dxa" w:w="2542"/>
            <w:vAlign w:val="center"/>
            <w:shd w:fill="FFFFFF"/>
          </w:tcPr>
          <w:p>
            <w:pPr>
              <w:spacing w:after="20" w:before="20" w:line="264" w:lineRule="auto"/>
              <w:jc w:val="left"/>
            </w:pPr>
            <w:r>
              <w:rPr>
                <w:b w:val="0"/>
                <w:sz w:val="18"/>
              </w:rPr>
              <w:t>A PPO</w:t>
            </w:r>
          </w:p>
        </w:tc>
        <w:tc>
          <w:tcPr>
            <w:tcW w:type="dxa" w:w="3152"/>
            <w:vAlign w:val="center"/>
            <w:shd w:fill="FFFFFF"/>
          </w:tcPr>
          <w:p>
            <w:pPr>
              <w:spacing w:after="20" w:before="20" w:line="264" w:lineRule="auto"/>
              <w:jc w:val="left"/>
            </w:pPr>
            <w:r>
              <w:rPr>
                <w:b w:val="0"/>
                <w:sz w:val="18"/>
              </w:rPr>
              <w:t>当前策略优化基线</w:t>
            </w:r>
          </w:p>
        </w:tc>
        <w:tc>
          <w:tcPr>
            <w:tcW w:type="dxa" w:w="4473"/>
            <w:vAlign w:val="center"/>
            <w:shd w:fill="FFFFFF"/>
          </w:tcPr>
          <w:p>
            <w:pPr>
              <w:spacing w:after="20" w:before="20" w:line="264" w:lineRule="auto"/>
              <w:jc w:val="left"/>
            </w:pPr>
            <w:r>
              <w:rPr>
                <w:b w:val="0"/>
                <w:sz w:val="18"/>
              </w:rPr>
              <w:t>同任务、观测、执行器、reward 和评测</w:t>
            </w:r>
          </w:p>
        </w:tc>
      </w:tr>
      <w:tr>
        <w:trPr>
          <w:cantSplit/>
        </w:trPr>
        <w:tc>
          <w:tcPr>
            <w:tcW w:type="dxa" w:w="2542"/>
            <w:vAlign w:val="center"/>
            <w:shd w:fill="F4F7F9"/>
          </w:tcPr>
          <w:p>
            <w:pPr>
              <w:spacing w:after="20" w:before="20" w:line="264" w:lineRule="auto"/>
              <w:jc w:val="left"/>
            </w:pPr>
            <w:r>
              <w:rPr>
                <w:b w:val="0"/>
                <w:sz w:val="18"/>
              </w:rPr>
              <w:t>B PPO Lag</w:t>
            </w:r>
          </w:p>
        </w:tc>
        <w:tc>
          <w:tcPr>
            <w:tcW w:type="dxa" w:w="3152"/>
            <w:vAlign w:val="center"/>
            <w:shd w:fill="F4F7F9"/>
          </w:tcPr>
          <w:p>
            <w:pPr>
              <w:spacing w:after="20" w:before="20" w:line="264" w:lineRule="auto"/>
              <w:jc w:val="left"/>
            </w:pPr>
            <w:r>
              <w:rPr>
                <w:b w:val="0"/>
                <w:sz w:val="18"/>
              </w:rPr>
              <w:t>测量仅加入显式约束的收益</w:t>
            </w:r>
          </w:p>
        </w:tc>
        <w:tc>
          <w:tcPr>
            <w:tcW w:type="dxa" w:w="4473"/>
            <w:vAlign w:val="center"/>
            <w:shd w:fill="F4F7F9"/>
          </w:tcPr>
          <w:p>
            <w:pPr>
              <w:spacing w:after="20" w:before="20" w:line="264" w:lineRule="auto"/>
              <w:jc w:val="left"/>
            </w:pPr>
            <w:r>
              <w:rPr>
                <w:b w:val="0"/>
                <w:sz w:val="18"/>
              </w:rPr>
              <w:t>与 A 容量相近；记录 cost 尺度和乘子行为</w:t>
            </w:r>
          </w:p>
        </w:tc>
      </w:tr>
      <w:tr>
        <w:trPr>
          <w:cantSplit/>
        </w:trPr>
        <w:tc>
          <w:tcPr>
            <w:tcW w:type="dxa" w:w="2542"/>
            <w:vAlign w:val="center"/>
            <w:shd w:fill="FFFFFF"/>
          </w:tcPr>
          <w:p>
            <w:pPr>
              <w:spacing w:after="20" w:before="20" w:line="264" w:lineRule="auto"/>
              <w:jc w:val="left"/>
            </w:pPr>
            <w:r>
              <w:rPr>
                <w:b w:val="0"/>
                <w:sz w:val="18"/>
              </w:rPr>
              <w:t>C 同骨干无显式安全规划</w:t>
            </w:r>
          </w:p>
        </w:tc>
        <w:tc>
          <w:tcPr>
            <w:tcW w:type="dxa" w:w="3152"/>
            <w:vAlign w:val="center"/>
            <w:shd w:fill="FFFFFF"/>
          </w:tcPr>
          <w:p>
            <w:pPr>
              <w:spacing w:after="20" w:before="20" w:line="264" w:lineRule="auto"/>
              <w:jc w:val="left"/>
            </w:pPr>
            <w:r>
              <w:rPr>
                <w:b w:val="0"/>
                <w:sz w:val="18"/>
              </w:rPr>
              <w:t>测量世界模型与在线规划带来的收益</w:t>
            </w:r>
          </w:p>
        </w:tc>
        <w:tc>
          <w:tcPr>
            <w:tcW w:type="dxa" w:w="4473"/>
            <w:vAlign w:val="center"/>
            <w:shd w:fill="FFFFFF"/>
          </w:tcPr>
          <w:p>
            <w:pPr>
              <w:spacing w:after="20" w:before="20" w:line="264" w:lineRule="auto"/>
              <w:jc w:val="left"/>
            </w:pPr>
            <w:r>
              <w:rPr>
                <w:b w:val="0"/>
                <w:sz w:val="18"/>
              </w:rPr>
              <w:t>与 D 同 RSSM 架构、候选数、时域、迭代与更新预算</w:t>
            </w:r>
          </w:p>
        </w:tc>
      </w:tr>
      <w:tr>
        <w:trPr>
          <w:cantSplit/>
        </w:trPr>
        <w:tc>
          <w:tcPr>
            <w:tcW w:type="dxa" w:w="2542"/>
            <w:vAlign w:val="center"/>
            <w:shd w:fill="F4F7F9"/>
          </w:tcPr>
          <w:p>
            <w:pPr>
              <w:spacing w:after="20" w:before="20" w:line="264" w:lineRule="auto"/>
              <w:jc w:val="left"/>
            </w:pPr>
            <w:r>
              <w:rPr>
                <w:b w:val="0"/>
                <w:sz w:val="18"/>
              </w:rPr>
              <w:t>D 同骨干成本约束规划</w:t>
            </w:r>
          </w:p>
        </w:tc>
        <w:tc>
          <w:tcPr>
            <w:tcW w:type="dxa" w:w="3152"/>
            <w:vAlign w:val="center"/>
            <w:shd w:fill="F4F7F9"/>
          </w:tcPr>
          <w:p>
            <w:pPr>
              <w:spacing w:after="20" w:before="20" w:line="264" w:lineRule="auto"/>
              <w:jc w:val="left"/>
            </w:pPr>
            <w:r>
              <w:rPr>
                <w:b w:val="0"/>
                <w:sz w:val="18"/>
              </w:rPr>
              <w:t>测量世界模型内安全机制的附加收益</w:t>
            </w:r>
          </w:p>
        </w:tc>
        <w:tc>
          <w:tcPr>
            <w:tcW w:type="dxa" w:w="4473"/>
            <w:vAlign w:val="center"/>
            <w:shd w:fill="F4F7F9"/>
          </w:tcPr>
          <w:p>
            <w:pPr>
              <w:spacing w:after="20" w:before="20" w:line="264" w:lineRule="auto"/>
              <w:jc w:val="left"/>
            </w:pPr>
            <w:r>
              <w:rPr>
                <w:b w:val="0"/>
                <w:sz w:val="18"/>
              </w:rPr>
              <w:t>真实交互预算与评测一致；显式记录约束违反</w:t>
            </w:r>
          </w:p>
        </w:tc>
      </w:tr>
    </w:tbl>
    <w:p>
      <w:pPr>
        <w:spacing w:after="40" w:before="0" w:line="96" w:lineRule="auto"/>
      </w:pPr>
    </w:p>
    <w:p>
      <w:pPr>
        <w:pStyle w:val="Heading2"/>
        <w:widowControl/>
      </w:pPr>
      <w:r>
        <w:t>比较能回答什么</w:t>
      </w:r>
    </w:p>
    <w:p>
      <w:pPr>
        <w:widowControl/>
      </w:pPr>
      <w:r>
        <w:t>A 对 B 回答约束学习是否有价值；C 对 D 回答同世界模型骨干与规划预算下显式安全机制是否有价值。A 对 C 包含表示、历史和规划器等多项变化，不能把全部差异单独归因于“模型学习”。需要历史能力匹配的 PPO/循环策略补充诊断时，再作为后续消融。</w:t>
      </w:r>
    </w:p>
    <w:p>
      <w:pPr>
        <w:pStyle w:val="Heading2"/>
        <w:widowControl/>
      </w:pPr>
      <w:r>
        <w:t>代码审计发现的关键障碍</w:t>
      </w:r>
    </w:p>
    <w:p>
      <w:pPr>
        <w:widowControl/>
      </w:pPr>
      <w:r>
        <w:t>SafeDreamer 当前 osrp_vector 配置中的 use_cost=False 不代表无安全约束。行为代码仍用重建向量固定切片 [9:25] 及 hazard 半径 0.25 计算几何成本；部分规划分支有 1000/horizon 成本缩放。驾驶迁移必须去掉导航场景假设，定义真实 driving cost 与规划预算的映射。不能把这一开关当 C 组消融。</w:t>
      </w:r>
      <w:hyperlink r:id="rId50">
        <w:r>
          <w:rPr>
            <w:color w:val="174C72"/>
            <w:rFonts w:ascii="Noto Sans CJK SC" w:hAnsi="Noto Sans CJK SC" w:eastAsia="Noto Sans CJK SC"/>
          </w:rPr>
          <w:t>[R49]</w:t>
        </w:r>
      </w:hyperlink>
      <w:r/>
      <w:hyperlink r:id="rId51">
        <w:r>
          <w:rPr>
            <w:color w:val="174C72"/>
            <w:rFonts w:ascii="Noto Sans CJK SC" w:hAnsi="Noto Sans CJK SC" w:eastAsia="Noto Sans CJK SC"/>
          </w:rPr>
          <w:t>[R50]</w:t>
        </w:r>
      </w:hyperlink>
      <w:r/>
    </w:p>
    <w:p>
      <w:pPr>
        <w:widowControl/>
      </w:pPr>
      <w:r>
        <w:t>C 组需显式关闭成本评分、筛选和乘子作用，并保持同规划预算；可保留同样成本头只作诊断以匹配参数。D 组使用真实驾驶标签学习成本。两组因采样策略不同而学出不同权重是正常现象，公平性要求相同架构、数据预算和初始化协议，而非最终权重完全相同。</w:t>
      </w:r>
    </w:p>
    <w:p>
      <w:pPr>
        <w:widowControl/>
      </w:pPr>
      <w:r>
        <w:t>若旧 JAX 依赖或驾驶适配形成实质阻塞，先完成 A/B 交付，再决定是否移植小 RSSM 或采用显式动力学集合备选。不要为了维持计划而同时重造多套世界模型。</w:t>
      </w:r>
    </w:p>
    <w:p>
      <w:pPr>
        <w:pStyle w:val="Heading1"/>
        <w:pageBreakBefore/>
        <w:widowControl/>
      </w:pPr>
      <w:r>
        <w:t>11 从原任务复现到驾驶迁移</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0" w:type="dxa"/>
          <w:bottom w:w="85" w:type="dxa"/>
          <w:right w:w="100" w:type="dxa"/>
        </w:tblCellMar>
      </w:tblPr>
      <w:tblGrid>
        <w:gridCol w:w="1728"/>
        <w:gridCol w:w="5185"/>
        <w:gridCol w:w="3253"/>
      </w:tblGrid>
      <w:tr>
        <w:trPr>
          <w:tblHeader/>
          <w:cantSplit/>
        </w:trPr>
        <w:tc>
          <w:tcPr>
            <w:tcW w:type="dxa" w:w="1728"/>
            <w:vAlign w:val="center"/>
            <w:shd w:fill="DCE6EC"/>
          </w:tcPr>
          <w:p>
            <w:pPr>
              <w:spacing w:after="20" w:before="20" w:line="264" w:lineRule="auto"/>
              <w:jc w:val="left"/>
            </w:pPr>
            <w:r>
              <w:rPr>
                <w:b/>
                <w:sz w:val="18"/>
              </w:rPr>
              <w:t>步骤</w:t>
            </w:r>
          </w:p>
        </w:tc>
        <w:tc>
          <w:tcPr>
            <w:tcW w:type="dxa" w:w="5185"/>
            <w:vAlign w:val="center"/>
            <w:shd w:fill="DCE6EC"/>
          </w:tcPr>
          <w:p>
            <w:pPr>
              <w:spacing w:after="20" w:before="20" w:line="264" w:lineRule="auto"/>
              <w:jc w:val="left"/>
            </w:pPr>
            <w:r>
              <w:rPr>
                <w:b/>
                <w:sz w:val="18"/>
              </w:rPr>
              <w:t>必须完成的开发或核验</w:t>
            </w:r>
          </w:p>
        </w:tc>
        <w:tc>
          <w:tcPr>
            <w:tcW w:type="dxa" w:w="3253"/>
            <w:vAlign w:val="center"/>
            <w:shd w:fill="DCE6EC"/>
          </w:tcPr>
          <w:p>
            <w:pPr>
              <w:spacing w:after="20" w:before="20" w:line="264" w:lineRule="auto"/>
              <w:jc w:val="left"/>
            </w:pPr>
            <w:r>
              <w:rPr>
                <w:b/>
                <w:sz w:val="18"/>
              </w:rPr>
              <w:t>通过条件</w:t>
            </w:r>
          </w:p>
        </w:tc>
      </w:tr>
      <w:tr>
        <w:trPr>
          <w:cantSplit/>
        </w:trPr>
        <w:tc>
          <w:tcPr>
            <w:tcW w:type="dxa" w:w="1728"/>
            <w:vAlign w:val="center"/>
            <w:shd w:fill="FFFFFF"/>
          </w:tcPr>
          <w:p>
            <w:pPr>
              <w:spacing w:after="20" w:before="20" w:line="264" w:lineRule="auto"/>
              <w:jc w:val="left"/>
            </w:pPr>
            <w:r>
              <w:rPr>
                <w:b w:val="0"/>
                <w:sz w:val="18"/>
              </w:rPr>
              <w:t>原任务复现</w:t>
            </w:r>
          </w:p>
        </w:tc>
        <w:tc>
          <w:tcPr>
            <w:tcW w:type="dxa" w:w="5185"/>
            <w:vAlign w:val="center"/>
            <w:shd w:fill="FFFFFF"/>
          </w:tcPr>
          <w:p>
            <w:pPr>
              <w:spacing w:after="20" w:before="20" w:line="264" w:lineRule="auto"/>
              <w:jc w:val="left"/>
            </w:pPr>
            <w:r>
              <w:rPr>
                <w:b w:val="0"/>
                <w:sz w:val="18"/>
              </w:rPr>
              <w:t>隔离依赖；跑通官方向量任务与 checkpoint；读清成本路径</w:t>
            </w:r>
          </w:p>
        </w:tc>
        <w:tc>
          <w:tcPr>
            <w:tcW w:type="dxa" w:w="3253"/>
            <w:vAlign w:val="center"/>
            <w:shd w:fill="FFFFFF"/>
          </w:tcPr>
          <w:p>
            <w:pPr>
              <w:spacing w:after="20" w:before="20" w:line="264" w:lineRule="auto"/>
              <w:jc w:val="left"/>
            </w:pPr>
            <w:r>
              <w:rPr>
                <w:b w:val="0"/>
                <w:sz w:val="18"/>
              </w:rPr>
              <w:t>可重复回放和短训练；结论仅为软件自检</w:t>
            </w:r>
          </w:p>
        </w:tc>
      </w:tr>
      <w:tr>
        <w:trPr>
          <w:cantSplit/>
        </w:trPr>
        <w:tc>
          <w:tcPr>
            <w:tcW w:type="dxa" w:w="1728"/>
            <w:vAlign w:val="center"/>
            <w:shd w:fill="F4F7F9"/>
          </w:tcPr>
          <w:p>
            <w:pPr>
              <w:spacing w:after="20" w:before="20" w:line="264" w:lineRule="auto"/>
              <w:jc w:val="left"/>
            </w:pPr>
            <w:r>
              <w:rPr>
                <w:b w:val="0"/>
                <w:sz w:val="18"/>
              </w:rPr>
              <w:t>驾驶适配</w:t>
            </w:r>
          </w:p>
        </w:tc>
        <w:tc>
          <w:tcPr>
            <w:tcW w:type="dxa" w:w="5185"/>
            <w:vAlign w:val="center"/>
            <w:shd w:fill="F4F7F9"/>
          </w:tcPr>
          <w:p>
            <w:pPr>
              <w:spacing w:after="20" w:before="20" w:line="264" w:lineRule="auto"/>
              <w:jc w:val="left"/>
            </w:pPr>
            <w:r>
              <w:rPr>
                <w:b w:val="0"/>
                <w:sz w:val="18"/>
              </w:rPr>
              <w:t>观测/动作、reward、cost、reset、真实终止和超时转换</w:t>
            </w:r>
          </w:p>
        </w:tc>
        <w:tc>
          <w:tcPr>
            <w:tcW w:type="dxa" w:w="3253"/>
            <w:vAlign w:val="center"/>
            <w:shd w:fill="F4F7F9"/>
          </w:tcPr>
          <w:p>
            <w:pPr>
              <w:spacing w:after="20" w:before="20" w:line="264" w:lineRule="auto"/>
              <w:jc w:val="left"/>
            </w:pPr>
            <w:r>
              <w:rPr>
                <w:b w:val="0"/>
                <w:sz w:val="18"/>
              </w:rPr>
              <w:t>已知碰撞/越界/到达/超时用例逐一通过</w:t>
            </w:r>
          </w:p>
        </w:tc>
      </w:tr>
      <w:tr>
        <w:trPr>
          <w:cantSplit/>
        </w:trPr>
        <w:tc>
          <w:tcPr>
            <w:tcW w:type="dxa" w:w="1728"/>
            <w:vAlign w:val="center"/>
            <w:shd w:fill="FFFFFF"/>
          </w:tcPr>
          <w:p>
            <w:pPr>
              <w:spacing w:after="20" w:before="20" w:line="264" w:lineRule="auto"/>
              <w:jc w:val="left"/>
            </w:pPr>
            <w:r>
              <w:rPr>
                <w:b w:val="0"/>
                <w:sz w:val="18"/>
              </w:rPr>
              <w:t>序列与历史</w:t>
            </w:r>
          </w:p>
        </w:tc>
        <w:tc>
          <w:tcPr>
            <w:tcW w:type="dxa" w:w="5185"/>
            <w:vAlign w:val="center"/>
            <w:shd w:fill="FFFFFF"/>
          </w:tcPr>
          <w:p>
            <w:pPr>
              <w:spacing w:after="20" w:before="20" w:line="264" w:lineRule="auto"/>
              <w:jc w:val="left"/>
            </w:pPr>
            <w:r>
              <w:rPr>
                <w:b w:val="0"/>
                <w:sz w:val="18"/>
              </w:rPr>
              <w:t>向量 encoder/decoder、RSSM 状态、episode 边界与 replay</w:t>
            </w:r>
          </w:p>
        </w:tc>
        <w:tc>
          <w:tcPr>
            <w:tcW w:type="dxa" w:w="3253"/>
            <w:vAlign w:val="center"/>
            <w:shd w:fill="FFFFFF"/>
          </w:tcPr>
          <w:p>
            <w:pPr>
              <w:spacing w:after="20" w:before="20" w:line="264" w:lineRule="auto"/>
              <w:jc w:val="left"/>
            </w:pPr>
            <w:r>
              <w:rPr>
                <w:b w:val="0"/>
                <w:sz w:val="18"/>
              </w:rPr>
              <w:t>重置后无上局信息；序列和动作正确对齐</w:t>
            </w:r>
          </w:p>
        </w:tc>
      </w:tr>
      <w:tr>
        <w:trPr>
          <w:cantSplit/>
        </w:trPr>
        <w:tc>
          <w:tcPr>
            <w:tcW w:type="dxa" w:w="1728"/>
            <w:vAlign w:val="center"/>
            <w:shd w:fill="F4F7F9"/>
          </w:tcPr>
          <w:p>
            <w:pPr>
              <w:spacing w:after="20" w:before="20" w:line="264" w:lineRule="auto"/>
              <w:jc w:val="left"/>
            </w:pPr>
            <w:r>
              <w:rPr>
                <w:b w:val="0"/>
                <w:sz w:val="18"/>
              </w:rPr>
              <w:t>成本监督</w:t>
            </w:r>
          </w:p>
        </w:tc>
        <w:tc>
          <w:tcPr>
            <w:tcW w:type="dxa" w:w="5185"/>
            <w:vAlign w:val="center"/>
            <w:shd w:fill="F4F7F9"/>
          </w:tcPr>
          <w:p>
            <w:pPr>
              <w:spacing w:after="20" w:before="20" w:line="264" w:lineRule="auto"/>
              <w:jc w:val="left"/>
            </w:pPr>
            <w:r>
              <w:rPr>
                <w:b w:val="0"/>
                <w:sz w:val="18"/>
              </w:rPr>
              <w:t>学得 cost head 与必要成本价值；按物理时长统一尺度</w:t>
            </w:r>
          </w:p>
        </w:tc>
        <w:tc>
          <w:tcPr>
            <w:tcW w:type="dxa" w:w="3253"/>
            <w:vAlign w:val="center"/>
            <w:shd w:fill="F4F7F9"/>
          </w:tcPr>
          <w:p>
            <w:pPr>
              <w:spacing w:after="20" w:before="20" w:line="264" w:lineRule="auto"/>
              <w:jc w:val="left"/>
            </w:pPr>
            <w:r>
              <w:rPr>
                <w:b w:val="0"/>
                <w:sz w:val="18"/>
              </w:rPr>
              <w:t>缺标签报错；危险正样本与累计成本一致</w:t>
            </w:r>
          </w:p>
        </w:tc>
      </w:tr>
      <w:tr>
        <w:trPr>
          <w:cantSplit/>
        </w:trPr>
        <w:tc>
          <w:tcPr>
            <w:tcW w:type="dxa" w:w="1728"/>
            <w:vAlign w:val="center"/>
            <w:shd w:fill="FFFFFF"/>
          </w:tcPr>
          <w:p>
            <w:pPr>
              <w:spacing w:after="20" w:before="20" w:line="264" w:lineRule="auto"/>
              <w:jc w:val="left"/>
            </w:pPr>
            <w:r>
              <w:rPr>
                <w:b w:val="0"/>
                <w:sz w:val="18"/>
              </w:rPr>
              <w:t>规划分支</w:t>
            </w:r>
          </w:p>
        </w:tc>
        <w:tc>
          <w:tcPr>
            <w:tcW w:type="dxa" w:w="5185"/>
            <w:vAlign w:val="center"/>
            <w:shd w:fill="FFFFFF"/>
          </w:tcPr>
          <w:p>
            <w:pPr>
              <w:spacing w:after="20" w:before="20" w:line="264" w:lineRule="auto"/>
              <w:jc w:val="left"/>
            </w:pPr>
            <w:r>
              <w:rPr>
                <w:b w:val="0"/>
                <w:sz w:val="18"/>
              </w:rPr>
              <w:t>显式实现 C/D，清除 hazard 特定逻辑与隐式缩放</w:t>
            </w:r>
          </w:p>
        </w:tc>
        <w:tc>
          <w:tcPr>
            <w:tcW w:type="dxa" w:w="3253"/>
            <w:vAlign w:val="center"/>
            <w:shd w:fill="FFFFFF"/>
          </w:tcPr>
          <w:p>
            <w:pPr>
              <w:spacing w:after="20" w:before="20" w:line="264" w:lineRule="auto"/>
              <w:jc w:val="left"/>
            </w:pPr>
            <w:r>
              <w:rPr>
                <w:b w:val="0"/>
                <w:sz w:val="18"/>
              </w:rPr>
              <w:t>扰动 cost 影响 D 决策而不影响 C</w:t>
            </w:r>
          </w:p>
        </w:tc>
      </w:tr>
      <w:tr>
        <w:trPr>
          <w:cantSplit/>
        </w:trPr>
        <w:tc>
          <w:tcPr>
            <w:tcW w:type="dxa" w:w="1728"/>
            <w:vAlign w:val="center"/>
            <w:shd w:fill="F4F7F9"/>
          </w:tcPr>
          <w:p>
            <w:pPr>
              <w:spacing w:after="20" w:before="20" w:line="264" w:lineRule="auto"/>
              <w:jc w:val="left"/>
            </w:pPr>
            <w:r>
              <w:rPr>
                <w:b w:val="0"/>
                <w:sz w:val="18"/>
              </w:rPr>
              <w:t>完整测量</w:t>
            </w:r>
          </w:p>
        </w:tc>
        <w:tc>
          <w:tcPr>
            <w:tcW w:type="dxa" w:w="5185"/>
            <w:vAlign w:val="center"/>
            <w:shd w:fill="F4F7F9"/>
          </w:tcPr>
          <w:p>
            <w:pPr>
              <w:spacing w:after="20" w:before="20" w:line="264" w:lineRule="auto"/>
              <w:jc w:val="left"/>
            </w:pPr>
            <w:r>
              <w:rPr>
                <w:b w:val="0"/>
                <w:sz w:val="18"/>
              </w:rPr>
              <w:t>状态更新、候选生成、模型预测、筛选与输出一起计时</w:t>
            </w:r>
          </w:p>
        </w:tc>
        <w:tc>
          <w:tcPr>
            <w:tcW w:type="dxa" w:w="3253"/>
            <w:vAlign w:val="center"/>
            <w:shd w:fill="F4F7F9"/>
          </w:tcPr>
          <w:p>
            <w:pPr>
              <w:spacing w:after="20" w:before="20" w:line="264" w:lineRule="auto"/>
              <w:jc w:val="left"/>
            </w:pPr>
            <w:r>
              <w:rPr>
                <w:b w:val="0"/>
                <w:sz w:val="18"/>
              </w:rPr>
              <w:t>成本预测可诊断；闭环表现与时延达到项目门槛</w:t>
            </w:r>
          </w:p>
        </w:tc>
      </w:tr>
    </w:tbl>
    <w:p>
      <w:pPr>
        <w:spacing w:after="40" w:before="0" w:line="96" w:lineRule="auto"/>
      </w:pPr>
    </w:p>
    <w:p>
      <w:pPr>
        <w:pStyle w:val="Heading2"/>
        <w:widowControl/>
      </w:pPr>
      <w:r>
        <w:t>最容易被忽略的接口细节</w:t>
      </w:r>
    </w:p>
    <w:p>
      <w:pPr>
        <w:widowControl/>
      </w:pPr>
      <w:r>
        <w:t>MetaDrive 默认二维归一化动作对应转向及驱动/制动力，不应直接写成 m/s²。若选择目标加速度/速度接口，需要显式适配并共享底层控制器。若固定车道研究 ACC，需要约束或接管横向通道，不可让某组悄悄拥有更多可用动作。</w:t>
      </w:r>
      <w:hyperlink r:id="rId52">
        <w:r>
          <w:rPr>
            <w:color w:val="174C72"/>
            <w:rFonts w:ascii="Noto Sans CJK SC" w:hAnsi="Noto Sans CJK SC" w:eastAsia="Noto Sans CJK SC"/>
          </w:rPr>
          <w:t>[R51]</w:t>
        </w:r>
      </w:hyperlink>
      <w:r/>
    </w:p>
    <w:p>
      <w:pPr>
        <w:widowControl/>
      </w:pPr>
      <w:r>
        <w:t>action repeat 要累计每个底层步的成本，避免短暂碰撞被跳过；碰撞后继续还是立即终止会影响成本分布。SafeMetaDrive 当前默认有碰撞不立即结束的配置，必须显式锁定。超时截断与真实终止分别控制 bootstrap 与状态重置。</w:t>
      </w:r>
      <w:hyperlink r:id="rId53">
        <w:r>
          <w:rPr>
            <w:color w:val="174C72"/>
            <w:rFonts w:ascii="Noto Sans CJK SC" w:hAnsi="Noto Sans CJK SC" w:eastAsia="Noto Sans CJK SC"/>
          </w:rPr>
          <w:t>[R06]</w:t>
        </w:r>
      </w:hyperlink>
      <w:r/>
      <w:hyperlink r:id="rId26">
        <w:r>
          <w:rPr>
            <w:color w:val="174C72"/>
            <w:rFonts w:ascii="Noto Sans CJK SC" w:hAnsi="Noto Sans CJK SC" w:eastAsia="Noto Sans CJK SC"/>
          </w:rPr>
          <w:t>[R55]</w:t>
        </w:r>
      </w:hyperlink>
      <w:r/>
    </w:p>
    <w:p>
      <w:pPr>
        <w:pStyle w:val="Heading2"/>
        <w:widowControl/>
      </w:pPr>
      <w:r>
        <w:t>成本与模型先诊断再闭环</w:t>
      </w:r>
    </w:p>
    <w:p>
      <w:pPr>
        <w:widowControl/>
      </w:pPr>
      <w:r>
        <w:t>先用来自规则/PPO/受控危险场景的完整轨迹训练小模型，按场景和 episode 留出验证。测多步预测、危险事件漏报、成本校准和终止识别后再开启规划。第一轮沿用可工作的向量网络尺度，避免同时重写骨干、成本定义与优化器。模型损失下降只允许进入下一轮诊断，不能作为“已安全”的结论。</w:t>
      </w:r>
    </w:p>
    <w:p>
      <w:pPr>
        <w:widowControl/>
      </w:pPr>
      <w:r>
        <w:t>PPO 常见 PyTorch 栈与 SafeDreamer 的 JAX 栈应隔离环境，分别保存依赖锁与设备信息。代码公开只能说明有复现入口，本次调研没有安装或执行这些项目。</w:t>
      </w:r>
    </w:p>
    <w:p>
      <w:pPr>
        <w:pStyle w:val="Heading1"/>
        <w:pageBreakBefore/>
        <w:widowControl/>
      </w:pPr>
      <w:r>
        <w:t>12 实验矩阵与研究假设</w:t>
      </w:r>
    </w:p>
    <w:p>
      <w:pPr>
        <w:widowControl/>
      </w:pPr>
      <w:r>
        <w:t>建议一个主训练设置、四个方法、每个五个独立训练 seed，形成 20 次正式训练。先一个 seed 排错、三个 seed 探索；这些是预算方案，不是保证统计功效的通用最小数量。只有首个任务结果可信，才扩展第二训练设置成为 40 次。所有已训练模型使用同一冻结测试面板，无需为每个测试场景重训。</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0" w:type="dxa"/>
          <w:bottom w:w="85" w:type="dxa"/>
          <w:right w:w="100" w:type="dxa"/>
        </w:tblCellMar>
      </w:tblPr>
      <w:tblGrid>
        <w:gridCol w:w="2948"/>
        <w:gridCol w:w="2847"/>
        <w:gridCol w:w="4372"/>
      </w:tblGrid>
      <w:tr>
        <w:trPr>
          <w:tblHeader/>
          <w:cantSplit/>
        </w:trPr>
        <w:tc>
          <w:tcPr>
            <w:tcW w:type="dxa" w:w="2948"/>
            <w:vAlign w:val="center"/>
            <w:shd w:fill="DCE6EC"/>
          </w:tcPr>
          <w:p>
            <w:pPr>
              <w:spacing w:after="20" w:before="20" w:line="264" w:lineRule="auto"/>
              <w:jc w:val="left"/>
            </w:pPr>
            <w:r>
              <w:rPr>
                <w:b/>
                <w:sz w:val="18"/>
              </w:rPr>
              <w:t>待检验假设</w:t>
            </w:r>
          </w:p>
        </w:tc>
        <w:tc>
          <w:tcPr>
            <w:tcW w:type="dxa" w:w="2847"/>
            <w:vAlign w:val="center"/>
            <w:shd w:fill="DCE6EC"/>
          </w:tcPr>
          <w:p>
            <w:pPr>
              <w:spacing w:after="20" w:before="20" w:line="264" w:lineRule="auto"/>
              <w:jc w:val="left"/>
            </w:pPr>
            <w:r>
              <w:rPr>
                <w:b/>
                <w:sz w:val="18"/>
              </w:rPr>
              <w:t>最小对照</w:t>
            </w:r>
          </w:p>
        </w:tc>
        <w:tc>
          <w:tcPr>
            <w:tcW w:type="dxa" w:w="4372"/>
            <w:vAlign w:val="center"/>
            <w:shd w:fill="DCE6EC"/>
          </w:tcPr>
          <w:p>
            <w:pPr>
              <w:spacing w:after="20" w:before="20" w:line="264" w:lineRule="auto"/>
              <w:jc w:val="left"/>
            </w:pPr>
            <w:r>
              <w:rPr>
                <w:b/>
                <w:sz w:val="18"/>
              </w:rPr>
              <w:t>必须防止的混淆</w:t>
            </w:r>
          </w:p>
        </w:tc>
      </w:tr>
      <w:tr>
        <w:trPr>
          <w:cantSplit/>
        </w:trPr>
        <w:tc>
          <w:tcPr>
            <w:tcW w:type="dxa" w:w="2948"/>
            <w:vAlign w:val="center"/>
            <w:shd w:fill="FFFFFF"/>
          </w:tcPr>
          <w:p>
            <w:pPr>
              <w:spacing w:after="20" w:before="20" w:line="264" w:lineRule="auto"/>
              <w:jc w:val="left"/>
            </w:pPr>
            <w:r>
              <w:rPr>
                <w:b w:val="0"/>
                <w:sz w:val="18"/>
              </w:rPr>
              <w:t>显式约束改善风险</w:t>
            </w:r>
          </w:p>
        </w:tc>
        <w:tc>
          <w:tcPr>
            <w:tcW w:type="dxa" w:w="2847"/>
            <w:vAlign w:val="center"/>
            <w:shd w:fill="FFFFFF"/>
          </w:tcPr>
          <w:p>
            <w:pPr>
              <w:spacing w:after="20" w:before="20" w:line="264" w:lineRule="auto"/>
              <w:jc w:val="left"/>
            </w:pPr>
            <w:r>
              <w:rPr>
                <w:b w:val="0"/>
                <w:sz w:val="18"/>
              </w:rPr>
              <w:t>A 对 B</w:t>
            </w:r>
          </w:p>
        </w:tc>
        <w:tc>
          <w:tcPr>
            <w:tcW w:type="dxa" w:w="4372"/>
            <w:vAlign w:val="center"/>
            <w:shd w:fill="FFFFFF"/>
          </w:tcPr>
          <w:p>
            <w:pPr>
              <w:spacing w:after="20" w:before="20" w:line="264" w:lineRule="auto"/>
              <w:jc w:val="left"/>
            </w:pPr>
            <w:r>
              <w:rPr>
                <w:b w:val="0"/>
                <w:sz w:val="18"/>
              </w:rPr>
              <w:t>reward、容量、调参预算和终止规则不同</w:t>
            </w:r>
          </w:p>
        </w:tc>
      </w:tr>
      <w:tr>
        <w:trPr>
          <w:cantSplit/>
        </w:trPr>
        <w:tc>
          <w:tcPr>
            <w:tcW w:type="dxa" w:w="2948"/>
            <w:vAlign w:val="center"/>
            <w:shd w:fill="F4F7F9"/>
          </w:tcPr>
          <w:p>
            <w:pPr>
              <w:spacing w:after="20" w:before="20" w:line="264" w:lineRule="auto"/>
              <w:jc w:val="left"/>
            </w:pPr>
            <w:r>
              <w:rPr>
                <w:b w:val="0"/>
                <w:sz w:val="18"/>
              </w:rPr>
              <w:t>模型化安全机制有增益</w:t>
            </w:r>
          </w:p>
        </w:tc>
        <w:tc>
          <w:tcPr>
            <w:tcW w:type="dxa" w:w="2847"/>
            <w:vAlign w:val="center"/>
            <w:shd w:fill="F4F7F9"/>
          </w:tcPr>
          <w:p>
            <w:pPr>
              <w:spacing w:after="20" w:before="20" w:line="264" w:lineRule="auto"/>
              <w:jc w:val="left"/>
            </w:pPr>
            <w:r>
              <w:rPr>
                <w:b w:val="0"/>
                <w:sz w:val="18"/>
              </w:rPr>
              <w:t>C 对 D</w:t>
            </w:r>
          </w:p>
        </w:tc>
        <w:tc>
          <w:tcPr>
            <w:tcW w:type="dxa" w:w="4372"/>
            <w:vAlign w:val="center"/>
            <w:shd w:fill="F4F7F9"/>
          </w:tcPr>
          <w:p>
            <w:pPr>
              <w:spacing w:after="20" w:before="20" w:line="264" w:lineRule="auto"/>
              <w:jc w:val="left"/>
            </w:pPr>
            <w:r>
              <w:rPr>
                <w:b w:val="0"/>
                <w:sz w:val="18"/>
              </w:rPr>
              <w:t>规划候选数、时域、迭代或历史输入不同</w:t>
            </w:r>
          </w:p>
        </w:tc>
      </w:tr>
      <w:tr>
        <w:trPr>
          <w:cantSplit/>
        </w:trPr>
        <w:tc>
          <w:tcPr>
            <w:tcW w:type="dxa" w:w="2948"/>
            <w:vAlign w:val="center"/>
            <w:shd w:fill="FFFFFF"/>
          </w:tcPr>
          <w:p>
            <w:pPr>
              <w:spacing w:after="20" w:before="20" w:line="264" w:lineRule="auto"/>
              <w:jc w:val="left"/>
            </w:pPr>
            <w:r>
              <w:rPr>
                <w:b w:val="0"/>
                <w:sz w:val="18"/>
              </w:rPr>
              <w:t>收益并非保守停车</w:t>
            </w:r>
          </w:p>
        </w:tc>
        <w:tc>
          <w:tcPr>
            <w:tcW w:type="dxa" w:w="2847"/>
            <w:vAlign w:val="center"/>
            <w:shd w:fill="FFFFFF"/>
          </w:tcPr>
          <w:p>
            <w:pPr>
              <w:spacing w:after="20" w:before="20" w:line="264" w:lineRule="auto"/>
              <w:jc w:val="left"/>
            </w:pPr>
            <w:r>
              <w:rPr>
                <w:b w:val="0"/>
                <w:sz w:val="18"/>
              </w:rPr>
              <w:t>安全与到达/效率联合评估</w:t>
            </w:r>
          </w:p>
        </w:tc>
        <w:tc>
          <w:tcPr>
            <w:tcW w:type="dxa" w:w="4372"/>
            <w:vAlign w:val="center"/>
            <w:shd w:fill="FFFFFF"/>
          </w:tcPr>
          <w:p>
            <w:pPr>
              <w:spacing w:after="20" w:before="20" w:line="264" w:lineRule="auto"/>
              <w:jc w:val="left"/>
            </w:pPr>
            <w:r>
              <w:rPr>
                <w:b w:val="0"/>
                <w:sz w:val="18"/>
              </w:rPr>
              <w:t>低速停滞导致碰撞减少</w:t>
            </w:r>
          </w:p>
        </w:tc>
      </w:tr>
      <w:tr>
        <w:trPr>
          <w:cantSplit/>
        </w:trPr>
        <w:tc>
          <w:tcPr>
            <w:tcW w:type="dxa" w:w="2948"/>
            <w:vAlign w:val="center"/>
            <w:shd w:fill="F4F7F9"/>
          </w:tcPr>
          <w:p>
            <w:pPr>
              <w:spacing w:after="20" w:before="20" w:line="264" w:lineRule="auto"/>
              <w:jc w:val="left"/>
            </w:pPr>
            <w:r>
              <w:rPr>
                <w:b w:val="0"/>
                <w:sz w:val="18"/>
              </w:rPr>
              <w:t>风险建模可泛化</w:t>
            </w:r>
          </w:p>
        </w:tc>
        <w:tc>
          <w:tcPr>
            <w:tcW w:type="dxa" w:w="2847"/>
            <w:vAlign w:val="center"/>
            <w:shd w:fill="F4F7F9"/>
          </w:tcPr>
          <w:p>
            <w:pPr>
              <w:spacing w:after="20" w:before="20" w:line="264" w:lineRule="auto"/>
              <w:jc w:val="left"/>
            </w:pPr>
            <w:r>
              <w:rPr>
                <w:b w:val="0"/>
                <w:sz w:val="18"/>
              </w:rPr>
              <w:t>ID 与 OOD/危险留出面板</w:t>
            </w:r>
          </w:p>
        </w:tc>
        <w:tc>
          <w:tcPr>
            <w:tcW w:type="dxa" w:w="4372"/>
            <w:vAlign w:val="center"/>
            <w:shd w:fill="F4F7F9"/>
          </w:tcPr>
          <w:p>
            <w:pPr>
              <w:spacing w:after="20" w:before="20" w:line="264" w:lineRule="auto"/>
              <w:jc w:val="left"/>
            </w:pPr>
            <w:r>
              <w:rPr>
                <w:b w:val="0"/>
                <w:sz w:val="18"/>
              </w:rPr>
              <w:t>同轨迹相邻帧泄漏、已见失败用作盲测</w:t>
            </w:r>
          </w:p>
        </w:tc>
      </w:tr>
      <w:tr>
        <w:trPr>
          <w:cantSplit/>
        </w:trPr>
        <w:tc>
          <w:tcPr>
            <w:tcW w:type="dxa" w:w="2948"/>
            <w:vAlign w:val="center"/>
            <w:shd w:fill="FFFFFF"/>
          </w:tcPr>
          <w:p>
            <w:pPr>
              <w:spacing w:after="20" w:before="20" w:line="264" w:lineRule="auto"/>
              <w:jc w:val="left"/>
            </w:pPr>
            <w:r>
              <w:rPr>
                <w:b w:val="0"/>
                <w:sz w:val="18"/>
              </w:rPr>
              <w:t>小模型适合目标预算</w:t>
            </w:r>
          </w:p>
        </w:tc>
        <w:tc>
          <w:tcPr>
            <w:tcW w:type="dxa" w:w="2847"/>
            <w:vAlign w:val="center"/>
            <w:shd w:fill="FFFFFF"/>
          </w:tcPr>
          <w:p>
            <w:pPr>
              <w:spacing w:after="20" w:before="20" w:line="264" w:lineRule="auto"/>
              <w:jc w:val="left"/>
            </w:pPr>
            <w:r>
              <w:rPr>
                <w:b w:val="0"/>
                <w:sz w:val="18"/>
              </w:rPr>
              <w:t>尺度及规划预算消融</w:t>
            </w:r>
          </w:p>
        </w:tc>
        <w:tc>
          <w:tcPr>
            <w:tcW w:type="dxa" w:w="4372"/>
            <w:vAlign w:val="center"/>
            <w:shd w:fill="FFFFFF"/>
          </w:tcPr>
          <w:p>
            <w:pPr>
              <w:spacing w:after="20" w:before="20" w:line="264" w:lineRule="auto"/>
              <w:jc w:val="left"/>
            </w:pPr>
            <w:r>
              <w:rPr>
                <w:b w:val="0"/>
                <w:sz w:val="18"/>
              </w:rPr>
              <w:t>只报告参数量，不测完整闭环时延</w:t>
            </w:r>
          </w:p>
        </w:tc>
      </w:tr>
    </w:tbl>
    <w:p>
      <w:pPr>
        <w:spacing w:after="40" w:before="0" w:line="96" w:lineRule="auto"/>
      </w:pPr>
    </w:p>
    <w:p>
      <w:pPr>
        <w:pStyle w:val="Heading2"/>
        <w:widowControl/>
      </w:pPr>
      <w:r>
        <w:t>后续消融按问题逐项增加</w:t>
      </w:r>
    </w:p>
    <w:p>
      <w:pPr>
        <w:pStyle w:val="ListBullet"/>
        <w:widowControl/>
      </w:pPr>
      <w:r>
        <w:t>安全机制：禁用成本进入决策；成本头仅诊断；不同预算/乘子设置。禁止误用 use_cost=False 作为无安全证据。</w:t>
      </w:r>
    </w:p>
    <w:p>
      <w:pPr>
        <w:pStyle w:val="ListBullet"/>
        <w:widowControl/>
      </w:pPr>
      <w:r>
        <w:t>历史与表示：当前观测、短历史、循环状态；让参照策略获得可比历史信息。</w:t>
      </w:r>
    </w:p>
    <w:p>
      <w:pPr>
        <w:pStyle w:val="ListBullet"/>
        <w:widowControl/>
      </w:pPr>
      <w:r>
        <w:t>规划与模型：短/长 horizon、候选数、迭代、模型尺度；报告实际物理秒数与计算成本。</w:t>
      </w:r>
    </w:p>
    <w:p>
      <w:pPr>
        <w:pStyle w:val="ListBullet"/>
        <w:widowControl/>
      </w:pPr>
      <w:r>
        <w:t>不确定性：首轮主线有效后再加入集合分歧、保守分位数或风险校准；集合一致不代表模型一定正确。</w:t>
      </w:r>
    </w:p>
    <w:p>
      <w:pPr>
        <w:pStyle w:val="Heading2"/>
        <w:widowControl/>
      </w:pPr>
      <w:r>
        <w:t>预算同时固定并报告</w:t>
      </w:r>
    </w:p>
    <w:p>
      <w:pPr>
        <w:widowControl/>
      </w:pPr>
      <w:r>
        <w:t>主要比较固定真实仿真交互次数，包括所有预采集、规则/PPO轨迹、warm-start 和新增危险样本。共享离线数据集单列规模、来源、各方法可访问性与获取成本；不得当作免费数据。另报告模型想象步数、梯度更新数、数据复用比和墙钟/GPU-hours。世界模型若省交互但耗更多计算，应保留这个结果。另可进行固定墙钟的补充比较，但不能混成同一张“样本效率”结论图。</w:t>
      </w:r>
    </w:p>
    <w:p>
      <w:pPr>
        <w:widowControl/>
      </w:pPr>
      <w:r>
        <w:t>超参数搜索使用验证集，并给各方法合理且可记录的预算。正式比较前冻结 checkpoint 选择规则、seed 列表、停止规则和统计方法。不能在看完盲测后重新选择最好 checkpoint，再继续称为一次独立测试。</w:t>
      </w:r>
    </w:p>
    <w:p>
      <w:pPr>
        <w:pStyle w:val="Heading1"/>
        <w:pageBreakBefore/>
        <w:widowControl/>
      </w:pPr>
      <w:r>
        <w:t>13 评测场景 指标与统计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0" w:type="dxa"/>
          <w:bottom w:w="85" w:type="dxa"/>
          <w:right w:w="100" w:type="dxa"/>
        </w:tblCellMar>
      </w:tblPr>
      <w:tblGrid>
        <w:gridCol w:w="2033"/>
        <w:gridCol w:w="4473"/>
        <w:gridCol w:w="3660"/>
      </w:tblGrid>
      <w:tr>
        <w:trPr>
          <w:tblHeader/>
          <w:cantSplit/>
        </w:trPr>
        <w:tc>
          <w:tcPr>
            <w:tcW w:type="dxa" w:w="2033"/>
            <w:vAlign w:val="center"/>
            <w:shd w:fill="DCE6EC"/>
          </w:tcPr>
          <w:p>
            <w:pPr>
              <w:spacing w:after="20" w:before="20" w:line="264" w:lineRule="auto"/>
              <w:jc w:val="left"/>
            </w:pPr>
            <w:r>
              <w:rPr>
                <w:b/>
                <w:sz w:val="18"/>
              </w:rPr>
              <w:t>面板</w:t>
            </w:r>
          </w:p>
        </w:tc>
        <w:tc>
          <w:tcPr>
            <w:tcW w:type="dxa" w:w="4473"/>
            <w:vAlign w:val="center"/>
            <w:shd w:fill="DCE6EC"/>
          </w:tcPr>
          <w:p>
            <w:pPr>
              <w:spacing w:after="20" w:before="20" w:line="264" w:lineRule="auto"/>
              <w:jc w:val="left"/>
            </w:pPr>
            <w:r>
              <w:rPr>
                <w:b/>
                <w:sz w:val="18"/>
              </w:rPr>
              <w:t>场景组织</w:t>
            </w:r>
          </w:p>
        </w:tc>
        <w:tc>
          <w:tcPr>
            <w:tcW w:type="dxa" w:w="3660"/>
            <w:vAlign w:val="center"/>
            <w:shd w:fill="DCE6EC"/>
          </w:tcPr>
          <w:p>
            <w:pPr>
              <w:spacing w:after="20" w:before="20" w:line="264" w:lineRule="auto"/>
              <w:jc w:val="left"/>
            </w:pPr>
            <w:r>
              <w:rPr>
                <w:b/>
                <w:sz w:val="18"/>
              </w:rPr>
              <w:t>可支持的结论</w:t>
            </w:r>
          </w:p>
        </w:tc>
      </w:tr>
      <w:tr>
        <w:trPr>
          <w:cantSplit/>
        </w:trPr>
        <w:tc>
          <w:tcPr>
            <w:tcW w:type="dxa" w:w="2033"/>
            <w:vAlign w:val="center"/>
            <w:shd w:fill="FFFFFF"/>
          </w:tcPr>
          <w:p>
            <w:pPr>
              <w:spacing w:after="20" w:before="20" w:line="264" w:lineRule="auto"/>
              <w:jc w:val="left"/>
            </w:pPr>
            <w:r>
              <w:rPr>
                <w:b w:val="0"/>
                <w:sz w:val="18"/>
              </w:rPr>
              <w:t>ID 留出</w:t>
            </w:r>
          </w:p>
        </w:tc>
        <w:tc>
          <w:tcPr>
            <w:tcW w:type="dxa" w:w="4473"/>
            <w:vAlign w:val="center"/>
            <w:shd w:fill="FFFFFF"/>
          </w:tcPr>
          <w:p>
            <w:pPr>
              <w:spacing w:after="20" w:before="20" w:line="264" w:lineRule="auto"/>
              <w:jc w:val="left"/>
            </w:pPr>
            <w:r>
              <w:rPr>
                <w:b w:val="0"/>
                <w:sz w:val="18"/>
              </w:rPr>
              <w:t>未见地图/交通种子，分布与训练相近</w:t>
            </w:r>
          </w:p>
        </w:tc>
        <w:tc>
          <w:tcPr>
            <w:tcW w:type="dxa" w:w="3660"/>
            <w:vAlign w:val="center"/>
            <w:shd w:fill="FFFFFF"/>
          </w:tcPr>
          <w:p>
            <w:pPr>
              <w:spacing w:after="20" w:before="20" w:line="264" w:lineRule="auto"/>
              <w:jc w:val="left"/>
            </w:pPr>
            <w:r>
              <w:rPr>
                <w:b w:val="0"/>
                <w:sz w:val="18"/>
              </w:rPr>
              <w:t>同类场景内的泛化</w:t>
            </w:r>
          </w:p>
        </w:tc>
      </w:tr>
      <w:tr>
        <w:trPr>
          <w:cantSplit/>
        </w:trPr>
        <w:tc>
          <w:tcPr>
            <w:tcW w:type="dxa" w:w="2033"/>
            <w:vAlign w:val="center"/>
            <w:shd w:fill="F4F7F9"/>
          </w:tcPr>
          <w:p>
            <w:pPr>
              <w:spacing w:after="20" w:before="20" w:line="264" w:lineRule="auto"/>
              <w:jc w:val="left"/>
            </w:pPr>
            <w:r>
              <w:rPr>
                <w:b w:val="0"/>
                <w:sz w:val="18"/>
              </w:rPr>
              <w:t>场景 OOD</w:t>
            </w:r>
          </w:p>
        </w:tc>
        <w:tc>
          <w:tcPr>
            <w:tcW w:type="dxa" w:w="4473"/>
            <w:vAlign w:val="center"/>
            <w:shd w:fill="F4F7F9"/>
          </w:tcPr>
          <w:p>
            <w:pPr>
              <w:spacing w:after="20" w:before="20" w:line="264" w:lineRule="auto"/>
              <w:jc w:val="left"/>
            </w:pPr>
            <w:r>
              <w:rPr>
                <w:b w:val="0"/>
                <w:sz w:val="18"/>
              </w:rPr>
              <w:t>新道路组合、车流密度、急刹/切入模式</w:t>
            </w:r>
          </w:p>
        </w:tc>
        <w:tc>
          <w:tcPr>
            <w:tcW w:type="dxa" w:w="3660"/>
            <w:vAlign w:val="center"/>
            <w:shd w:fill="F4F7F9"/>
          </w:tcPr>
          <w:p>
            <w:pPr>
              <w:spacing w:after="20" w:before="20" w:line="264" w:lineRule="auto"/>
              <w:jc w:val="left"/>
            </w:pPr>
            <w:r>
              <w:rPr>
                <w:b w:val="0"/>
                <w:sz w:val="18"/>
              </w:rPr>
              <w:t>对所列分布变化的稳健性</w:t>
            </w:r>
          </w:p>
        </w:tc>
      </w:tr>
      <w:tr>
        <w:trPr>
          <w:cantSplit/>
        </w:trPr>
        <w:tc>
          <w:tcPr>
            <w:tcW w:type="dxa" w:w="2033"/>
            <w:vAlign w:val="center"/>
            <w:shd w:fill="FFFFFF"/>
          </w:tcPr>
          <w:p>
            <w:pPr>
              <w:spacing w:after="20" w:before="20" w:line="264" w:lineRule="auto"/>
              <w:jc w:val="left"/>
            </w:pPr>
            <w:r>
              <w:rPr>
                <w:b w:val="0"/>
                <w:sz w:val="18"/>
              </w:rPr>
              <w:t>感知和动力学扰动</w:t>
            </w:r>
          </w:p>
        </w:tc>
        <w:tc>
          <w:tcPr>
            <w:tcW w:type="dxa" w:w="4473"/>
            <w:vAlign w:val="center"/>
            <w:shd w:fill="FFFFFF"/>
          </w:tcPr>
          <w:p>
            <w:pPr>
              <w:spacing w:after="20" w:before="20" w:line="264" w:lineRule="auto"/>
              <w:jc w:val="left"/>
            </w:pPr>
            <w:r>
              <w:rPr>
                <w:b w:val="0"/>
                <w:sz w:val="18"/>
              </w:rPr>
              <w:t>噪声、丢包、时延、制动能力等项目化范围</w:t>
            </w:r>
          </w:p>
        </w:tc>
        <w:tc>
          <w:tcPr>
            <w:tcW w:type="dxa" w:w="3660"/>
            <w:vAlign w:val="center"/>
            <w:shd w:fill="FFFFFF"/>
          </w:tcPr>
          <w:p>
            <w:pPr>
              <w:spacing w:after="20" w:before="20" w:line="264" w:lineRule="auto"/>
              <w:jc w:val="left"/>
            </w:pPr>
            <w:r>
              <w:rPr>
                <w:b w:val="0"/>
                <w:sz w:val="18"/>
              </w:rPr>
              <w:t>对指定误差模型的容忍度</w:t>
            </w:r>
          </w:p>
        </w:tc>
      </w:tr>
      <w:tr>
        <w:trPr>
          <w:cantSplit/>
        </w:trPr>
        <w:tc>
          <w:tcPr>
            <w:tcW w:type="dxa" w:w="2033"/>
            <w:vAlign w:val="center"/>
            <w:shd w:fill="F4F7F9"/>
          </w:tcPr>
          <w:p>
            <w:pPr>
              <w:spacing w:after="20" w:before="20" w:line="264" w:lineRule="auto"/>
              <w:jc w:val="left"/>
            </w:pPr>
            <w:r>
              <w:rPr>
                <w:b w:val="0"/>
                <w:sz w:val="18"/>
              </w:rPr>
              <w:t>稀有危险</w:t>
            </w:r>
          </w:p>
        </w:tc>
        <w:tc>
          <w:tcPr>
            <w:tcW w:type="dxa" w:w="4473"/>
            <w:vAlign w:val="center"/>
            <w:shd w:fill="F4F7F9"/>
          </w:tcPr>
          <w:p>
            <w:pPr>
              <w:spacing w:after="20" w:before="20" w:line="264" w:lineRule="auto"/>
              <w:jc w:val="left"/>
            </w:pPr>
            <w:r>
              <w:rPr>
                <w:b w:val="0"/>
                <w:sz w:val="18"/>
              </w:rPr>
              <w:t>系统构造的边界事件与失败回归集</w:t>
            </w:r>
          </w:p>
        </w:tc>
        <w:tc>
          <w:tcPr>
            <w:tcW w:type="dxa" w:w="3660"/>
            <w:vAlign w:val="center"/>
            <w:shd w:fill="F4F7F9"/>
          </w:tcPr>
          <w:p>
            <w:pPr>
              <w:spacing w:after="20" w:before="20" w:line="264" w:lineRule="auto"/>
              <w:jc w:val="left"/>
            </w:pPr>
            <w:r>
              <w:rPr>
                <w:b w:val="0"/>
                <w:sz w:val="18"/>
              </w:rPr>
              <w:t>条件风险与失效模式；不能直接当自然道路频率</w:t>
            </w:r>
          </w:p>
        </w:tc>
      </w:tr>
    </w:tbl>
    <w:p>
      <w:pPr>
        <w:spacing w:after="40" w:before="0" w:line="96" w:lineRule="auto"/>
      </w:pPr>
    </w:p>
    <w:p>
      <w:pPr>
        <w:pStyle w:val="Heading2"/>
        <w:widowControl/>
      </w:pPr>
      <w:r>
        <w:t>四组指标同时报告</w:t>
      </w:r>
    </w:p>
    <w:p>
      <w:pPr>
        <w:pStyle w:val="ListBullet"/>
        <w:widowControl/>
      </w:pPr>
      <w:r>
        <w:t>安全：碰撞事件/回合与每公里事故、对象分类、越界时间、实际支持的规则违规、最差子场景和尾部成本。</w:t>
      </w:r>
    </w:p>
    <w:p>
      <w:pPr>
        <w:pStyle w:val="ListBullet"/>
        <w:widowControl/>
      </w:pPr>
      <w:r>
        <w:t>任务：到达率、路线完成、通行时间、停滞/超时、加速度与 jerk。安全与有用性必须联合判断。</w:t>
      </w:r>
    </w:p>
    <w:p>
      <w:pPr>
        <w:pStyle w:val="ListBullet"/>
        <w:widowControl/>
      </w:pPr>
      <w:r>
        <w:t>学习：真实环境步数、训练累计违规、达到联合门槛的交互量、模型想象量和 wall-clock。</w:t>
      </w:r>
    </w:p>
    <w:p>
      <w:pPr>
        <w:pStyle w:val="ListBullet"/>
        <w:widowControl/>
      </w:pPr>
      <w:r>
        <w:t>工程：全部模型/规划器参数量、RAM/VRAM、batch=1 延迟分布、deadline miss、功耗与连续运行稳定性。</w:t>
      </w:r>
    </w:p>
    <w:p>
      <w:pPr>
        <w:pStyle w:val="Heading2"/>
        <w:widowControl/>
      </w:pPr>
      <w:r>
        <w:t>多 seed 与多回合不是同一件事</w:t>
      </w:r>
    </w:p>
    <w:p>
      <w:pPr>
        <w:widowControl/>
      </w:pPr>
      <w:r>
        <w:t>训练 seed 控制初始化和优化随机性；场景 seed 控制道路与交通；评估随机性控制采样与扰动。同一个模型测试很多回合，不能替代多个独立训练结果。建议呈现每个 seed、均值/标准差、区间、最差 seed 和达到成本预算的 seed 比例；比较使用匹配场景列表。</w:t>
      </w:r>
      <w:hyperlink r:id="rId54">
        <w:r>
          <w:rPr>
            <w:color w:val="174C72"/>
            <w:rFonts w:ascii="Noto Sans CJK SC" w:hAnsi="Noto Sans CJK SC" w:eastAsia="Noto Sans CJK SC"/>
          </w:rPr>
          <w:t>[R23]</w:t>
        </w:r>
      </w:hyperlink>
      <w:r/>
      <w:hyperlink r:id="rId55">
        <w:r>
          <w:rPr>
            <w:color w:val="174C72"/>
            <w:rFonts w:ascii="Noto Sans CJK SC" w:hAnsi="Noto Sans CJK SC" w:eastAsia="Noto Sans CJK SC"/>
          </w:rPr>
          <w:t>[R24]</w:t>
        </w:r>
      </w:hyperlink>
      <w:r/>
    </w:p>
    <w:p>
      <w:pPr>
        <w:widowControl/>
      </w:pPr>
      <w:r>
        <w:t>统计以训练 run 为重要单位，必要时对 run 和场景分层或聚类 bootstrap，避免将相关时间步当独立样本。多任务汇总可以参考稳健统计，但不能让平均分掩盖某类驾驶事件的严重失败。少量 seed 的置信区间可能仍不稳定。</w:t>
      </w:r>
    </w:p>
    <w:p>
      <w:pPr>
        <w:pStyle w:val="Heading2"/>
        <w:widowControl/>
      </w:pPr>
      <w:r>
        <w:t>如何解释零失败</w:t>
      </w:r>
    </w:p>
    <w:p>
      <w:pPr>
        <w:widowControl/>
      </w:pPr>
      <w:r>
        <w:t>若 N 个真正独立且同分布的回合均无失败，单侧 95% 二项上界为 1−0.05^(1/N)，近似 3/N。例如 1000 个零失败回合只支持该测试分布下约 0.3% 的上界量级，不是零风险。相关性、选择偏差或分布迁移会破坏这一解释。此统计例子不是道路安全阈值。</w:t>
      </w:r>
    </w:p>
    <w:p>
      <w:pPr>
        <w:widowControl/>
      </w:pPr>
      <w:r>
        <w:t>最终测试只在独立仿真环境和冻结面板上评估，不在训练用世界模型中验收。若使用加速危险采样，需保留采样分布；没有相应权重和假设，不能把加速碰撞率换算成现实道路事故率。</w:t>
      </w:r>
    </w:p>
    <w:p>
      <w:pPr>
        <w:pStyle w:val="Heading1"/>
        <w:pageBreakBefore/>
        <w:widowControl/>
      </w:pPr>
      <w:r>
        <w:t>14 成本定义与结果可信度</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0" w:type="dxa"/>
          <w:bottom w:w="85" w:type="dxa"/>
          <w:right w:w="100" w:type="dxa"/>
        </w:tblCellMar>
      </w:tblPr>
      <w:tblGrid>
        <w:gridCol w:w="1830"/>
        <w:gridCol w:w="4677"/>
        <w:gridCol w:w="3660"/>
      </w:tblGrid>
      <w:tr>
        <w:trPr>
          <w:tblHeader/>
          <w:cantSplit/>
        </w:trPr>
        <w:tc>
          <w:tcPr>
            <w:tcW w:type="dxa" w:w="1830"/>
            <w:vAlign w:val="center"/>
            <w:shd w:fill="DCE6EC"/>
          </w:tcPr>
          <w:p>
            <w:pPr>
              <w:spacing w:after="20" w:before="20" w:line="264" w:lineRule="auto"/>
              <w:jc w:val="left"/>
            </w:pPr>
            <w:r>
              <w:rPr>
                <w:b/>
                <w:sz w:val="18"/>
              </w:rPr>
              <w:t>信号</w:t>
            </w:r>
          </w:p>
        </w:tc>
        <w:tc>
          <w:tcPr>
            <w:tcW w:type="dxa" w:w="4677"/>
            <w:vAlign w:val="center"/>
            <w:shd w:fill="DCE6EC"/>
          </w:tcPr>
          <w:p>
            <w:pPr>
              <w:spacing w:after="20" w:before="20" w:line="264" w:lineRule="auto"/>
              <w:jc w:val="left"/>
            </w:pPr>
            <w:r>
              <w:rPr>
                <w:b/>
                <w:sz w:val="18"/>
              </w:rPr>
              <w:t>必须写清的语义</w:t>
            </w:r>
          </w:p>
        </w:tc>
        <w:tc>
          <w:tcPr>
            <w:tcW w:type="dxa" w:w="3660"/>
            <w:vAlign w:val="center"/>
            <w:shd w:fill="DCE6EC"/>
          </w:tcPr>
          <w:p>
            <w:pPr>
              <w:spacing w:after="20" w:before="20" w:line="264" w:lineRule="auto"/>
              <w:jc w:val="left"/>
            </w:pPr>
            <w:r>
              <w:rPr>
                <w:b/>
                <w:sz w:val="18"/>
              </w:rPr>
              <w:t>常见错误</w:t>
            </w:r>
          </w:p>
        </w:tc>
      </w:tr>
      <w:tr>
        <w:trPr>
          <w:cantSplit/>
        </w:trPr>
        <w:tc>
          <w:tcPr>
            <w:tcW w:type="dxa" w:w="1830"/>
            <w:vAlign w:val="center"/>
            <w:shd w:fill="FFFFFF"/>
          </w:tcPr>
          <w:p>
            <w:pPr>
              <w:spacing w:after="20" w:before="20" w:line="264" w:lineRule="auto"/>
              <w:jc w:val="left"/>
            </w:pPr>
            <w:r>
              <w:rPr>
                <w:b w:val="0"/>
                <w:sz w:val="18"/>
              </w:rPr>
              <w:t>碰撞</w:t>
            </w:r>
          </w:p>
        </w:tc>
        <w:tc>
          <w:tcPr>
            <w:tcW w:type="dxa" w:w="4677"/>
            <w:vAlign w:val="center"/>
            <w:shd w:fill="FFFFFF"/>
          </w:tcPr>
          <w:p>
            <w:pPr>
              <w:spacing w:after="20" w:before="20" w:line="264" w:lineRule="auto"/>
              <w:jc w:val="left"/>
            </w:pPr>
            <w:r>
              <w:rPr>
                <w:b w:val="0"/>
                <w:sz w:val="18"/>
              </w:rPr>
              <w:t>首次事件、受影响回合、接触持续步数分别记</w:t>
            </w:r>
          </w:p>
        </w:tc>
        <w:tc>
          <w:tcPr>
            <w:tcW w:type="dxa" w:w="3660"/>
            <w:vAlign w:val="center"/>
            <w:shd w:fill="FFFFFF"/>
          </w:tcPr>
          <w:p>
            <w:pPr>
              <w:spacing w:after="20" w:before="20" w:line="264" w:lineRule="auto"/>
              <w:jc w:val="left"/>
            </w:pPr>
            <w:r>
              <w:rPr>
                <w:b w:val="0"/>
                <w:sz w:val="18"/>
              </w:rPr>
              <w:t>持续接触每步计为独立事故</w:t>
            </w:r>
          </w:p>
        </w:tc>
      </w:tr>
      <w:tr>
        <w:trPr>
          <w:cantSplit/>
        </w:trPr>
        <w:tc>
          <w:tcPr>
            <w:tcW w:type="dxa" w:w="1830"/>
            <w:vAlign w:val="center"/>
            <w:shd w:fill="F4F7F9"/>
          </w:tcPr>
          <w:p>
            <w:pPr>
              <w:spacing w:after="20" w:before="20" w:line="264" w:lineRule="auto"/>
              <w:jc w:val="left"/>
            </w:pPr>
            <w:r>
              <w:rPr>
                <w:b w:val="0"/>
                <w:sz w:val="18"/>
              </w:rPr>
              <w:t>TTC 和时距</w:t>
            </w:r>
          </w:p>
        </w:tc>
        <w:tc>
          <w:tcPr>
            <w:tcW w:type="dxa" w:w="4677"/>
            <w:vAlign w:val="center"/>
            <w:shd w:fill="F4F7F9"/>
          </w:tcPr>
          <w:p>
            <w:pPr>
              <w:spacing w:after="20" w:before="20" w:line="264" w:lineRule="auto"/>
              <w:jc w:val="left"/>
            </w:pPr>
            <w:r>
              <w:rPr>
                <w:b w:val="0"/>
                <w:sz w:val="18"/>
              </w:rPr>
              <w:t>适用交通关系、接近条件、无效值、单位</w:t>
            </w:r>
          </w:p>
        </w:tc>
        <w:tc>
          <w:tcPr>
            <w:tcW w:type="dxa" w:w="3660"/>
            <w:vAlign w:val="center"/>
            <w:shd w:fill="F4F7F9"/>
          </w:tcPr>
          <w:p>
            <w:pPr>
              <w:spacing w:after="20" w:before="20" w:line="264" w:lineRule="auto"/>
              <w:jc w:val="left"/>
            </w:pPr>
            <w:r>
              <w:rPr>
                <w:b w:val="0"/>
                <w:sz w:val="18"/>
              </w:rPr>
              <w:t>非接近状态也简单用距离除相对速度</w:t>
            </w:r>
          </w:p>
        </w:tc>
      </w:tr>
      <w:tr>
        <w:trPr>
          <w:cantSplit/>
        </w:trPr>
        <w:tc>
          <w:tcPr>
            <w:tcW w:type="dxa" w:w="1830"/>
            <w:vAlign w:val="center"/>
            <w:shd w:fill="FFFFFF"/>
          </w:tcPr>
          <w:p>
            <w:pPr>
              <w:spacing w:after="20" w:before="20" w:line="264" w:lineRule="auto"/>
              <w:jc w:val="left"/>
            </w:pPr>
            <w:r>
              <w:rPr>
                <w:b w:val="0"/>
                <w:sz w:val="18"/>
              </w:rPr>
              <w:t>越界和规则</w:t>
            </w:r>
          </w:p>
        </w:tc>
        <w:tc>
          <w:tcPr>
            <w:tcW w:type="dxa" w:w="4677"/>
            <w:vAlign w:val="center"/>
            <w:shd w:fill="FFFFFF"/>
          </w:tcPr>
          <w:p>
            <w:pPr>
              <w:spacing w:after="20" w:before="20" w:line="264" w:lineRule="auto"/>
              <w:jc w:val="left"/>
            </w:pPr>
            <w:r>
              <w:rPr>
                <w:b w:val="0"/>
                <w:sz w:val="18"/>
              </w:rPr>
              <w:t>事件与持续时间；判定器实际覆盖范围</w:t>
            </w:r>
          </w:p>
        </w:tc>
        <w:tc>
          <w:tcPr>
            <w:tcW w:type="dxa" w:w="3660"/>
            <w:vAlign w:val="center"/>
            <w:shd w:fill="FFFFFF"/>
          </w:tcPr>
          <w:p>
            <w:pPr>
              <w:spacing w:after="20" w:before="20" w:line="264" w:lineRule="auto"/>
              <w:jc w:val="left"/>
            </w:pPr>
            <w:r>
              <w:rPr>
                <w:b w:val="0"/>
                <w:sz w:val="18"/>
              </w:rPr>
              <w:t>没有红灯模块却声称规则合规</w:t>
            </w:r>
          </w:p>
        </w:tc>
      </w:tr>
      <w:tr>
        <w:trPr>
          <w:cantSplit/>
        </w:trPr>
        <w:tc>
          <w:tcPr>
            <w:tcW w:type="dxa" w:w="1830"/>
            <w:vAlign w:val="center"/>
            <w:shd w:fill="F4F7F9"/>
          </w:tcPr>
          <w:p>
            <w:pPr>
              <w:spacing w:after="20" w:before="20" w:line="264" w:lineRule="auto"/>
              <w:jc w:val="left"/>
            </w:pPr>
            <w:r>
              <w:rPr>
                <w:b w:val="0"/>
                <w:sz w:val="18"/>
              </w:rPr>
              <w:t>舒适性</w:t>
            </w:r>
          </w:p>
        </w:tc>
        <w:tc>
          <w:tcPr>
            <w:tcW w:type="dxa" w:w="4677"/>
            <w:vAlign w:val="center"/>
            <w:shd w:fill="F4F7F9"/>
          </w:tcPr>
          <w:p>
            <w:pPr>
              <w:spacing w:after="20" w:before="20" w:line="264" w:lineRule="auto"/>
              <w:jc w:val="left"/>
            </w:pPr>
            <w:r>
              <w:rPr>
                <w:b w:val="0"/>
                <w:sz w:val="18"/>
              </w:rPr>
              <w:t>采样频率、加速度和 jerk 计算/滤波方式</w:t>
            </w:r>
          </w:p>
        </w:tc>
        <w:tc>
          <w:tcPr>
            <w:tcW w:type="dxa" w:w="3660"/>
            <w:vAlign w:val="center"/>
            <w:shd w:fill="F4F7F9"/>
          </w:tcPr>
          <w:p>
            <w:pPr>
              <w:spacing w:after="20" w:before="20" w:line="264" w:lineRule="auto"/>
              <w:jc w:val="left"/>
            </w:pPr>
            <w:r>
              <w:rPr>
                <w:b w:val="0"/>
                <w:sz w:val="18"/>
              </w:rPr>
              <w:t>改变 dt 后仍沿用相同阈值解释</w:t>
            </w:r>
          </w:p>
        </w:tc>
      </w:tr>
      <w:tr>
        <w:trPr>
          <w:cantSplit/>
        </w:trPr>
        <w:tc>
          <w:tcPr>
            <w:tcW w:type="dxa" w:w="1830"/>
            <w:vAlign w:val="center"/>
            <w:shd w:fill="FFFFFF"/>
          </w:tcPr>
          <w:p>
            <w:pPr>
              <w:spacing w:after="20" w:before="20" w:line="264" w:lineRule="auto"/>
              <w:jc w:val="left"/>
            </w:pPr>
            <w:r>
              <w:rPr>
                <w:b w:val="0"/>
                <w:sz w:val="18"/>
              </w:rPr>
              <w:t>预算</w:t>
            </w:r>
          </w:p>
        </w:tc>
        <w:tc>
          <w:tcPr>
            <w:tcW w:type="dxa" w:w="4677"/>
            <w:vAlign w:val="center"/>
            <w:shd w:fill="FFFFFF"/>
          </w:tcPr>
          <w:p>
            <w:pPr>
              <w:spacing w:after="20" w:before="20" w:line="264" w:lineRule="auto"/>
              <w:jc w:val="left"/>
            </w:pPr>
            <w:r>
              <w:rPr>
                <w:b w:val="0"/>
                <w:sz w:val="18"/>
              </w:rPr>
              <w:t>每步或每回合、折扣、时长、缩放与 action repeat</w:t>
            </w:r>
          </w:p>
        </w:tc>
        <w:tc>
          <w:tcPr>
            <w:tcW w:type="dxa" w:w="3660"/>
            <w:vAlign w:val="center"/>
            <w:shd w:fill="FFFFFF"/>
          </w:tcPr>
          <w:p>
            <w:pPr>
              <w:spacing w:after="20" w:before="20" w:line="264" w:lineRule="auto"/>
              <w:jc w:val="left"/>
            </w:pPr>
            <w:r>
              <w:rPr>
                <w:b w:val="0"/>
                <w:sz w:val="18"/>
              </w:rPr>
              <w:t>照抄论文 cost_limit 或 1000/horizon</w:t>
            </w:r>
          </w:p>
        </w:tc>
      </w:tr>
      <w:tr>
        <w:trPr>
          <w:cantSplit/>
        </w:trPr>
        <w:tc>
          <w:tcPr>
            <w:tcW w:type="dxa" w:w="1830"/>
            <w:vAlign w:val="center"/>
            <w:shd w:fill="F4F7F9"/>
          </w:tcPr>
          <w:p>
            <w:pPr>
              <w:spacing w:after="20" w:before="20" w:line="264" w:lineRule="auto"/>
              <w:jc w:val="left"/>
            </w:pPr>
            <w:r>
              <w:rPr>
                <w:b w:val="0"/>
                <w:sz w:val="18"/>
              </w:rPr>
              <w:t>失败与超时</w:t>
            </w:r>
          </w:p>
        </w:tc>
        <w:tc>
          <w:tcPr>
            <w:tcW w:type="dxa" w:w="4677"/>
            <w:vAlign w:val="center"/>
            <w:shd w:fill="F4F7F9"/>
          </w:tcPr>
          <w:p>
            <w:pPr>
              <w:spacing w:after="20" w:before="20" w:line="264" w:lineRule="auto"/>
              <w:jc w:val="left"/>
            </w:pPr>
            <w:r>
              <w:rPr>
                <w:b w:val="0"/>
                <w:sz w:val="18"/>
              </w:rPr>
              <w:t>崩溃、不可行、未完成与真实终止分别登记</w:t>
            </w:r>
          </w:p>
        </w:tc>
        <w:tc>
          <w:tcPr>
            <w:tcW w:type="dxa" w:w="3660"/>
            <w:vAlign w:val="center"/>
            <w:shd w:fill="F4F7F9"/>
          </w:tcPr>
          <w:p>
            <w:pPr>
              <w:spacing w:after="20" w:before="20" w:line="264" w:lineRule="auto"/>
              <w:jc w:val="left"/>
            </w:pPr>
            <w:r>
              <w:rPr>
                <w:b w:val="0"/>
                <w:sz w:val="18"/>
              </w:rPr>
              <w:t>静默删除失败 run 或路线提高均值</w:t>
            </w:r>
          </w:p>
        </w:tc>
      </w:tr>
    </w:tbl>
    <w:p>
      <w:pPr>
        <w:spacing w:after="40" w:before="0" w:line="96" w:lineRule="auto"/>
      </w:pPr>
    </w:p>
    <w:p>
      <w:pPr>
        <w:pStyle w:val="Heading2"/>
        <w:widowControl/>
      </w:pPr>
      <w:r>
        <w:t>危险标签与决策风险</w:t>
      </w:r>
    </w:p>
    <w:p>
      <w:pPr>
        <w:widowControl/>
      </w:pPr>
      <w:r>
        <w:t>成本头的正样本通常稀少。应在仿真中构建可控危险事件并记录采样分布，在留出场景分别测漏报、误报、召回和校准。事故前的风险与事故发生标签不是同一目标，需要定义预测时间窗。训练集为平衡类别而过采样后，概率输出可能需要重新校准，不能直接解释为自然场景事故概率。</w:t>
      </w:r>
    </w:p>
    <w:p>
      <w:pPr>
        <w:pStyle w:val="Heading2"/>
        <w:widowControl/>
      </w:pPr>
      <w:r>
        <w:t>必须避免的数据泄漏</w:t>
      </w:r>
    </w:p>
    <w:p>
      <w:pPr>
        <w:pStyle w:val="ListBullet"/>
        <w:widowControl/>
      </w:pPr>
      <w:r>
        <w:t>训练、验证、测试按完整轨迹和场景划分，不能随机拆相邻帧。归一化统计只在训练集拟合。</w:t>
      </w:r>
    </w:p>
    <w:p>
      <w:pPr>
        <w:pStyle w:val="ListBullet"/>
        <w:widowControl/>
      </w:pPr>
      <w:r>
        <w:t>仿真未来位置、其他车辆真实意图和隐藏路线，只能以明确教师标签使用，不能进入部署输入。</w:t>
      </w:r>
    </w:p>
    <w:p>
      <w:pPr>
        <w:pStyle w:val="ListBullet"/>
        <w:widowControl/>
      </w:pPr>
      <w:r>
        <w:t>由失败回归集调过参数后，它已成为开发集；需另留最终盲测集。</w:t>
      </w:r>
    </w:p>
    <w:p>
      <w:pPr>
        <w:pStyle w:val="ListBullet"/>
        <w:widowControl/>
      </w:pPr>
      <w:r>
        <w:t>若安全过滤器修改动作，模型训练使用实际执行动作，并额外保存原提议与干预原因。</w:t>
      </w:r>
    </w:p>
    <w:p>
      <w:pPr>
        <w:pStyle w:val="Heading2"/>
        <w:widowControl/>
      </w:pPr>
      <w:r>
        <w:t>奖励投机与安全约束的边界</w:t>
      </w:r>
    </w:p>
    <w:p>
      <w:pPr>
        <w:widowControl/>
      </w:pPr>
      <w:r>
        <w:t>停车、持续低速、提前结束和重复获得进度奖励都可能让总分失真。应将零动作/停车策略加入指标漏洞测试；预注册基本通行下限；严重碰撞独立审查，不能被其他高 reward 抵消。成本预算和性能容忍幅度需由 ODD、风险严重度和项目目标确定，不能看完结果再反向选择。</w:t>
      </w:r>
    </w:p>
    <w:p>
      <w:pPr>
        <w:widowControl/>
      </w:pPr>
      <w:r>
        <w:t>安全收益应分为训练期累计违规减少与最终策略风险减少，两者可能不一致。运行时保护的干预率和不可行率也应独立报告，避免把保护器贡献误归给学习策略。</w:t>
      </w:r>
    </w:p>
    <w:p>
      <w:pPr>
        <w:pStyle w:val="Heading1"/>
        <w:pageBreakBefore/>
        <w:widowControl/>
      </w:pPr>
      <w:r>
        <w:t>15 先测量再确定算力</w:t>
      </w:r>
    </w:p>
    <w:p>
      <w:pPr>
        <w:widowControl/>
      </w:pPr>
      <w:r>
        <w:t>现有 CPU、GPU、RAM、仿真器版本及模型参数尚需确认。因此当前能提出的是定容方法和待测假设，不能给出已验证的最低卡数或训练时长。首轮优先现有本地资源，记录采样、训练和评估各自瓶颈。</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0" w:type="dxa"/>
          <w:bottom w:w="85" w:type="dxa"/>
          <w:right w:w="100" w:type="dxa"/>
        </w:tblCellMar>
      </w:tblPr>
      <w:tblGrid>
        <w:gridCol w:w="3863"/>
        <w:gridCol w:w="3457"/>
        <w:gridCol w:w="2847"/>
      </w:tblGrid>
      <w:tr>
        <w:trPr>
          <w:tblHeader/>
          <w:cantSplit/>
        </w:trPr>
        <w:tc>
          <w:tcPr>
            <w:tcW w:type="dxa" w:w="3863"/>
            <w:vAlign w:val="center"/>
            <w:shd w:fill="DCE6EC"/>
          </w:tcPr>
          <w:p>
            <w:pPr>
              <w:spacing w:after="20" w:before="20" w:line="264" w:lineRule="auto"/>
              <w:jc w:val="left"/>
            </w:pPr>
            <w:r>
              <w:rPr>
                <w:b/>
                <w:sz w:val="18"/>
              </w:rPr>
              <w:t>需要固定</w:t>
            </w:r>
          </w:p>
        </w:tc>
        <w:tc>
          <w:tcPr>
            <w:tcW w:type="dxa" w:w="3457"/>
            <w:vAlign w:val="center"/>
            <w:shd w:fill="DCE6EC"/>
          </w:tcPr>
          <w:p>
            <w:pPr>
              <w:spacing w:after="20" w:before="20" w:line="264" w:lineRule="auto"/>
              <w:jc w:val="left"/>
            </w:pPr>
            <w:r>
              <w:rPr>
                <w:b/>
                <w:sz w:val="18"/>
              </w:rPr>
              <w:t>需要测量</w:t>
            </w:r>
          </w:p>
        </w:tc>
        <w:tc>
          <w:tcPr>
            <w:tcW w:type="dxa" w:w="2847"/>
            <w:vAlign w:val="center"/>
            <w:shd w:fill="DCE6EC"/>
          </w:tcPr>
          <w:p>
            <w:pPr>
              <w:spacing w:after="20" w:before="20" w:line="264" w:lineRule="auto"/>
              <w:jc w:val="left"/>
            </w:pPr>
            <w:r>
              <w:rPr>
                <w:b/>
                <w:sz w:val="18"/>
              </w:rPr>
              <w:t>用于什么决策</w:t>
            </w:r>
          </w:p>
        </w:tc>
      </w:tr>
      <w:tr>
        <w:trPr>
          <w:cantSplit/>
        </w:trPr>
        <w:tc>
          <w:tcPr>
            <w:tcW w:type="dxa" w:w="3863"/>
            <w:vAlign w:val="center"/>
            <w:shd w:fill="FFFFFF"/>
          </w:tcPr>
          <w:p>
            <w:pPr>
              <w:spacing w:after="20" w:before="20" w:line="264" w:lineRule="auto"/>
              <w:jc w:val="left"/>
            </w:pPr>
            <w:r>
              <w:rPr>
                <w:b w:val="0"/>
                <w:sz w:val="18"/>
              </w:rPr>
              <w:t>任务/地图/车流、观测维度、dt 和 action repeat</w:t>
            </w:r>
          </w:p>
        </w:tc>
        <w:tc>
          <w:tcPr>
            <w:tcW w:type="dxa" w:w="3457"/>
            <w:vAlign w:val="center"/>
            <w:shd w:fill="FFFFFF"/>
          </w:tcPr>
          <w:p>
            <w:pPr>
              <w:spacing w:after="20" w:before="20" w:line="264" w:lineRule="auto"/>
              <w:jc w:val="left"/>
            </w:pPr>
            <w:r>
              <w:rPr>
                <w:b w:val="0"/>
                <w:sz w:val="18"/>
              </w:rPr>
              <w:t>稳定阶段 transitions/s 与采样等待</w:t>
            </w:r>
          </w:p>
        </w:tc>
        <w:tc>
          <w:tcPr>
            <w:tcW w:type="dxa" w:w="2847"/>
            <w:vAlign w:val="center"/>
            <w:shd w:fill="FFFFFF"/>
          </w:tcPr>
          <w:p>
            <w:pPr>
              <w:spacing w:after="20" w:before="20" w:line="264" w:lineRule="auto"/>
              <w:jc w:val="left"/>
            </w:pPr>
            <w:r>
              <w:rPr>
                <w:b w:val="0"/>
                <w:sz w:val="18"/>
              </w:rPr>
              <w:t>CPU 仿真和进程数是否成为瓶颈</w:t>
            </w:r>
          </w:p>
        </w:tc>
      </w:tr>
      <w:tr>
        <w:trPr>
          <w:cantSplit/>
        </w:trPr>
        <w:tc>
          <w:tcPr>
            <w:tcW w:type="dxa" w:w="3863"/>
            <w:vAlign w:val="center"/>
            <w:shd w:fill="F4F7F9"/>
          </w:tcPr>
          <w:p>
            <w:pPr>
              <w:spacing w:after="20" w:before="20" w:line="264" w:lineRule="auto"/>
              <w:jc w:val="left"/>
            </w:pPr>
            <w:r>
              <w:rPr>
                <w:b w:val="0"/>
                <w:sz w:val="18"/>
              </w:rPr>
              <w:t>模型/精度、batch、序列、horizon、replay ratio</w:t>
            </w:r>
          </w:p>
        </w:tc>
        <w:tc>
          <w:tcPr>
            <w:tcW w:type="dxa" w:w="3457"/>
            <w:vAlign w:val="center"/>
            <w:shd w:fill="F4F7F9"/>
          </w:tcPr>
          <w:p>
            <w:pPr>
              <w:spacing w:after="20" w:before="20" w:line="264" w:lineRule="auto"/>
              <w:jc w:val="left"/>
            </w:pPr>
            <w:r>
              <w:rPr>
                <w:b w:val="0"/>
                <w:sz w:val="18"/>
              </w:rPr>
              <w:t>更新/s、峰值 VRAM/RAM、编译和保存开销</w:t>
            </w:r>
          </w:p>
        </w:tc>
        <w:tc>
          <w:tcPr>
            <w:tcW w:type="dxa" w:w="2847"/>
            <w:vAlign w:val="center"/>
            <w:shd w:fill="F4F7F9"/>
          </w:tcPr>
          <w:p>
            <w:pPr>
              <w:spacing w:after="20" w:before="20" w:line="264" w:lineRule="auto"/>
              <w:jc w:val="left"/>
            </w:pPr>
            <w:r>
              <w:rPr>
                <w:b w:val="0"/>
                <w:sz w:val="18"/>
              </w:rPr>
              <w:t>单作业是否容纳 24GB，是否需调配置</w:t>
            </w:r>
          </w:p>
        </w:tc>
      </w:tr>
      <w:tr>
        <w:trPr>
          <w:cantSplit/>
        </w:trPr>
        <w:tc>
          <w:tcPr>
            <w:tcW w:type="dxa" w:w="3863"/>
            <w:vAlign w:val="center"/>
            <w:shd w:fill="FFFFFF"/>
          </w:tcPr>
          <w:p>
            <w:pPr>
              <w:spacing w:after="20" w:before="20" w:line="264" w:lineRule="auto"/>
              <w:jc w:val="left"/>
            </w:pPr>
            <w:r>
              <w:rPr>
                <w:b w:val="0"/>
                <w:sz w:val="18"/>
              </w:rPr>
              <w:t>1/2/4 独立作业及线程配额</w:t>
            </w:r>
          </w:p>
        </w:tc>
        <w:tc>
          <w:tcPr>
            <w:tcW w:type="dxa" w:w="3457"/>
            <w:vAlign w:val="center"/>
            <w:shd w:fill="FFFFFF"/>
          </w:tcPr>
          <w:p>
            <w:pPr>
              <w:spacing w:after="20" w:before="20" w:line="264" w:lineRule="auto"/>
              <w:jc w:val="left"/>
            </w:pPr>
            <w:r>
              <w:rPr>
                <w:b w:val="0"/>
                <w:sz w:val="18"/>
              </w:rPr>
              <w:t>总吞吐与单作业退化、磁盘和内存争用</w:t>
            </w:r>
          </w:p>
        </w:tc>
        <w:tc>
          <w:tcPr>
            <w:tcW w:type="dxa" w:w="2847"/>
            <w:vAlign w:val="center"/>
            <w:shd w:fill="FFFFFF"/>
          </w:tcPr>
          <w:p>
            <w:pPr>
              <w:spacing w:after="20" w:before="20" w:line="264" w:lineRule="auto"/>
              <w:jc w:val="left"/>
            </w:pPr>
            <w:r>
              <w:rPr>
                <w:b w:val="0"/>
                <w:sz w:val="18"/>
              </w:rPr>
              <w:t>增加卡是否真正缩短实验周转</w:t>
            </w:r>
          </w:p>
        </w:tc>
      </w:tr>
      <w:tr>
        <w:trPr>
          <w:cantSplit/>
        </w:trPr>
        <w:tc>
          <w:tcPr>
            <w:tcW w:type="dxa" w:w="3863"/>
            <w:vAlign w:val="center"/>
            <w:shd w:fill="F4F7F9"/>
          </w:tcPr>
          <w:p>
            <w:pPr>
              <w:spacing w:after="20" w:before="20" w:line="264" w:lineRule="auto"/>
              <w:jc w:val="left"/>
            </w:pPr>
            <w:r>
              <w:rPr>
                <w:b w:val="0"/>
                <w:sz w:val="18"/>
              </w:rPr>
              <w:t>渲染/传感器、仿真与训练是否同卡</w:t>
            </w:r>
          </w:p>
        </w:tc>
        <w:tc>
          <w:tcPr>
            <w:tcW w:type="dxa" w:w="3457"/>
            <w:vAlign w:val="center"/>
            <w:shd w:fill="F4F7F9"/>
          </w:tcPr>
          <w:p>
            <w:pPr>
              <w:spacing w:after="20" w:before="20" w:line="264" w:lineRule="auto"/>
              <w:jc w:val="left"/>
            </w:pPr>
            <w:r>
              <w:rPr>
                <w:b w:val="0"/>
                <w:sz w:val="18"/>
              </w:rPr>
              <w:t>仿真单独、训练单独、合并负载</w:t>
            </w:r>
          </w:p>
        </w:tc>
        <w:tc>
          <w:tcPr>
            <w:tcW w:type="dxa" w:w="2847"/>
            <w:vAlign w:val="center"/>
            <w:shd w:fill="F4F7F9"/>
          </w:tcPr>
          <w:p>
            <w:pPr>
              <w:spacing w:after="20" w:before="20" w:line="264" w:lineRule="auto"/>
              <w:jc w:val="left"/>
            </w:pPr>
            <w:r>
              <w:rPr>
                <w:b w:val="0"/>
                <w:sz w:val="18"/>
              </w:rPr>
              <w:t>是否需要分卡/分机或关闭无用渲染</w:t>
            </w:r>
          </w:p>
        </w:tc>
      </w:tr>
    </w:tbl>
    <w:p>
      <w:pPr>
        <w:spacing w:after="40" w:before="0" w:line="96" w:lineRule="auto"/>
      </w:pPr>
    </w:p>
    <w:p>
      <w:pPr>
        <w:pStyle w:val="Heading2"/>
        <w:widowControl/>
      </w:pPr>
      <w:r>
        <w:t>首轮剖析流程</w:t>
      </w:r>
    </w:p>
    <w:p>
      <w:pPr>
        <w:widowControl/>
      </w:pPr>
      <w:r>
        <w:t>建议先预热与编译，再做覆盖多次更新、评估和保存的代表性短跑，可暂以 30–60 分钟为初步安排，随后用较长压力测试覆盖 replay 增长、场景变化和热降频。记录代码与配置版本、CPU/RAM、设备型号、驱动、功率、温度、峰值显存和运行阶段；短跑能启动与长期能收敛是不同验收条件。</w:t>
      </w:r>
    </w:p>
    <w:p>
      <w:pPr>
        <w:widowControl/>
      </w:pPr>
      <w:r>
        <w:t>非 CNN 的 SB3 PPO 官方建议优先考虑 CPU；这不代表所有 PPO 都不适合 GPU。CARLA 的 off-screen 仍渲染传感器图像，no-rendering 则不提供正常 GPU 图像数据。JAX 预分配显存也会使监控占用不同于实际模型需求，应记录分配器配置和 OOM 边界。</w:t>
      </w:r>
      <w:hyperlink r:id="rId10">
        <w:r>
          <w:rPr>
            <w:color w:val="174C72"/>
            <w:rFonts w:ascii="Noto Sans CJK SC" w:hAnsi="Noto Sans CJK SC" w:eastAsia="Noto Sans CJK SC"/>
          </w:rPr>
          <w:t>[R02]</w:t>
        </w:r>
      </w:hyperlink>
      <w:r/>
      <w:hyperlink r:id="rId56">
        <w:r>
          <w:rPr>
            <w:color w:val="174C72"/>
            <w:rFonts w:ascii="Noto Sans CJK SC" w:hAnsi="Noto Sans CJK SC" w:eastAsia="Noto Sans CJK SC"/>
          </w:rPr>
          <w:t>[R28]</w:t>
        </w:r>
      </w:hyperlink>
      <w:r/>
      <w:hyperlink r:id="rId57">
        <w:r>
          <w:rPr>
            <w:color w:val="174C72"/>
            <w:rFonts w:ascii="Noto Sans CJK SC" w:hAnsi="Noto Sans CJK SC" w:eastAsia="Noto Sans CJK SC"/>
          </w:rPr>
          <w:t>[R31]</w:t>
        </w:r>
      </w:hyperlink>
      <w:r/>
    </w:p>
    <w:p>
      <w:pPr>
        <w:pStyle w:val="Heading2"/>
        <w:widowControl/>
      </w:pPr>
      <w:r>
        <w:t>把墙钟成本纳入科学结论</w:t>
      </w:r>
    </w:p>
    <w:p>
      <w:pPr>
        <w:widowControl/>
      </w:pPr>
      <w:r>
        <w:t>单次训练小时数可近似为目标真实 transitions 除以稳定端到端吞吐，再加尚未包含的编译、评估和保存开销。若吞吐本来已包含这些阶段，就不重复加算。固定数据复用比后再比较；否则同样环境步数可能对应完全不同训练工作量。</w:t>
      </w:r>
    </w:p>
    <w:p>
      <w:pPr>
        <w:widowControl/>
      </w:pPr>
      <w:r>
        <w:t>显存余量可在实测峰值基础上暂留约 20%–30% 作为工程规划假设，并覆盖评估/保存阶段。若超限，先定位激活、序列、replay 或仿真共卡，再比较配置缩减、混合精度或更大显存；任何改变都需回验学习效果。</w:t>
      </w:r>
    </w:p>
    <w:p>
      <w:pPr>
        <w:pStyle w:val="Heading1"/>
        <w:pageBreakBefore/>
        <w:widowControl/>
      </w:pPr>
      <w:r>
        <w:t>16 多卡容量与图像升级</w:t>
      </w:r>
    </w:p>
    <w:p>
      <w:pPr>
        <w:pStyle w:val="Heading2"/>
        <w:widowControl/>
      </w:pPr>
      <w:r>
        <w:t>2 到 4 张 24GB 显卡如何理解</w:t>
      </w:r>
    </w:p>
    <w:p>
      <w:pPr>
        <w:widowControl/>
      </w:pPr>
      <w:r>
        <w:t>它更适合作为独立 seed 和消融作业并发的候选配置，而不是单实验多卡的默认方案。DDP 同步多个模型副本的梯度，得到一次训练结果；独立作业得到多个统计重复。常规 DDP 每卡仍需容纳模型副本和本地激活，4×24GB 不自动提供一个 96GB 地址空间。</w:t>
      </w:r>
      <w:hyperlink r:id="rId11">
        <w:r>
          <w:rPr>
            <w:color w:val="174C72"/>
            <w:rFonts w:ascii="Noto Sans CJK SC" w:hAnsi="Noto Sans CJK SC" w:eastAsia="Noto Sans CJK SC"/>
          </w:rPr>
          <w:t>[R30]</w:t>
        </w:r>
      </w:hyperlink>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0" w:type="dxa"/>
          <w:bottom w:w="85" w:type="dxa"/>
          <w:right w:w="100" w:type="dxa"/>
        </w:tblCellMar>
      </w:tblPr>
      <w:tblGrid>
        <w:gridCol w:w="2338"/>
        <w:gridCol w:w="3965"/>
        <w:gridCol w:w="3863"/>
      </w:tblGrid>
      <w:tr>
        <w:trPr>
          <w:tblHeader/>
          <w:cantSplit/>
        </w:trPr>
        <w:tc>
          <w:tcPr>
            <w:tcW w:type="dxa" w:w="2338"/>
            <w:vAlign w:val="center"/>
            <w:shd w:fill="DCE6EC"/>
          </w:tcPr>
          <w:p>
            <w:pPr>
              <w:spacing w:after="20" w:before="20" w:line="264" w:lineRule="auto"/>
              <w:jc w:val="left"/>
            </w:pPr>
            <w:r>
              <w:rPr>
                <w:b/>
                <w:sz w:val="18"/>
              </w:rPr>
              <w:t>资源方案</w:t>
            </w:r>
          </w:p>
        </w:tc>
        <w:tc>
          <w:tcPr>
            <w:tcW w:type="dxa" w:w="3965"/>
            <w:vAlign w:val="center"/>
            <w:shd w:fill="DCE6EC"/>
          </w:tcPr>
          <w:p>
            <w:pPr>
              <w:spacing w:after="20" w:before="20" w:line="264" w:lineRule="auto"/>
              <w:jc w:val="left"/>
            </w:pPr>
            <w:r>
              <w:rPr>
                <w:b/>
                <w:sz w:val="18"/>
              </w:rPr>
              <w:t>适用情形</w:t>
            </w:r>
          </w:p>
        </w:tc>
        <w:tc>
          <w:tcPr>
            <w:tcW w:type="dxa" w:w="3863"/>
            <w:vAlign w:val="center"/>
            <w:shd w:fill="DCE6EC"/>
          </w:tcPr>
          <w:p>
            <w:pPr>
              <w:spacing w:after="20" w:before="20" w:line="264" w:lineRule="auto"/>
              <w:jc w:val="left"/>
            </w:pPr>
            <w:r>
              <w:rPr>
                <w:b/>
                <w:sz w:val="18"/>
              </w:rPr>
              <w:t>决策前核验</w:t>
            </w:r>
          </w:p>
        </w:tc>
      </w:tr>
      <w:tr>
        <w:trPr>
          <w:cantSplit/>
        </w:trPr>
        <w:tc>
          <w:tcPr>
            <w:tcW w:type="dxa" w:w="2338"/>
            <w:vAlign w:val="center"/>
            <w:shd w:fill="FFFFFF"/>
          </w:tcPr>
          <w:p>
            <w:pPr>
              <w:spacing w:after="20" w:before="20" w:line="264" w:lineRule="auto"/>
              <w:jc w:val="left"/>
            </w:pPr>
            <w:r>
              <w:rPr>
                <w:b w:val="0"/>
                <w:sz w:val="18"/>
              </w:rPr>
              <w:t>现有 CPU 或单卡</w:t>
            </w:r>
          </w:p>
        </w:tc>
        <w:tc>
          <w:tcPr>
            <w:tcW w:type="dxa" w:w="3965"/>
            <w:vAlign w:val="center"/>
            <w:shd w:fill="FFFFFF"/>
          </w:tcPr>
          <w:p>
            <w:pPr>
              <w:spacing w:after="20" w:before="20" w:line="264" w:lineRule="auto"/>
              <w:jc w:val="left"/>
            </w:pPr>
            <w:r>
              <w:rPr>
                <w:b w:val="0"/>
                <w:sz w:val="18"/>
              </w:rPr>
              <w:t>PPO、成本接口、小模型短跑</w:t>
            </w:r>
          </w:p>
        </w:tc>
        <w:tc>
          <w:tcPr>
            <w:tcW w:type="dxa" w:w="3863"/>
            <w:vAlign w:val="center"/>
            <w:shd w:fill="FFFFFF"/>
          </w:tcPr>
          <w:p>
            <w:pPr>
              <w:spacing w:after="20" w:before="20" w:line="264" w:lineRule="auto"/>
              <w:jc w:val="left"/>
            </w:pPr>
            <w:r>
              <w:rPr>
                <w:b w:val="0"/>
                <w:sz w:val="18"/>
              </w:rPr>
              <w:t>实际吞吐、可复现性和内存峰值</w:t>
            </w:r>
          </w:p>
        </w:tc>
      </w:tr>
      <w:tr>
        <w:trPr>
          <w:cantSplit/>
        </w:trPr>
        <w:tc>
          <w:tcPr>
            <w:tcW w:type="dxa" w:w="2338"/>
            <w:vAlign w:val="center"/>
            <w:shd w:fill="F4F7F9"/>
          </w:tcPr>
          <w:p>
            <w:pPr>
              <w:spacing w:after="20" w:before="20" w:line="264" w:lineRule="auto"/>
              <w:jc w:val="left"/>
            </w:pPr>
            <w:r>
              <w:rPr>
                <w:b w:val="0"/>
                <w:sz w:val="18"/>
              </w:rPr>
              <w:t>2 张 24GB</w:t>
            </w:r>
          </w:p>
        </w:tc>
        <w:tc>
          <w:tcPr>
            <w:tcW w:type="dxa" w:w="3965"/>
            <w:vAlign w:val="center"/>
            <w:shd w:fill="F4F7F9"/>
          </w:tcPr>
          <w:p>
            <w:pPr>
              <w:spacing w:after="20" w:before="20" w:line="264" w:lineRule="auto"/>
              <w:jc w:val="left"/>
            </w:pPr>
            <w:r>
              <w:rPr>
                <w:b w:val="0"/>
                <w:sz w:val="18"/>
              </w:rPr>
              <w:t>两组单卡独立作业并行</w:t>
            </w:r>
          </w:p>
        </w:tc>
        <w:tc>
          <w:tcPr>
            <w:tcW w:type="dxa" w:w="3863"/>
            <w:vAlign w:val="center"/>
            <w:shd w:fill="F4F7F9"/>
          </w:tcPr>
          <w:p>
            <w:pPr>
              <w:spacing w:after="20" w:before="20" w:line="264" w:lineRule="auto"/>
              <w:jc w:val="left"/>
            </w:pPr>
            <w:r>
              <w:rPr>
                <w:b w:val="0"/>
                <w:sz w:val="18"/>
              </w:rPr>
              <w:t>每作业是否稳定容纳；CPU/RAM 是否够</w:t>
            </w:r>
          </w:p>
        </w:tc>
      </w:tr>
      <w:tr>
        <w:trPr>
          <w:cantSplit/>
        </w:trPr>
        <w:tc>
          <w:tcPr>
            <w:tcW w:type="dxa" w:w="2338"/>
            <w:vAlign w:val="center"/>
            <w:shd w:fill="FFFFFF"/>
          </w:tcPr>
          <w:p>
            <w:pPr>
              <w:spacing w:after="20" w:before="20" w:line="264" w:lineRule="auto"/>
              <w:jc w:val="left"/>
            </w:pPr>
            <w:r>
              <w:rPr>
                <w:b w:val="0"/>
                <w:sz w:val="18"/>
              </w:rPr>
              <w:t>4 张 24GB</w:t>
            </w:r>
          </w:p>
        </w:tc>
        <w:tc>
          <w:tcPr>
            <w:tcW w:type="dxa" w:w="3965"/>
            <w:vAlign w:val="center"/>
            <w:shd w:fill="FFFFFF"/>
          </w:tcPr>
          <w:p>
            <w:pPr>
              <w:spacing w:after="20" w:before="20" w:line="264" w:lineRule="auto"/>
              <w:jc w:val="left"/>
            </w:pPr>
            <w:r>
              <w:rPr>
                <w:b w:val="0"/>
                <w:sz w:val="18"/>
              </w:rPr>
              <w:t>实验矩阵长期有稳定并行需求</w:t>
            </w:r>
          </w:p>
        </w:tc>
        <w:tc>
          <w:tcPr>
            <w:tcW w:type="dxa" w:w="3863"/>
            <w:vAlign w:val="center"/>
            <w:shd w:fill="FFFFFF"/>
          </w:tcPr>
          <w:p>
            <w:pPr>
              <w:spacing w:after="20" w:before="20" w:line="264" w:lineRule="auto"/>
              <w:jc w:val="left"/>
            </w:pPr>
            <w:r>
              <w:rPr>
                <w:b w:val="0"/>
                <w:sz w:val="18"/>
              </w:rPr>
              <w:t>共享资源退化、插槽/空间、供电散热和维护</w:t>
            </w:r>
          </w:p>
        </w:tc>
      </w:tr>
      <w:tr>
        <w:trPr>
          <w:cantSplit/>
        </w:trPr>
        <w:tc>
          <w:tcPr>
            <w:tcW w:type="dxa" w:w="2338"/>
            <w:vAlign w:val="center"/>
            <w:shd w:fill="F4F7F9"/>
          </w:tcPr>
          <w:p>
            <w:pPr>
              <w:spacing w:after="20" w:before="20" w:line="264" w:lineRule="auto"/>
              <w:jc w:val="left"/>
            </w:pPr>
            <w:r>
              <w:rPr>
                <w:b w:val="0"/>
                <w:sz w:val="18"/>
              </w:rPr>
              <w:t>40GB 或 80GB 级租用/共享</w:t>
            </w:r>
          </w:p>
        </w:tc>
        <w:tc>
          <w:tcPr>
            <w:tcW w:type="dxa" w:w="3965"/>
            <w:vAlign w:val="center"/>
            <w:shd w:fill="F4F7F9"/>
          </w:tcPr>
          <w:p>
            <w:pPr>
              <w:spacing w:after="20" w:before="20" w:line="264" w:lineRule="auto"/>
              <w:jc w:val="left"/>
            </w:pPr>
            <w:r>
              <w:rPr>
                <w:b w:val="0"/>
                <w:sz w:val="18"/>
              </w:rPr>
              <w:t>某单作业确有较大显存需求</w:t>
            </w:r>
          </w:p>
        </w:tc>
        <w:tc>
          <w:tcPr>
            <w:tcW w:type="dxa" w:w="3863"/>
            <w:vAlign w:val="center"/>
            <w:shd w:fill="F4F7F9"/>
          </w:tcPr>
          <w:p>
            <w:pPr>
              <w:spacing w:after="20" w:before="20" w:line="264" w:lineRule="auto"/>
              <w:jc w:val="left"/>
            </w:pPr>
            <w:r>
              <w:rPr>
                <w:b w:val="0"/>
                <w:sz w:val="18"/>
              </w:rPr>
              <w:t>软件/驱动兼容、数据要求与总体成本</w:t>
            </w:r>
          </w:p>
        </w:tc>
      </w:tr>
    </w:tbl>
    <w:p>
      <w:pPr>
        <w:spacing w:after="40" w:before="0" w:line="96" w:lineRule="auto"/>
      </w:pPr>
    </w:p>
    <w:p>
      <w:pPr>
        <w:widowControl/>
      </w:pPr>
      <w:r>
        <w:t>3090/4090 为 24GB；A100 属 40GB/80GB 级，PCIe 和 SXM 形态还需区分。4 张 4090 的标称 GPU 功率合计已达 1800W，尚非整机功率；整机供电散热应由合格供应商和场地人员核验。本报告不提供未经核验的价格或采购结论。</w:t>
      </w:r>
      <w:hyperlink r:id="rId12">
        <w:r>
          <w:rPr>
            <w:color w:val="174C72"/>
            <w:rFonts w:ascii="Noto Sans CJK SC" w:hAnsi="Noto Sans CJK SC" w:eastAsia="Noto Sans CJK SC"/>
          </w:rPr>
          <w:t>[R32]</w:t>
        </w:r>
      </w:hyperlink>
      <w:r/>
      <w:hyperlink r:id="rId13">
        <w:r>
          <w:rPr>
            <w:color w:val="174C72"/>
            <w:rFonts w:ascii="Noto Sans CJK SC" w:hAnsi="Noto Sans CJK SC" w:eastAsia="Noto Sans CJK SC"/>
          </w:rPr>
          <w:t>[R33]</w:t>
        </w:r>
      </w:hyperlink>
      <w:r/>
      <w:hyperlink r:id="rId14">
        <w:r>
          <w:rPr>
            <w:color w:val="174C72"/>
            <w:rFonts w:ascii="Noto Sans CJK SC" w:hAnsi="Noto Sans CJK SC" w:eastAsia="Noto Sans CJK SC"/>
          </w:rPr>
          <w:t>[R34]</w:t>
        </w:r>
      </w:hyperlink>
      <w:r/>
    </w:p>
    <w:p>
      <w:pPr>
        <w:pStyle w:val="Heading2"/>
        <w:widowControl/>
      </w:pPr>
      <w:r>
        <w:t>一个纯说明性预算例子</w:t>
      </w:r>
    </w:p>
    <w:p>
      <w:pPr>
        <w:widowControl/>
      </w:pPr>
      <w:r>
        <w:t>四组方法 × 五个 seed = 20 次单卡训练。若假设每次 8 小时，合计 160 GPU-hours；理想每卡一任务时，2 卡需 10 批约 80 小时，4 卡需 5 批约 40 小时。8 小时是演算假设，不是实测；调参、验证、失败重跑、排队和资源争用另计。卡数增加不代表单次训练自动更快。</w:t>
      </w:r>
    </w:p>
    <w:p>
      <w:pPr>
        <w:pStyle w:val="Heading2"/>
        <w:widowControl/>
      </w:pPr>
      <w:r>
        <w:t>图像升级必须重新定容</w:t>
      </w:r>
    </w:p>
    <w:p>
      <w:pPr>
        <w:widowControl/>
      </w:pPr>
      <w:r>
        <w:t>升级顺序可为带噪感知向量、可估计 BEV/occupancy、单摄低分辨率历史，再到多摄。先比较冻结/轻量编码器和同一潜在模型，确定瓶颈后才放大网络。图像会同时增加 replay、存储、解码和带宽成本，不只是参数显存；例如百万张 64×64 RGB uint8 原始图像约 12.288GB，256×256 则约 196.608GB，未含标签、索引和副本。</w:t>
      </w:r>
    </w:p>
    <w:p>
      <w:pPr>
        <w:widowControl/>
      </w:pPr>
      <w:r>
        <w:t>小型图像世界模型与通用驾驶视频基础模型是不同预算等级。2–4 张卡的并发假设不能被延伸为足以从零训练任何大型驾驶模型。</w:t>
      </w:r>
    </w:p>
    <w:p>
      <w:pPr>
        <w:widowControl/>
      </w:pPr>
      <w:r>
        <w:t>训练卡能运行 CUDA 不等于同一实例能运行 CARLA/Unreal 渲染。租用 A100 等训练实例前，应独立核验 Vulkan、仿真渲染、驱动和实例权限；必要时将渲染与训练分机，再测传输成本。</w:t>
      </w:r>
      <w:hyperlink r:id="rId58">
        <w:r>
          <w:rPr>
            <w:color w:val="174C72"/>
            <w:rFonts w:ascii="Noto Sans CJK SC" w:hAnsi="Noto Sans CJK SC" w:eastAsia="Noto Sans CJK SC"/>
          </w:rPr>
          <w:t>[R57]</w:t>
        </w:r>
      </w:hyperlink>
      <w:r/>
    </w:p>
    <w:p>
      <w:pPr>
        <w:pStyle w:val="Heading1"/>
        <w:pageBreakBefore/>
        <w:widowControl/>
      </w:pPr>
      <w:r>
        <w:t>17 车端部署与闭环验证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0" w:type="dxa"/>
          <w:bottom w:w="85" w:type="dxa"/>
          <w:right w:w="100" w:type="dxa"/>
        </w:tblCellMar>
      </w:tblPr>
      <w:tblGrid>
        <w:gridCol w:w="2440"/>
        <w:gridCol w:w="4372"/>
        <w:gridCol w:w="3355"/>
      </w:tblGrid>
      <w:tr>
        <w:trPr>
          <w:tblHeader/>
          <w:cantSplit/>
        </w:trPr>
        <w:tc>
          <w:tcPr>
            <w:tcW w:type="dxa" w:w="2440"/>
            <w:vAlign w:val="center"/>
            <w:shd w:fill="DCE6EC"/>
          </w:tcPr>
          <w:p>
            <w:pPr>
              <w:spacing w:after="20" w:before="20" w:line="264" w:lineRule="auto"/>
              <w:jc w:val="left"/>
            </w:pPr>
            <w:r>
              <w:rPr>
                <w:b/>
                <w:sz w:val="18"/>
              </w:rPr>
              <w:t>部署形态</w:t>
            </w:r>
          </w:p>
        </w:tc>
        <w:tc>
          <w:tcPr>
            <w:tcW w:type="dxa" w:w="4372"/>
            <w:vAlign w:val="center"/>
            <w:shd w:fill="DCE6EC"/>
          </w:tcPr>
          <w:p>
            <w:pPr>
              <w:spacing w:after="20" w:before="20" w:line="264" w:lineRule="auto"/>
              <w:jc w:val="left"/>
            </w:pPr>
            <w:r>
              <w:rPr>
                <w:b/>
                <w:sz w:val="18"/>
              </w:rPr>
              <w:t>必须计入的组件</w:t>
            </w:r>
          </w:p>
        </w:tc>
        <w:tc>
          <w:tcPr>
            <w:tcW w:type="dxa" w:w="3355"/>
            <w:vAlign w:val="center"/>
            <w:shd w:fill="DCE6EC"/>
          </w:tcPr>
          <w:p>
            <w:pPr>
              <w:spacing w:after="20" w:before="20" w:line="264" w:lineRule="auto"/>
              <w:jc w:val="left"/>
            </w:pPr>
            <w:r>
              <w:rPr>
                <w:b/>
                <w:sz w:val="18"/>
              </w:rPr>
              <w:t>主要验证点</w:t>
            </w:r>
          </w:p>
        </w:tc>
      </w:tr>
      <w:tr>
        <w:trPr>
          <w:cantSplit/>
        </w:trPr>
        <w:tc>
          <w:tcPr>
            <w:tcW w:type="dxa" w:w="2440"/>
            <w:vAlign w:val="center"/>
            <w:shd w:fill="FFFFFF"/>
          </w:tcPr>
          <w:p>
            <w:pPr>
              <w:spacing w:after="20" w:before="20" w:line="264" w:lineRule="auto"/>
              <w:jc w:val="left"/>
            </w:pPr>
            <w:r>
              <w:rPr>
                <w:b w:val="0"/>
                <w:sz w:val="18"/>
              </w:rPr>
              <w:t>普通向量 actor</w:t>
            </w:r>
          </w:p>
        </w:tc>
        <w:tc>
          <w:tcPr>
            <w:tcW w:type="dxa" w:w="4372"/>
            <w:vAlign w:val="center"/>
            <w:shd w:fill="FFFFFF"/>
          </w:tcPr>
          <w:p>
            <w:pPr>
              <w:spacing w:after="20" w:before="20" w:line="264" w:lineRule="auto"/>
              <w:jc w:val="left"/>
            </w:pPr>
            <w:r>
              <w:rPr>
                <w:b w:val="0"/>
                <w:sz w:val="18"/>
              </w:rPr>
              <w:t>输入预处理、策略、动作后处理和安全监控</w:t>
            </w:r>
          </w:p>
        </w:tc>
        <w:tc>
          <w:tcPr>
            <w:tcW w:type="dxa" w:w="3355"/>
            <w:vAlign w:val="center"/>
            <w:shd w:fill="FFFFFF"/>
          </w:tcPr>
          <w:p>
            <w:pPr>
              <w:spacing w:after="20" w:before="20" w:line="264" w:lineRule="auto"/>
              <w:jc w:val="left"/>
            </w:pPr>
            <w:r>
              <w:rPr>
                <w:b w:val="0"/>
                <w:sz w:val="18"/>
              </w:rPr>
              <w:t>输入缺失/过期、时延、动作边界</w:t>
            </w:r>
          </w:p>
        </w:tc>
      </w:tr>
      <w:tr>
        <w:trPr>
          <w:cantSplit/>
        </w:trPr>
        <w:tc>
          <w:tcPr>
            <w:tcW w:type="dxa" w:w="2440"/>
            <w:vAlign w:val="center"/>
            <w:shd w:fill="F4F7F9"/>
          </w:tcPr>
          <w:p>
            <w:pPr>
              <w:spacing w:after="20" w:before="20" w:line="264" w:lineRule="auto"/>
              <w:jc w:val="left"/>
            </w:pPr>
            <w:r>
              <w:rPr>
                <w:b w:val="0"/>
                <w:sz w:val="18"/>
              </w:rPr>
              <w:t>循环潜变量策略</w:t>
            </w:r>
          </w:p>
        </w:tc>
        <w:tc>
          <w:tcPr>
            <w:tcW w:type="dxa" w:w="4372"/>
            <w:vAlign w:val="center"/>
            <w:shd w:fill="F4F7F9"/>
          </w:tcPr>
          <w:p>
            <w:pPr>
              <w:spacing w:after="20" w:before="20" w:line="264" w:lineRule="auto"/>
              <w:jc w:val="left"/>
            </w:pPr>
            <w:r>
              <w:rPr>
                <w:b w:val="0"/>
                <w:sz w:val="18"/>
              </w:rPr>
              <w:t>编码器、RSSM 状态估计/记忆更新、actor</w:t>
            </w:r>
          </w:p>
        </w:tc>
        <w:tc>
          <w:tcPr>
            <w:tcW w:type="dxa" w:w="3355"/>
            <w:vAlign w:val="center"/>
            <w:shd w:fill="F4F7F9"/>
          </w:tcPr>
          <w:p>
            <w:pPr>
              <w:spacing w:after="20" w:before="20" w:line="264" w:lineRule="auto"/>
              <w:jc w:val="left"/>
            </w:pPr>
            <w:r>
              <w:rPr>
                <w:b w:val="0"/>
                <w:sz w:val="18"/>
              </w:rPr>
              <w:t>reset/历史一致性、状态漂移、缓存和持续运行</w:t>
            </w:r>
          </w:p>
        </w:tc>
      </w:tr>
      <w:tr>
        <w:trPr>
          <w:cantSplit/>
        </w:trPr>
        <w:tc>
          <w:tcPr>
            <w:tcW w:type="dxa" w:w="2440"/>
            <w:vAlign w:val="center"/>
            <w:shd w:fill="FFFFFF"/>
          </w:tcPr>
          <w:p>
            <w:pPr>
              <w:spacing w:after="20" w:before="20" w:line="264" w:lineRule="auto"/>
              <w:jc w:val="left"/>
            </w:pPr>
            <w:r>
              <w:rPr>
                <w:b w:val="0"/>
                <w:sz w:val="18"/>
              </w:rPr>
              <w:t>在线世界模型规划</w:t>
            </w:r>
          </w:p>
        </w:tc>
        <w:tc>
          <w:tcPr>
            <w:tcW w:type="dxa" w:w="4372"/>
            <w:vAlign w:val="center"/>
            <w:shd w:fill="FFFFFF"/>
          </w:tcPr>
          <w:p>
            <w:pPr>
              <w:spacing w:after="20" w:before="20" w:line="264" w:lineRule="auto"/>
              <w:jc w:val="left"/>
            </w:pPr>
            <w:r>
              <w:rPr>
                <w:b w:val="0"/>
                <w:sz w:val="18"/>
              </w:rPr>
              <w:t>状态更新、候选生成、模型预测、风险评分与筛选</w:t>
            </w:r>
          </w:p>
        </w:tc>
        <w:tc>
          <w:tcPr>
            <w:tcW w:type="dxa" w:w="3355"/>
            <w:vAlign w:val="center"/>
            <w:shd w:fill="FFFFFF"/>
          </w:tcPr>
          <w:p>
            <w:pPr>
              <w:spacing w:after="20" w:before="20" w:line="264" w:lineRule="auto"/>
              <w:jc w:val="left"/>
            </w:pPr>
            <w:r>
              <w:rPr>
                <w:b w:val="0"/>
                <w:sz w:val="18"/>
              </w:rPr>
              <w:t>候选数/时域/迭代下的 P99 时延和不可行回退</w:t>
            </w:r>
          </w:p>
        </w:tc>
      </w:tr>
    </w:tbl>
    <w:p>
      <w:pPr>
        <w:spacing w:after="40" w:before="0" w:line="96" w:lineRule="auto"/>
      </w:pPr>
    </w:p>
    <w:p>
      <w:pPr>
        <w:widowControl/>
      </w:pPr>
      <w:r>
        <w:t>“不在线想象”不等于可以去掉全部世界模型组件。依赖潜状态的 actor 通常仍需编码器和记忆更新。若将 planner 蒸馏成轻策略，学生策略需重新进行安全与泛化评估，不能继承教师的成绩。</w:t>
      </w:r>
      <w:hyperlink r:id="rId16">
        <w:r>
          <w:rPr>
            <w:color w:val="174C72"/>
            <w:rFonts w:ascii="Noto Sans CJK SC" w:hAnsi="Noto Sans CJK SC" w:eastAsia="Noto Sans CJK SC"/>
          </w:rPr>
          <w:t>[R11]</w:t>
        </w:r>
      </w:hyperlink>
      <w:r/>
      <w:hyperlink r:id="rId32">
        <w:r>
          <w:rPr>
            <w:color w:val="174C72"/>
            <w:rFonts w:ascii="Noto Sans CJK SC" w:hAnsi="Noto Sans CJK SC" w:eastAsia="Noto Sans CJK SC"/>
          </w:rPr>
          <w:t>[R20]</w:t>
        </w:r>
      </w:hyperlink>
      <w:r/>
    </w:p>
    <w:p>
      <w:pPr>
        <w:pStyle w:val="Heading2"/>
        <w:widowControl/>
      </w:pPr>
      <w:r>
        <w:t>面向嵌入式的接口与时序契约</w:t>
      </w:r>
    </w:p>
    <w:p>
      <w:pPr>
        <w:pStyle w:val="ListBullet"/>
        <w:widowControl/>
      </w:pPr>
      <w:r>
        <w:t>输入包含坐标系、单位、时间戳、有效期、置信度和缺失标志；输出明确是目标速度、加速度、轨迹，还是归一化执行输入。</w:t>
      </w:r>
    </w:p>
    <w:p>
      <w:pPr>
        <w:pStyle w:val="ListBullet"/>
        <w:widowControl/>
      </w:pPr>
      <w:r>
        <w:t>固定控制频率与调度优先级；量测感知/传输/状态更新/决策/安全检查/控制/执行全链路。</w:t>
      </w:r>
    </w:p>
    <w:p>
      <w:pPr>
        <w:pStyle w:val="ListBullet"/>
        <w:widowControl/>
      </w:pPr>
      <w:r>
        <w:t>报告 batch=1 的 P50/P95/P99、超时率、内存峰值、功耗和热稳定性；同步 GPU 测量并区分预热。</w:t>
      </w:r>
    </w:p>
    <w:p>
      <w:pPr>
        <w:pStyle w:val="ListBullet"/>
        <w:widowControl/>
      </w:pPr>
      <w:r>
        <w:t>监测过期输入、模型离分布、规划不可行、推理超时和跟踪误差；回退策略需要独立验证。</w:t>
      </w:r>
    </w:p>
    <w:p>
      <w:pPr>
        <w:widowControl/>
      </w:pPr>
      <w:r>
        <w:t>训练卡的 FP 算力与车端 INT8 TOPS 不可直接换算。必须在目标硬件、编译器、精度和实际输入下测量。Autoware 的车辆接口分层可作软件架构参考；它不构成对所插入学习模块的安全背书。</w:t>
      </w:r>
      <w:hyperlink r:id="rId59">
        <w:r>
          <w:rPr>
            <w:color w:val="174C72"/>
            <w:rFonts w:ascii="Noto Sans CJK SC" w:hAnsi="Noto Sans CJK SC" w:eastAsia="Noto Sans CJK SC"/>
          </w:rPr>
          <w:t>[R35]</w:t>
        </w:r>
      </w:hyperlink>
      <w:r/>
      <w:hyperlink r:id="rId60">
        <w:r>
          <w:rPr>
            <w:color w:val="174C72"/>
            <w:rFonts w:ascii="Noto Sans CJK SC" w:hAnsi="Noto Sans CJK SC" w:eastAsia="Noto Sans CJK SC"/>
          </w:rPr>
          <w:t>[R53]</w:t>
        </w:r>
      </w:hyperlink>
      <w:r/>
    </w:p>
    <w:p>
      <w:pPr>
        <w:pStyle w:val="Heading2"/>
        <w:widowControl/>
      </w:pPr>
      <w:r>
        <w:t>仿真实时性与真实实时性分开</w:t>
      </w:r>
    </w:p>
    <w:p>
      <w:pPr>
        <w:widowControl/>
      </w:pPr>
      <w:r>
        <w:t>CARLA 同步模式可等待客户端 tick，仿真成功不证明策略赶得上现实控制周期。应分别记录仿真时钟和墙钟，测试延迟、丢帧与错序，并评估超时对实际闭环的后果。</w:t>
      </w:r>
      <w:hyperlink r:id="rId61">
        <w:r>
          <w:rPr>
            <w:color w:val="174C72"/>
            <w:rFonts w:ascii="Noto Sans CJK SC" w:hAnsi="Noto Sans CJK SC" w:eastAsia="Noto Sans CJK SC"/>
          </w:rPr>
          <w:t>[R52]</w:t>
        </w:r>
      </w:hyperlink>
      <w:r/>
    </w:p>
    <w:p>
      <w:pPr>
        <w:pStyle w:val="Heading2"/>
        <w:widowControl/>
      </w:pPr>
      <w:r>
        <w:t>建议验证阶梯</w:t>
      </w:r>
    </w:p>
    <w:p>
      <w:pPr>
        <w:widowControl/>
      </w:pPr>
      <w:r>
        <w:t>模型/接口单元测试 → 软件在环 SIL → 目标处理器或硬件在环 HIL → 无控制权影子运行 → 经安全审批的封闭场地分级测试。每阶段有进入/退出条件、故障注入、回退和急停。真实道路在线探索不属于本研究方案；仿真成绩不能代替功能安全、预期功能安全或道路测试所需的独立论证。</w:t>
      </w:r>
    </w:p>
    <w:p>
      <w:pPr>
        <w:pStyle w:val="Heading1"/>
        <w:pageBreakBefore/>
        <w:widowControl/>
      </w:pPr>
      <w:r>
        <w:t>18 阶段排期与准入门槛</w:t>
      </w:r>
    </w:p>
    <w:p>
      <w:pPr>
        <w:widowControl/>
      </w:pPr>
      <w:r>
        <w:t>“年底之后”暂按 2026 年底后、即 2027 年起理解。下面是相对工作窗口的初步规划，基于人员可用、环境正常和单场景范围；不是交付承诺。发现既有成果后可缩短重复工作，遇到依赖/接口问题则先过门，不按日历强行扩规模。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0" w:type="dxa"/>
          <w:bottom w:w="85" w:type="dxa"/>
          <w:right w:w="100" w:type="dxa"/>
        </w:tblCellMar>
      </w:tblPr>
      <w:tblGrid>
        <w:gridCol w:w="1830"/>
        <w:gridCol w:w="2033"/>
        <w:gridCol w:w="3152"/>
        <w:gridCol w:w="3152"/>
      </w:tblGrid>
      <w:tr>
        <w:trPr>
          <w:tblHeader/>
          <w:cantSplit/>
        </w:trPr>
        <w:tc>
          <w:tcPr>
            <w:tcW w:type="dxa" w:w="1830"/>
            <w:vAlign w:val="center"/>
            <w:shd w:fill="DCE6EC"/>
          </w:tcPr>
          <w:p>
            <w:pPr>
              <w:spacing w:after="20" w:before="20" w:line="264" w:lineRule="auto"/>
              <w:jc w:val="left"/>
            </w:pPr>
            <w:r>
              <w:rPr>
                <w:b/>
                <w:sz w:val="18"/>
              </w:rPr>
              <w:t>阶段</w:t>
            </w:r>
          </w:p>
        </w:tc>
        <w:tc>
          <w:tcPr>
            <w:tcW w:type="dxa" w:w="2033"/>
            <w:vAlign w:val="center"/>
            <w:shd w:fill="DCE6EC"/>
          </w:tcPr>
          <w:p>
            <w:pPr>
              <w:spacing w:after="20" w:before="20" w:line="264" w:lineRule="auto"/>
              <w:jc w:val="left"/>
            </w:pPr>
            <w:r>
              <w:rPr>
                <w:b/>
                <w:sz w:val="18"/>
              </w:rPr>
              <w:t>相对工作窗口</w:t>
            </w:r>
          </w:p>
        </w:tc>
        <w:tc>
          <w:tcPr>
            <w:tcW w:type="dxa" w:w="3152"/>
            <w:vAlign w:val="center"/>
            <w:shd w:fill="DCE6EC"/>
          </w:tcPr>
          <w:p>
            <w:pPr>
              <w:spacing w:after="20" w:before="20" w:line="264" w:lineRule="auto"/>
              <w:jc w:val="left"/>
            </w:pPr>
            <w:r>
              <w:rPr>
                <w:b/>
                <w:sz w:val="18"/>
              </w:rPr>
              <w:t>交付物</w:t>
            </w:r>
          </w:p>
        </w:tc>
        <w:tc>
          <w:tcPr>
            <w:tcW w:type="dxa" w:w="3152"/>
            <w:vAlign w:val="center"/>
            <w:shd w:fill="DCE6EC"/>
          </w:tcPr>
          <w:p>
            <w:pPr>
              <w:spacing w:after="20" w:before="20" w:line="264" w:lineRule="auto"/>
              <w:jc w:val="left"/>
            </w:pPr>
            <w:r>
              <w:rPr>
                <w:b/>
                <w:sz w:val="18"/>
              </w:rPr>
              <w:t>进入下一阶段的门槛</w:t>
            </w:r>
          </w:p>
        </w:tc>
      </w:tr>
      <w:tr>
        <w:trPr>
          <w:cantSplit/>
        </w:trPr>
        <w:tc>
          <w:tcPr>
            <w:tcW w:type="dxa" w:w="1830"/>
            <w:vAlign w:val="center"/>
            <w:shd w:fill="FFFFFF"/>
          </w:tcPr>
          <w:p>
            <w:pPr>
              <w:spacing w:after="20" w:before="20" w:line="264" w:lineRule="auto"/>
              <w:jc w:val="left"/>
            </w:pPr>
            <w:r>
              <w:rPr>
                <w:b w:val="0"/>
                <w:sz w:val="18"/>
              </w:rPr>
              <w:t>近期 PPO 闭环</w:t>
            </w:r>
          </w:p>
        </w:tc>
        <w:tc>
          <w:tcPr>
            <w:tcW w:type="dxa" w:w="2033"/>
            <w:vAlign w:val="center"/>
            <w:shd w:fill="FFFFFF"/>
          </w:tcPr>
          <w:p>
            <w:pPr>
              <w:spacing w:after="20" w:before="20" w:line="264" w:lineRule="auto"/>
              <w:jc w:val="left"/>
            </w:pPr>
            <w:r>
              <w:rPr>
                <w:b w:val="0"/>
                <w:sz w:val="18"/>
              </w:rPr>
              <w:t>启动后约 1–3 周</w:t>
            </w:r>
          </w:p>
        </w:tc>
        <w:tc>
          <w:tcPr>
            <w:tcW w:type="dxa" w:w="3152"/>
            <w:vAlign w:val="center"/>
            <w:shd w:fill="FFFFFF"/>
          </w:tcPr>
          <w:p>
            <w:pPr>
              <w:spacing w:after="20" w:before="20" w:line="264" w:lineRule="auto"/>
              <w:jc w:val="left"/>
            </w:pPr>
            <w:r>
              <w:rPr>
                <w:b w:val="0"/>
                <w:sz w:val="18"/>
              </w:rPr>
              <w:t>任务契约、规则/PPO 基线、日志/评测/失败回放</w:t>
            </w:r>
          </w:p>
        </w:tc>
        <w:tc>
          <w:tcPr>
            <w:tcW w:type="dxa" w:w="3152"/>
            <w:vAlign w:val="center"/>
            <w:shd w:fill="FFFFFF"/>
          </w:tcPr>
          <w:p>
            <w:pPr>
              <w:spacing w:after="20" w:before="20" w:line="264" w:lineRule="auto"/>
              <w:jc w:val="left"/>
            </w:pPr>
            <w:r>
              <w:rPr>
                <w:b w:val="0"/>
                <w:sz w:val="18"/>
              </w:rPr>
              <w:t>成本判定与终止正确；至少探索性多 seed 可重跑</w:t>
            </w:r>
          </w:p>
        </w:tc>
      </w:tr>
      <w:tr>
        <w:trPr>
          <w:cantSplit/>
        </w:trPr>
        <w:tc>
          <w:tcPr>
            <w:tcW w:type="dxa" w:w="1830"/>
            <w:vAlign w:val="center"/>
            <w:shd w:fill="F4F7F9"/>
          </w:tcPr>
          <w:p>
            <w:pPr>
              <w:spacing w:after="20" w:before="20" w:line="264" w:lineRule="auto"/>
              <w:jc w:val="left"/>
            </w:pPr>
            <w:r>
              <w:rPr>
                <w:b w:val="0"/>
                <w:sz w:val="18"/>
              </w:rPr>
              <w:t>资源与正式基线</w:t>
            </w:r>
          </w:p>
        </w:tc>
        <w:tc>
          <w:tcPr>
            <w:tcW w:type="dxa" w:w="2033"/>
            <w:vAlign w:val="center"/>
            <w:shd w:fill="F4F7F9"/>
          </w:tcPr>
          <w:p>
            <w:pPr>
              <w:spacing w:after="20" w:before="20" w:line="264" w:lineRule="auto"/>
              <w:jc w:val="left"/>
            </w:pPr>
            <w:r>
              <w:rPr>
                <w:b w:val="0"/>
                <w:sz w:val="18"/>
              </w:rPr>
              <w:t>再约 1–2 周，可与前项交叉</w:t>
            </w:r>
          </w:p>
        </w:tc>
        <w:tc>
          <w:tcPr>
            <w:tcW w:type="dxa" w:w="3152"/>
            <w:vAlign w:val="center"/>
            <w:shd w:fill="F4F7F9"/>
          </w:tcPr>
          <w:p>
            <w:pPr>
              <w:spacing w:after="20" w:before="20" w:line="264" w:lineRule="auto"/>
              <w:jc w:val="left"/>
            </w:pPr>
            <w:r>
              <w:rPr>
                <w:b w:val="0"/>
                <w:sz w:val="18"/>
              </w:rPr>
              <w:t>吞吐/显存报告、冻结测试集、正式基线</w:t>
            </w:r>
          </w:p>
        </w:tc>
        <w:tc>
          <w:tcPr>
            <w:tcW w:type="dxa" w:w="3152"/>
            <w:vAlign w:val="center"/>
            <w:shd w:fill="F4F7F9"/>
          </w:tcPr>
          <w:p>
            <w:pPr>
              <w:spacing w:after="20" w:before="20" w:line="264" w:lineRule="auto"/>
              <w:jc w:val="left"/>
            </w:pPr>
            <w:r>
              <w:rPr>
                <w:b w:val="0"/>
                <w:sz w:val="18"/>
              </w:rPr>
              <w:t>任务稳定，明确单作业需求和完整实验预算</w:t>
            </w:r>
          </w:p>
        </w:tc>
      </w:tr>
      <w:tr>
        <w:trPr>
          <w:cantSplit/>
        </w:trPr>
        <w:tc>
          <w:tcPr>
            <w:tcW w:type="dxa" w:w="1830"/>
            <w:vAlign w:val="center"/>
            <w:shd w:fill="FFFFFF"/>
          </w:tcPr>
          <w:p>
            <w:pPr>
              <w:spacing w:after="20" w:before="20" w:line="264" w:lineRule="auto"/>
              <w:jc w:val="left"/>
            </w:pPr>
            <w:r>
              <w:rPr>
                <w:b w:val="0"/>
                <w:sz w:val="18"/>
              </w:rPr>
              <w:t>年后安全基线</w:t>
            </w:r>
          </w:p>
        </w:tc>
        <w:tc>
          <w:tcPr>
            <w:tcW w:type="dxa" w:w="2033"/>
            <w:vAlign w:val="center"/>
            <w:shd w:fill="FFFFFF"/>
          </w:tcPr>
          <w:p>
            <w:pPr>
              <w:spacing w:after="20" w:before="20" w:line="264" w:lineRule="auto"/>
              <w:jc w:val="left"/>
            </w:pPr>
            <w:r>
              <w:rPr>
                <w:b w:val="0"/>
                <w:sz w:val="18"/>
              </w:rPr>
              <w:t>启动后约 1–3 周</w:t>
            </w:r>
          </w:p>
        </w:tc>
        <w:tc>
          <w:tcPr>
            <w:tcW w:type="dxa" w:w="3152"/>
            <w:vAlign w:val="center"/>
            <w:shd w:fill="FFFFFF"/>
          </w:tcPr>
          <w:p>
            <w:pPr>
              <w:spacing w:after="20" w:before="20" w:line="264" w:lineRule="auto"/>
              <w:jc w:val="left"/>
            </w:pPr>
            <w:r>
              <w:rPr>
                <w:b w:val="0"/>
                <w:sz w:val="18"/>
              </w:rPr>
              <w:t>PPO Lag 与 A/B 公平比较</w:t>
            </w:r>
          </w:p>
        </w:tc>
        <w:tc>
          <w:tcPr>
            <w:tcW w:type="dxa" w:w="3152"/>
            <w:vAlign w:val="center"/>
            <w:shd w:fill="FFFFFF"/>
          </w:tcPr>
          <w:p>
            <w:pPr>
              <w:spacing w:after="20" w:before="20" w:line="264" w:lineRule="auto"/>
              <w:jc w:val="left"/>
            </w:pPr>
            <w:r>
              <w:rPr>
                <w:b w:val="0"/>
                <w:sz w:val="18"/>
              </w:rPr>
              <w:t>分项 cost/乘子可解释；通行与安全联合评估</w:t>
            </w:r>
          </w:p>
        </w:tc>
      </w:tr>
      <w:tr>
        <w:trPr>
          <w:cantSplit/>
        </w:trPr>
        <w:tc>
          <w:tcPr>
            <w:tcW w:type="dxa" w:w="1830"/>
            <w:vAlign w:val="center"/>
            <w:shd w:fill="F4F7F9"/>
          </w:tcPr>
          <w:p>
            <w:pPr>
              <w:spacing w:after="20" w:before="20" w:line="264" w:lineRule="auto"/>
              <w:jc w:val="left"/>
            </w:pPr>
            <w:r>
              <w:rPr>
                <w:b w:val="0"/>
                <w:sz w:val="18"/>
              </w:rPr>
              <w:t>年后模型迁移</w:t>
            </w:r>
          </w:p>
        </w:tc>
        <w:tc>
          <w:tcPr>
            <w:tcW w:type="dxa" w:w="2033"/>
            <w:vAlign w:val="center"/>
            <w:shd w:fill="F4F7F9"/>
          </w:tcPr>
          <w:p>
            <w:pPr>
              <w:spacing w:after="20" w:before="20" w:line="264" w:lineRule="auto"/>
              <w:jc w:val="left"/>
            </w:pPr>
            <w:r>
              <w:rPr>
                <w:b w:val="0"/>
                <w:sz w:val="18"/>
              </w:rPr>
              <w:t>再约 3–6 周或更长</w:t>
            </w:r>
          </w:p>
        </w:tc>
        <w:tc>
          <w:tcPr>
            <w:tcW w:type="dxa" w:w="3152"/>
            <w:vAlign w:val="center"/>
            <w:shd w:fill="F4F7F9"/>
          </w:tcPr>
          <w:p>
            <w:pPr>
              <w:spacing w:after="20" w:before="20" w:line="264" w:lineRule="auto"/>
              <w:jc w:val="left"/>
            </w:pPr>
            <w:r>
              <w:rPr>
                <w:b w:val="0"/>
                <w:sz w:val="18"/>
              </w:rPr>
              <w:t>原任务复现、驾驶 adapter、C/D 规划分支</w:t>
            </w:r>
          </w:p>
        </w:tc>
        <w:tc>
          <w:tcPr>
            <w:tcW w:type="dxa" w:w="3152"/>
            <w:vAlign w:val="center"/>
            <w:shd w:fill="F4F7F9"/>
          </w:tcPr>
          <w:p>
            <w:pPr>
              <w:spacing w:after="20" w:before="20" w:line="264" w:lineRule="auto"/>
              <w:jc w:val="left"/>
            </w:pPr>
            <w:r>
              <w:rPr>
                <w:b w:val="0"/>
                <w:sz w:val="18"/>
              </w:rPr>
              <w:t>接口测试、风险标签和多步预测达标</w:t>
            </w:r>
          </w:p>
        </w:tc>
      </w:tr>
      <w:tr>
        <w:trPr>
          <w:cantSplit/>
        </w:trPr>
        <w:tc>
          <w:tcPr>
            <w:tcW w:type="dxa" w:w="1830"/>
            <w:vAlign w:val="center"/>
            <w:shd w:fill="FFFFFF"/>
          </w:tcPr>
          <w:p>
            <w:pPr>
              <w:spacing w:after="20" w:before="20" w:line="264" w:lineRule="auto"/>
              <w:jc w:val="left"/>
            </w:pPr>
            <w:r>
              <w:rPr>
                <w:b w:val="0"/>
                <w:sz w:val="18"/>
              </w:rPr>
              <w:t>正式实证与消融</w:t>
            </w:r>
          </w:p>
        </w:tc>
        <w:tc>
          <w:tcPr>
            <w:tcW w:type="dxa" w:w="2033"/>
            <w:vAlign w:val="center"/>
            <w:shd w:fill="FFFFFF"/>
          </w:tcPr>
          <w:p>
            <w:pPr>
              <w:spacing w:after="20" w:before="20" w:line="264" w:lineRule="auto"/>
              <w:jc w:val="left"/>
            </w:pPr>
            <w:r>
              <w:rPr>
                <w:b w:val="0"/>
                <w:sz w:val="18"/>
              </w:rPr>
              <w:t>再约 2–4 周或更长</w:t>
            </w:r>
          </w:p>
        </w:tc>
        <w:tc>
          <w:tcPr>
            <w:tcW w:type="dxa" w:w="3152"/>
            <w:vAlign w:val="center"/>
            <w:shd w:fill="FFFFFF"/>
          </w:tcPr>
          <w:p>
            <w:pPr>
              <w:spacing w:after="20" w:before="20" w:line="264" w:lineRule="auto"/>
              <w:jc w:val="left"/>
            </w:pPr>
            <w:r>
              <w:rPr>
                <w:b w:val="0"/>
                <w:sz w:val="18"/>
              </w:rPr>
              <w:t>四组多 seed、OOD 与时延、失败分析</w:t>
            </w:r>
          </w:p>
        </w:tc>
        <w:tc>
          <w:tcPr>
            <w:tcW w:type="dxa" w:w="3152"/>
            <w:vAlign w:val="center"/>
            <w:shd w:fill="FFFFFF"/>
          </w:tcPr>
          <w:p>
            <w:pPr>
              <w:spacing w:after="20" w:before="20" w:line="264" w:lineRule="auto"/>
              <w:jc w:val="left"/>
            </w:pPr>
            <w:r>
              <w:rPr>
                <w:b w:val="0"/>
                <w:sz w:val="18"/>
              </w:rPr>
              <w:t>收益可重复，或形成可解释负结果</w:t>
            </w:r>
          </w:p>
        </w:tc>
      </w:tr>
      <w:tr>
        <w:trPr>
          <w:cantSplit/>
        </w:trPr>
        <w:tc>
          <w:tcPr>
            <w:tcW w:type="dxa" w:w="1830"/>
            <w:vAlign w:val="center"/>
            <w:shd w:fill="F4F7F9"/>
          </w:tcPr>
          <w:p>
            <w:pPr>
              <w:spacing w:after="20" w:before="20" w:line="264" w:lineRule="auto"/>
              <w:jc w:val="left"/>
            </w:pPr>
            <w:r>
              <w:rPr>
                <w:b w:val="0"/>
                <w:sz w:val="18"/>
              </w:rPr>
              <w:t>视觉及车端</w:t>
            </w:r>
          </w:p>
        </w:tc>
        <w:tc>
          <w:tcPr>
            <w:tcW w:type="dxa" w:w="2033"/>
            <w:vAlign w:val="center"/>
            <w:shd w:fill="F4F7F9"/>
          </w:tcPr>
          <w:p>
            <w:pPr>
              <w:spacing w:after="20" w:before="20" w:line="264" w:lineRule="auto"/>
              <w:jc w:val="left"/>
            </w:pPr>
            <w:r>
              <w:rPr>
                <w:b w:val="0"/>
                <w:sz w:val="18"/>
              </w:rPr>
              <w:t>单独评估排期</w:t>
            </w:r>
          </w:p>
        </w:tc>
        <w:tc>
          <w:tcPr>
            <w:tcW w:type="dxa" w:w="3152"/>
            <w:vAlign w:val="center"/>
            <w:shd w:fill="F4F7F9"/>
          </w:tcPr>
          <w:p>
            <w:pPr>
              <w:spacing w:after="20" w:before="20" w:line="264" w:lineRule="auto"/>
              <w:jc w:val="left"/>
            </w:pPr>
            <w:r>
              <w:rPr>
                <w:b w:val="0"/>
                <w:sz w:val="18"/>
              </w:rPr>
              <w:t>感知接口/目标设备原型和验证计划</w:t>
            </w:r>
          </w:p>
        </w:tc>
        <w:tc>
          <w:tcPr>
            <w:tcW w:type="dxa" w:w="3152"/>
            <w:vAlign w:val="center"/>
            <w:shd w:fill="F4F7F9"/>
          </w:tcPr>
          <w:p>
            <w:pPr>
              <w:spacing w:after="20" w:before="20" w:line="264" w:lineRule="auto"/>
              <w:jc w:val="left"/>
            </w:pPr>
            <w:r>
              <w:rPr>
                <w:b w:val="0"/>
                <w:sz w:val="18"/>
              </w:rPr>
              <w:t>向量路线价值成立且应用需求明确</w:t>
            </w:r>
          </w:p>
        </w:tc>
      </w:tr>
    </w:tbl>
    <w:p>
      <w:pPr>
        <w:spacing w:after="40" w:before="0" w:line="96" w:lineRule="auto"/>
      </w:pPr>
    </w:p>
    <w:p>
      <w:pPr>
        <w:pStyle w:val="Heading2"/>
        <w:widowControl/>
      </w:pPr>
      <w:r>
        <w:t>停止或缩减的条件</w:t>
      </w:r>
    </w:p>
    <w:p>
      <w:pPr>
        <w:pStyle w:val="ListBullet"/>
        <w:widowControl/>
      </w:pPr>
      <w:r>
        <w:t>官方原任务无法稳定运行：先解决环境和成本路径，停止驾驶迁移扩张。</w:t>
      </w:r>
    </w:p>
    <w:p>
      <w:pPr>
        <w:pStyle w:val="ListBullet"/>
        <w:widowControl/>
      </w:pPr>
      <w:r>
        <w:t>成本/终止/重复动作测试不通过：禁止正式算法比较。</w:t>
      </w:r>
    </w:p>
    <w:p>
      <w:pPr>
        <w:pStyle w:val="ListBullet"/>
        <w:widowControl/>
      </w:pPr>
      <w:r>
        <w:t>危险预测漏报严重：回到数据和目标设计，不用低平均损失掩盖。</w:t>
      </w:r>
    </w:p>
    <w:p>
      <w:pPr>
        <w:pStyle w:val="ListBullet"/>
        <w:widowControl/>
      </w:pPr>
      <w:r>
        <w:t>安全收益来自停车或较多预算：修改实验归因，不能升级宣传。</w:t>
      </w:r>
    </w:p>
    <w:p>
      <w:pPr>
        <w:pStyle w:val="ListBullet"/>
        <w:widowControl/>
      </w:pPr>
      <w:r>
        <w:t>规划时延超预算且无可信回退：只保留仿真研究结论，暂停车端承诺。</w:t>
      </w:r>
    </w:p>
    <w:p>
      <w:pPr>
        <w:pStyle w:val="Heading2"/>
        <w:widowControl/>
      </w:pPr>
      <w:r>
        <w:t>领导层需要作出的决策</w:t>
      </w:r>
    </w:p>
    <w:p>
      <w:pPr>
        <w:widowControl/>
      </w:pPr>
      <w:r>
        <w:t>确认首个 ODD 与是否复用现有场景；明确业务性能下限、安全预算制定责任和评测独立性；按实测批准并发资源；决定何时把“研究原型”升级为“车端工程验证”。本报告建议先支持可审计的小规模研究，而不是先一次性承诺全场景算法与服务器采购。</w:t>
      </w:r>
    </w:p>
    <w:p>
      <w:pPr>
        <w:pStyle w:val="Heading1"/>
        <w:pageBreakBefore/>
        <w:widowControl/>
      </w:pPr>
      <w:r>
        <w:t>19 可交给 Codex 的实施任务清单</w:t>
      </w:r>
    </w:p>
    <w:p>
      <w:pPr>
        <w:widowControl/>
      </w:pPr>
      <w:r>
        <w:t>以下是后续执行计划，不代表本轮已经安装软件、启动训练或改动远程项目。先读取并核对既有“调研”材料，再将现有成果映射到阶段，避免重新搭建已完成的部分。脚本和目录名称由实际仓库确定，不预设已经存在。</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0" w:type="dxa"/>
          <w:bottom w:w="85" w:type="dxa"/>
          <w:right w:w="100" w:type="dxa"/>
        </w:tblCellMar>
      </w:tblPr>
      <w:tblGrid>
        <w:gridCol w:w="2033"/>
        <w:gridCol w:w="4372"/>
        <w:gridCol w:w="3762"/>
      </w:tblGrid>
      <w:tr>
        <w:trPr>
          <w:tblHeader/>
          <w:cantSplit/>
        </w:trPr>
        <w:tc>
          <w:tcPr>
            <w:tcW w:type="dxa" w:w="2033"/>
            <w:vAlign w:val="center"/>
            <w:shd w:fill="DCE6EC"/>
          </w:tcPr>
          <w:p>
            <w:pPr>
              <w:spacing w:after="20" w:before="20" w:line="264" w:lineRule="auto"/>
              <w:jc w:val="left"/>
            </w:pPr>
            <w:r>
              <w:rPr>
                <w:b/>
                <w:sz w:val="18"/>
              </w:rPr>
              <w:t>任务</w:t>
            </w:r>
          </w:p>
        </w:tc>
        <w:tc>
          <w:tcPr>
            <w:tcW w:type="dxa" w:w="4372"/>
            <w:vAlign w:val="center"/>
            <w:shd w:fill="DCE6EC"/>
          </w:tcPr>
          <w:p>
            <w:pPr>
              <w:spacing w:after="20" w:before="20" w:line="264" w:lineRule="auto"/>
              <w:jc w:val="left"/>
            </w:pPr>
            <w:r>
              <w:rPr>
                <w:b/>
                <w:sz w:val="18"/>
              </w:rPr>
              <w:t>输入与产物</w:t>
            </w:r>
          </w:p>
        </w:tc>
        <w:tc>
          <w:tcPr>
            <w:tcW w:type="dxa" w:w="3762"/>
            <w:vAlign w:val="center"/>
            <w:shd w:fill="DCE6EC"/>
          </w:tcPr>
          <w:p>
            <w:pPr>
              <w:spacing w:after="20" w:before="20" w:line="264" w:lineRule="auto"/>
              <w:jc w:val="left"/>
            </w:pPr>
            <w:r>
              <w:rPr>
                <w:b/>
                <w:sz w:val="18"/>
              </w:rPr>
              <w:t>验证与停止条件</w:t>
            </w:r>
          </w:p>
        </w:tc>
      </w:tr>
      <w:tr>
        <w:trPr>
          <w:cantSplit/>
        </w:trPr>
        <w:tc>
          <w:tcPr>
            <w:tcW w:type="dxa" w:w="2033"/>
            <w:vAlign w:val="center"/>
            <w:shd w:fill="FFFFFF"/>
          </w:tcPr>
          <w:p>
            <w:pPr>
              <w:spacing w:after="20" w:before="20" w:line="264" w:lineRule="auto"/>
              <w:jc w:val="left"/>
            </w:pPr>
            <w:r>
              <w:rPr>
                <w:b w:val="0"/>
                <w:sz w:val="18"/>
              </w:rPr>
              <w:t>只读盘点既有研究</w:t>
            </w:r>
          </w:p>
        </w:tc>
        <w:tc>
          <w:tcPr>
            <w:tcW w:type="dxa" w:w="4372"/>
            <w:vAlign w:val="center"/>
            <w:shd w:fill="FFFFFF"/>
          </w:tcPr>
          <w:p>
            <w:pPr>
              <w:spacing w:after="20" w:before="20" w:line="264" w:lineRule="auto"/>
              <w:jc w:val="left"/>
            </w:pPr>
            <w:r>
              <w:rPr>
                <w:b w:val="0"/>
                <w:sz w:val="18"/>
              </w:rPr>
              <w:t>输入：实际项目路径/会话与仓库；产物：算法、环境、配置、数据、日志、未决问题清单</w:t>
            </w:r>
          </w:p>
        </w:tc>
        <w:tc>
          <w:tcPr>
            <w:tcW w:type="dxa" w:w="3762"/>
            <w:vAlign w:val="center"/>
            <w:shd w:fill="FFFFFF"/>
          </w:tcPr>
          <w:p>
            <w:pPr>
              <w:spacing w:after="20" w:before="20" w:line="264" w:lineRule="auto"/>
              <w:jc w:val="left"/>
            </w:pPr>
            <w:r>
              <w:rPr>
                <w:b w:val="0"/>
                <w:sz w:val="18"/>
              </w:rPr>
              <w:t>核对来源和版本；找不到结果时标未知，不补写实验</w:t>
            </w:r>
          </w:p>
        </w:tc>
      </w:tr>
      <w:tr>
        <w:trPr>
          <w:cantSplit/>
        </w:trPr>
        <w:tc>
          <w:tcPr>
            <w:tcW w:type="dxa" w:w="2033"/>
            <w:vAlign w:val="center"/>
            <w:shd w:fill="F4F7F9"/>
          </w:tcPr>
          <w:p>
            <w:pPr>
              <w:spacing w:after="20" w:before="20" w:line="264" w:lineRule="auto"/>
              <w:jc w:val="left"/>
            </w:pPr>
            <w:r>
              <w:rPr>
                <w:b w:val="0"/>
                <w:sz w:val="18"/>
              </w:rPr>
              <w:t>冻结任务契约</w:t>
            </w:r>
          </w:p>
        </w:tc>
        <w:tc>
          <w:tcPr>
            <w:tcW w:type="dxa" w:w="4372"/>
            <w:vAlign w:val="center"/>
            <w:shd w:fill="F4F7F9"/>
          </w:tcPr>
          <w:p>
            <w:pPr>
              <w:spacing w:after="20" w:before="20" w:line="264" w:lineRule="auto"/>
              <w:jc w:val="left"/>
            </w:pPr>
            <w:r>
              <w:rPr>
                <w:b w:val="0"/>
                <w:sz w:val="18"/>
              </w:rPr>
              <w:t>输入：ODD 与动作定义；产物：环境配置和事件判定测试</w:t>
            </w:r>
          </w:p>
        </w:tc>
        <w:tc>
          <w:tcPr>
            <w:tcW w:type="dxa" w:w="3762"/>
            <w:vAlign w:val="center"/>
            <w:shd w:fill="F4F7F9"/>
          </w:tcPr>
          <w:p>
            <w:pPr>
              <w:spacing w:after="20" w:before="20" w:line="264" w:lineRule="auto"/>
              <w:jc w:val="left"/>
            </w:pPr>
            <w:r>
              <w:rPr>
                <w:b w:val="0"/>
                <w:sz w:val="18"/>
              </w:rPr>
              <w:t>碰撞/越界/到达/超时可重复；不通过则停</w:t>
            </w:r>
          </w:p>
        </w:tc>
      </w:tr>
      <w:tr>
        <w:trPr>
          <w:cantSplit/>
        </w:trPr>
        <w:tc>
          <w:tcPr>
            <w:tcW w:type="dxa" w:w="2033"/>
            <w:vAlign w:val="center"/>
            <w:shd w:fill="FFFFFF"/>
          </w:tcPr>
          <w:p>
            <w:pPr>
              <w:spacing w:after="20" w:before="20" w:line="264" w:lineRule="auto"/>
              <w:jc w:val="left"/>
            </w:pPr>
            <w:r>
              <w:rPr>
                <w:b w:val="0"/>
                <w:sz w:val="18"/>
              </w:rPr>
              <w:t>重现 PPO 基线</w:t>
            </w:r>
          </w:p>
        </w:tc>
        <w:tc>
          <w:tcPr>
            <w:tcW w:type="dxa" w:w="4372"/>
            <w:vAlign w:val="center"/>
            <w:shd w:fill="FFFFFF"/>
          </w:tcPr>
          <w:p>
            <w:pPr>
              <w:spacing w:after="20" w:before="20" w:line="264" w:lineRule="auto"/>
              <w:jc w:val="left"/>
            </w:pPr>
            <w:r>
              <w:rPr>
                <w:b w:val="0"/>
                <w:sz w:val="18"/>
              </w:rPr>
              <w:t>输入：原实现或选定 SB3；产物：规则基线、seed 配置、checkpoint、评测与失败轨迹</w:t>
            </w:r>
          </w:p>
        </w:tc>
        <w:tc>
          <w:tcPr>
            <w:tcW w:type="dxa" w:w="3762"/>
            <w:vAlign w:val="center"/>
            <w:shd w:fill="FFFFFF"/>
          </w:tcPr>
          <w:p>
            <w:pPr>
              <w:spacing w:after="20" w:before="20" w:line="264" w:lineRule="auto"/>
              <w:jc w:val="left"/>
            </w:pPr>
            <w:r>
              <w:rPr>
                <w:b w:val="0"/>
                <w:sz w:val="18"/>
              </w:rPr>
              <w:t>重启可复验；正式汇总保留失败 run，记录缺失时补齐或明确不完整</w:t>
            </w:r>
          </w:p>
        </w:tc>
      </w:tr>
      <w:tr>
        <w:trPr>
          <w:cantSplit/>
        </w:trPr>
        <w:tc>
          <w:tcPr>
            <w:tcW w:type="dxa" w:w="2033"/>
            <w:vAlign w:val="center"/>
            <w:shd w:fill="F4F7F9"/>
          </w:tcPr>
          <w:p>
            <w:pPr>
              <w:spacing w:after="20" w:before="20" w:line="264" w:lineRule="auto"/>
              <w:jc w:val="left"/>
            </w:pPr>
            <w:r>
              <w:rPr>
                <w:b w:val="0"/>
                <w:sz w:val="18"/>
              </w:rPr>
              <w:t>测量资源短跑</w:t>
            </w:r>
          </w:p>
        </w:tc>
        <w:tc>
          <w:tcPr>
            <w:tcW w:type="dxa" w:w="4372"/>
            <w:vAlign w:val="center"/>
            <w:shd w:fill="F4F7F9"/>
          </w:tcPr>
          <w:p>
            <w:pPr>
              <w:spacing w:after="20" w:before="20" w:line="264" w:lineRule="auto"/>
              <w:jc w:val="left"/>
            </w:pPr>
            <w:r>
              <w:rPr>
                <w:b w:val="0"/>
                <w:sz w:val="18"/>
              </w:rPr>
              <w:t>输入：代表性训练配置；产物：采样/更新/端到端吞吐、显存/RAM与并发退化</w:t>
            </w:r>
          </w:p>
        </w:tc>
        <w:tc>
          <w:tcPr>
            <w:tcW w:type="dxa" w:w="3762"/>
            <w:vAlign w:val="center"/>
            <w:shd w:fill="F4F7F9"/>
          </w:tcPr>
          <w:p>
            <w:pPr>
              <w:spacing w:after="20" w:before="20" w:line="264" w:lineRule="auto"/>
              <w:jc w:val="left"/>
            </w:pPr>
            <w:r>
              <w:rPr>
                <w:b w:val="0"/>
                <w:sz w:val="18"/>
              </w:rPr>
              <w:t>覆盖预热、更新、评估和保存；未测不提采购结论</w:t>
            </w:r>
          </w:p>
        </w:tc>
      </w:tr>
      <w:tr>
        <w:trPr>
          <w:cantSplit/>
        </w:trPr>
        <w:tc>
          <w:tcPr>
            <w:tcW w:type="dxa" w:w="2033"/>
            <w:vAlign w:val="center"/>
            <w:shd w:fill="FFFFFF"/>
          </w:tcPr>
          <w:p>
            <w:pPr>
              <w:spacing w:after="20" w:before="20" w:line="264" w:lineRule="auto"/>
              <w:jc w:val="left"/>
            </w:pPr>
            <w:r>
              <w:rPr>
                <w:b w:val="0"/>
                <w:sz w:val="18"/>
              </w:rPr>
              <w:t>接入安全基线</w:t>
            </w:r>
          </w:p>
        </w:tc>
        <w:tc>
          <w:tcPr>
            <w:tcW w:type="dxa" w:w="4372"/>
            <w:vAlign w:val="center"/>
            <w:shd w:fill="FFFFFF"/>
          </w:tcPr>
          <w:p>
            <w:pPr>
              <w:spacing w:after="20" w:before="20" w:line="264" w:lineRule="auto"/>
              <w:jc w:val="left"/>
            </w:pPr>
            <w:r>
              <w:rPr>
                <w:b w:val="0"/>
                <w:sz w:val="18"/>
              </w:rPr>
              <w:t>输入：独立 cost 与预算；产物：PPO Lag、乘子日志和 A/B 对照</w:t>
            </w:r>
          </w:p>
        </w:tc>
        <w:tc>
          <w:tcPr>
            <w:tcW w:type="dxa" w:w="3762"/>
            <w:vAlign w:val="center"/>
            <w:shd w:fill="FFFFFF"/>
          </w:tcPr>
          <w:p>
            <w:pPr>
              <w:spacing w:after="20" w:before="20" w:line="264" w:lineRule="auto"/>
              <w:jc w:val="left"/>
            </w:pPr>
            <w:r>
              <w:rPr>
                <w:b w:val="0"/>
                <w:sz w:val="18"/>
              </w:rPr>
              <w:t>成本单位/尺度一致；安全和通行同时报告</w:t>
            </w:r>
          </w:p>
        </w:tc>
      </w:tr>
      <w:tr>
        <w:trPr>
          <w:cantSplit/>
        </w:trPr>
        <w:tc>
          <w:tcPr>
            <w:tcW w:type="dxa" w:w="2033"/>
            <w:vAlign w:val="center"/>
            <w:shd w:fill="F4F7F9"/>
          </w:tcPr>
          <w:p>
            <w:pPr>
              <w:spacing w:after="20" w:before="20" w:line="264" w:lineRule="auto"/>
              <w:jc w:val="left"/>
            </w:pPr>
            <w:r>
              <w:rPr>
                <w:b w:val="0"/>
                <w:sz w:val="18"/>
              </w:rPr>
              <w:t>复现与迁移模型</w:t>
            </w:r>
          </w:p>
        </w:tc>
        <w:tc>
          <w:tcPr>
            <w:tcW w:type="dxa" w:w="4372"/>
            <w:vAlign w:val="center"/>
            <w:shd w:fill="F4F7F9"/>
          </w:tcPr>
          <w:p>
            <w:pPr>
              <w:spacing w:after="20" w:before="20" w:line="264" w:lineRule="auto"/>
              <w:jc w:val="left"/>
            </w:pPr>
            <w:r>
              <w:rPr>
                <w:b w:val="0"/>
                <w:sz w:val="18"/>
              </w:rPr>
              <w:t>输入：官方向量任务及驾驶 adapter；产物：成本头、C/D 分支、测试和模型诊断</w:t>
            </w:r>
          </w:p>
        </w:tc>
        <w:tc>
          <w:tcPr>
            <w:tcW w:type="dxa" w:w="3762"/>
            <w:vAlign w:val="center"/>
            <w:shd w:fill="F4F7F9"/>
          </w:tcPr>
          <w:p>
            <w:pPr>
              <w:spacing w:after="20" w:before="20" w:line="264" w:lineRule="auto"/>
              <w:jc w:val="left"/>
            </w:pPr>
            <w:r>
              <w:rPr>
                <w:b w:val="0"/>
                <w:sz w:val="18"/>
              </w:rPr>
              <w:t>清除 hazard 硬编码；缺成本报错；未过门不扩规模</w:t>
            </w:r>
          </w:p>
        </w:tc>
      </w:tr>
      <w:tr>
        <w:trPr>
          <w:cantSplit/>
        </w:trPr>
        <w:tc>
          <w:tcPr>
            <w:tcW w:type="dxa" w:w="2033"/>
            <w:vAlign w:val="center"/>
            <w:shd w:fill="FFFFFF"/>
          </w:tcPr>
          <w:p>
            <w:pPr>
              <w:spacing w:after="20" w:before="20" w:line="264" w:lineRule="auto"/>
              <w:jc w:val="left"/>
            </w:pPr>
            <w:r>
              <w:rPr>
                <w:b w:val="0"/>
                <w:sz w:val="18"/>
              </w:rPr>
              <w:t>正式评估与归档</w:t>
            </w:r>
          </w:p>
        </w:tc>
        <w:tc>
          <w:tcPr>
            <w:tcW w:type="dxa" w:w="4372"/>
            <w:vAlign w:val="center"/>
            <w:shd w:fill="FFFFFF"/>
          </w:tcPr>
          <w:p>
            <w:pPr>
              <w:spacing w:after="20" w:before="20" w:line="264" w:lineRule="auto"/>
              <w:jc w:val="left"/>
            </w:pPr>
            <w:r>
              <w:rPr>
                <w:b w:val="0"/>
                <w:sz w:val="18"/>
              </w:rPr>
              <w:t>输入：冻结方案；产物：四组 seed 结果、区间、消融、失败与时延报告</w:t>
            </w:r>
          </w:p>
        </w:tc>
        <w:tc>
          <w:tcPr>
            <w:tcW w:type="dxa" w:w="3762"/>
            <w:vAlign w:val="center"/>
            <w:shd w:fill="FFFFFF"/>
          </w:tcPr>
          <w:p>
            <w:pPr>
              <w:spacing w:after="20" w:before="20" w:line="264" w:lineRule="auto"/>
              <w:jc w:val="left"/>
            </w:pPr>
            <w:r>
              <w:rPr>
                <w:b w:val="0"/>
                <w:sz w:val="18"/>
              </w:rPr>
              <w:t>不选最好 seed，不把模型自评当仿真闭环，不隐藏负结果</w:t>
            </w:r>
          </w:p>
        </w:tc>
      </w:tr>
    </w:tbl>
    <w:p>
      <w:pPr>
        <w:spacing w:after="40" w:before="0" w:line="96" w:lineRule="auto"/>
      </w:pPr>
    </w:p>
    <w:p>
      <w:pPr>
        <w:pStyle w:val="Heading2"/>
        <w:widowControl/>
      </w:pPr>
      <w:r>
        <w:t>每次实验必须能追溯</w:t>
      </w:r>
    </w:p>
    <w:p>
      <w:pPr>
        <w:widowControl/>
      </w:pPr>
      <w:r>
        <w:t>最小清单为：代码提交、依赖锁、环境/任务版本、硬件信息、完整配置、训练/场景 seed、数据划分、归一化统计、成本预算、checkpoint、原始评测记录、失败标签与回放。保存提议/执行动作和 terminated/truncated，明确真实 transitions、物理 tick、更新数及想象步数。</w:t>
      </w:r>
    </w:p>
    <w:p>
      <w:pPr>
        <w:pStyle w:val="Heading2"/>
        <w:widowControl/>
      </w:pPr>
      <w:r>
        <w:t>交付应同时服务研究与工程</w:t>
      </w:r>
    </w:p>
    <w:p>
      <w:pPr>
        <w:widowControl/>
      </w:pPr>
      <w:r>
        <w:t>报告给出方法结论、条件和负结果；机器可读结果支持统计复算；配置与版本支持重跑；失败回归集支持后续改动；资源测量支持预算；接口和时延测量支持车端下一阶段。单个演示视频或最好 seed 曲线不足以替代这些产物。</w:t>
      </w:r>
    </w:p>
    <w:p>
      <w:pPr>
        <w:pStyle w:val="Heading1"/>
        <w:pageBreakBefore/>
        <w:widowControl/>
      </w:pPr>
      <w:r>
        <w:t>20 风险 阅读顺序与术语</w:t>
      </w:r>
    </w:p>
    <w:p>
      <w:pPr>
        <w:pStyle w:val="Heading2"/>
        <w:widowControl/>
      </w:pPr>
      <w:r>
        <w:t>项目风险与处理</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0" w:type="dxa"/>
          <w:bottom w:w="85" w:type="dxa"/>
          <w:right w:w="100" w:type="dxa"/>
        </w:tblCellMar>
      </w:tblPr>
      <w:tblGrid>
        <w:gridCol w:w="2745"/>
        <w:gridCol w:w="7421"/>
      </w:tblGrid>
      <w:tr>
        <w:trPr>
          <w:tblHeader/>
          <w:cantSplit/>
        </w:trPr>
        <w:tc>
          <w:tcPr>
            <w:tcW w:type="dxa" w:w="2745"/>
            <w:vAlign w:val="center"/>
            <w:shd w:fill="DCE6EC"/>
          </w:tcPr>
          <w:p>
            <w:pPr>
              <w:spacing w:after="20" w:before="20" w:line="264" w:lineRule="auto"/>
              <w:jc w:val="left"/>
            </w:pPr>
            <w:r>
              <w:rPr>
                <w:b/>
                <w:sz w:val="18"/>
              </w:rPr>
              <w:t>风险</w:t>
            </w:r>
          </w:p>
        </w:tc>
        <w:tc>
          <w:tcPr>
            <w:tcW w:type="dxa" w:w="7421"/>
            <w:vAlign w:val="center"/>
            <w:shd w:fill="DCE6EC"/>
          </w:tcPr>
          <w:p>
            <w:pPr>
              <w:spacing w:after="20" w:before="20" w:line="264" w:lineRule="auto"/>
              <w:jc w:val="left"/>
            </w:pPr>
            <w:r>
              <w:rPr>
                <w:b/>
                <w:sz w:val="18"/>
              </w:rPr>
              <w:t>处理与边界</w:t>
            </w:r>
          </w:p>
        </w:tc>
      </w:tr>
      <w:tr>
        <w:trPr>
          <w:cantSplit/>
        </w:trPr>
        <w:tc>
          <w:tcPr>
            <w:tcW w:type="dxa" w:w="2745"/>
            <w:vAlign w:val="center"/>
            <w:shd w:fill="FFFFFF"/>
          </w:tcPr>
          <w:p>
            <w:pPr>
              <w:spacing w:after="20" w:before="20" w:line="264" w:lineRule="auto"/>
              <w:jc w:val="left"/>
            </w:pPr>
            <w:r>
              <w:rPr>
                <w:b w:val="0"/>
                <w:sz w:val="18"/>
              </w:rPr>
              <w:t>已有成果重复建设</w:t>
            </w:r>
          </w:p>
        </w:tc>
        <w:tc>
          <w:tcPr>
            <w:tcW w:type="dxa" w:w="7421"/>
            <w:vAlign w:val="center"/>
            <w:shd w:fill="FFFFFF"/>
          </w:tcPr>
          <w:p>
            <w:pPr>
              <w:spacing w:after="20" w:before="20" w:line="264" w:lineRule="auto"/>
              <w:jc w:val="left"/>
            </w:pPr>
            <w:r>
              <w:rPr>
                <w:b w:val="0"/>
                <w:sz w:val="18"/>
              </w:rPr>
              <w:t>先对齐既有代码/笔记，保留可验证内容；路线可因成熟实现调整</w:t>
            </w:r>
          </w:p>
        </w:tc>
      </w:tr>
      <w:tr>
        <w:trPr>
          <w:cantSplit/>
        </w:trPr>
        <w:tc>
          <w:tcPr>
            <w:tcW w:type="dxa" w:w="2745"/>
            <w:vAlign w:val="center"/>
            <w:shd w:fill="F4F7F9"/>
          </w:tcPr>
          <w:p>
            <w:pPr>
              <w:spacing w:after="20" w:before="20" w:line="264" w:lineRule="auto"/>
              <w:jc w:val="left"/>
            </w:pPr>
            <w:r>
              <w:rPr>
                <w:b w:val="0"/>
                <w:sz w:val="18"/>
              </w:rPr>
              <w:t>旧依赖和公开范围不足</w:t>
            </w:r>
          </w:p>
        </w:tc>
        <w:tc>
          <w:tcPr>
            <w:tcW w:type="dxa" w:w="7421"/>
            <w:vAlign w:val="center"/>
            <w:shd w:fill="F4F7F9"/>
          </w:tcPr>
          <w:p>
            <w:pPr>
              <w:spacing w:after="20" w:before="20" w:line="264" w:lineRule="auto"/>
              <w:jc w:val="left"/>
            </w:pPr>
            <w:r>
              <w:rPr>
                <w:b w:val="0"/>
                <w:sz w:val="18"/>
              </w:rPr>
              <w:t>先原任务短复现，固定提交；仓库或 checkpoint 存在不等于全论文可复现</w:t>
            </w:r>
          </w:p>
        </w:tc>
      </w:tr>
      <w:tr>
        <w:trPr>
          <w:cantSplit/>
        </w:trPr>
        <w:tc>
          <w:tcPr>
            <w:tcW w:type="dxa" w:w="2745"/>
            <w:vAlign w:val="center"/>
            <w:shd w:fill="FFFFFF"/>
          </w:tcPr>
          <w:p>
            <w:pPr>
              <w:spacing w:after="20" w:before="20" w:line="264" w:lineRule="auto"/>
              <w:jc w:val="left"/>
            </w:pPr>
            <w:r>
              <w:rPr>
                <w:b w:val="0"/>
                <w:sz w:val="18"/>
              </w:rPr>
              <w:t>许可证与数据限制</w:t>
            </w:r>
          </w:p>
        </w:tc>
        <w:tc>
          <w:tcPr>
            <w:tcW w:type="dxa" w:w="7421"/>
            <w:vAlign w:val="center"/>
            <w:shd w:fill="FFFFFF"/>
          </w:tcPr>
          <w:p>
            <w:pPr>
              <w:spacing w:after="20" w:before="20" w:line="264" w:lineRule="auto"/>
              <w:jc w:val="left"/>
            </w:pPr>
            <w:r>
              <w:rPr>
                <w:b w:val="0"/>
                <w:sz w:val="18"/>
              </w:rPr>
              <w:t>逐项检查代码、模型权重、数据、地图/资产和依赖许可；商业使用另审</w:t>
            </w:r>
          </w:p>
        </w:tc>
      </w:tr>
      <w:tr>
        <w:trPr>
          <w:cantSplit/>
        </w:trPr>
        <w:tc>
          <w:tcPr>
            <w:tcW w:type="dxa" w:w="2745"/>
            <w:vAlign w:val="center"/>
            <w:shd w:fill="F4F7F9"/>
          </w:tcPr>
          <w:p>
            <w:pPr>
              <w:spacing w:after="20" w:before="20" w:line="264" w:lineRule="auto"/>
              <w:jc w:val="left"/>
            </w:pPr>
            <w:r>
              <w:rPr>
                <w:b w:val="0"/>
                <w:sz w:val="18"/>
              </w:rPr>
              <w:t>榜单和版本变化</w:t>
            </w:r>
          </w:p>
        </w:tc>
        <w:tc>
          <w:tcPr>
            <w:tcW w:type="dxa" w:w="7421"/>
            <w:vAlign w:val="center"/>
            <w:shd w:fill="F4F7F9"/>
          </w:tcPr>
          <w:p>
            <w:pPr>
              <w:spacing w:after="20" w:before="20" w:line="264" w:lineRule="auto"/>
              <w:jc w:val="left"/>
            </w:pPr>
            <w:r>
              <w:rPr>
                <w:b w:val="0"/>
                <w:sz w:val="18"/>
              </w:rPr>
              <w:t>固定 benchmark、数据与 evaluator；跨版本不直接比较</w:t>
            </w:r>
          </w:p>
        </w:tc>
      </w:tr>
      <w:tr>
        <w:trPr>
          <w:cantSplit/>
        </w:trPr>
        <w:tc>
          <w:tcPr>
            <w:tcW w:type="dxa" w:w="2745"/>
            <w:vAlign w:val="center"/>
            <w:shd w:fill="FFFFFF"/>
          </w:tcPr>
          <w:p>
            <w:pPr>
              <w:spacing w:after="20" w:before="20" w:line="264" w:lineRule="auto"/>
              <w:jc w:val="left"/>
            </w:pPr>
            <w:r>
              <w:rPr>
                <w:b w:val="0"/>
                <w:sz w:val="18"/>
              </w:rPr>
              <w:t>误把研究当车载保证</w:t>
            </w:r>
          </w:p>
        </w:tc>
        <w:tc>
          <w:tcPr>
            <w:tcW w:type="dxa" w:w="7421"/>
            <w:vAlign w:val="center"/>
            <w:shd w:fill="FFFFFF"/>
          </w:tcPr>
          <w:p>
            <w:pPr>
              <w:spacing w:after="20" w:before="20" w:line="264" w:lineRule="auto"/>
              <w:jc w:val="left"/>
            </w:pPr>
            <w:r>
              <w:rPr>
                <w:b w:val="0"/>
                <w:sz w:val="18"/>
              </w:rPr>
              <w:t>分开仿真、工程验证和安全论证；未覆盖场景不能写作通过</w:t>
            </w:r>
          </w:p>
        </w:tc>
      </w:tr>
    </w:tbl>
    <w:p>
      <w:pPr>
        <w:spacing w:after="40" w:before="0" w:line="96" w:lineRule="auto"/>
      </w:pPr>
    </w:p>
    <w:p>
      <w:pPr>
        <w:widowControl/>
      </w:pPr>
      <w:r>
        <w:t>Bench2Drive 已有版本迭代，公开仓库的许可说明包含非商业等限制，不能从“可下载”推断企业可任意修改和商用。CARLA、框架、数据与权重也应分别核验许可。本段是项目合规检查建议，不替代法律审查。</w:t>
      </w:r>
      <w:hyperlink r:id="rId62">
        <w:r>
          <w:rPr>
            <w:color w:val="174C72"/>
            <w:rFonts w:ascii="Noto Sans CJK SC" w:hAnsi="Noto Sans CJK SC" w:eastAsia="Noto Sans CJK SC"/>
          </w:rPr>
          <w:t>[R54]</w:t>
        </w:r>
      </w:hyperlink>
      <w:r/>
    </w:p>
    <w:p>
      <w:pPr>
        <w:pStyle w:val="Heading2"/>
        <w:widowControl/>
      </w:pPr>
      <w:r>
        <w:t>建议阅读顺序</w:t>
      </w:r>
    </w:p>
    <w:p>
      <w:pPr>
        <w:widowControl/>
      </w:pPr>
      <w:r>
        <w:t>第一优先：PPO 与 SB3 文档，MetaDrive 观测/动作/成本接口，先理解一个真实训练闭环。</w:t>
      </w:r>
      <w:hyperlink r:id="rId15">
        <w:r>
          <w:rPr>
            <w:color w:val="174C72"/>
            <w:rFonts w:ascii="Noto Sans CJK SC" w:hAnsi="Noto Sans CJK SC" w:eastAsia="Noto Sans CJK SC"/>
          </w:rPr>
          <w:t>[R01]</w:t>
        </w:r>
      </w:hyperlink>
      <w:r/>
      <w:hyperlink r:id="rId10">
        <w:r>
          <w:rPr>
            <w:color w:val="174C72"/>
            <w:rFonts w:ascii="Noto Sans CJK SC" w:hAnsi="Noto Sans CJK SC" w:eastAsia="Noto Sans CJK SC"/>
          </w:rPr>
          <w:t>[R02]</w:t>
        </w:r>
      </w:hyperlink>
      <w:r/>
      <w:hyperlink r:id="rId21">
        <w:r>
          <w:rPr>
            <w:color w:val="174C72"/>
            <w:rFonts w:ascii="Noto Sans CJK SC" w:hAnsi="Noto Sans CJK SC" w:eastAsia="Noto Sans CJK SC"/>
          </w:rPr>
          <w:t>[R04]</w:t>
        </w:r>
      </w:hyperlink>
      <w:r/>
      <w:hyperlink r:id="rId63">
        <w:r>
          <w:rPr>
            <w:color w:val="174C72"/>
            <w:rFonts w:ascii="Noto Sans CJK SC" w:hAnsi="Noto Sans CJK SC" w:eastAsia="Noto Sans CJK SC"/>
          </w:rPr>
          <w:t>[R05]</w:t>
        </w:r>
      </w:hyperlink>
      <w:r/>
      <w:hyperlink r:id="rId52">
        <w:r>
          <w:rPr>
            <w:color w:val="174C72"/>
            <w:rFonts w:ascii="Noto Sans CJK SC" w:hAnsi="Noto Sans CJK SC" w:eastAsia="Noto Sans CJK SC"/>
          </w:rPr>
          <w:t>[R51]</w:t>
        </w:r>
      </w:hyperlink>
      <w:r>
        <w:t xml:space="preserve"> 第二优先：PPO-Lag、SafeDreamer 论文及成本源码，理解约束和实际实现的差别。</w:t>
      </w:r>
      <w:hyperlink r:id="rId18">
        <w:r>
          <w:rPr>
            <w:color w:val="174C72"/>
            <w:rFonts w:ascii="Noto Sans CJK SC" w:hAnsi="Noto Sans CJK SC" w:eastAsia="Noto Sans CJK SC"/>
          </w:rPr>
          <w:t>[R14]</w:t>
        </w:r>
      </w:hyperlink>
      <w:r/>
      <w:hyperlink r:id="rId32">
        <w:r>
          <w:rPr>
            <w:color w:val="174C72"/>
            <w:rFonts w:ascii="Noto Sans CJK SC" w:hAnsi="Noto Sans CJK SC" w:eastAsia="Noto Sans CJK SC"/>
          </w:rPr>
          <w:t>[R20]</w:t>
        </w:r>
      </w:hyperlink>
      <w:r/>
      <w:hyperlink r:id="rId50">
        <w:r>
          <w:rPr>
            <w:color w:val="174C72"/>
            <w:rFonts w:ascii="Noto Sans CJK SC" w:hAnsi="Noto Sans CJK SC" w:eastAsia="Noto Sans CJK SC"/>
          </w:rPr>
          <w:t>[R49]</w:t>
        </w:r>
      </w:hyperlink>
      <w:r/>
      <w:hyperlink r:id="rId51">
        <w:r>
          <w:rPr>
            <w:color w:val="174C72"/>
            <w:rFonts w:ascii="Noto Sans CJK SC" w:hAnsi="Noto Sans CJK SC" w:eastAsia="Noto Sans CJK SC"/>
          </w:rPr>
          <w:t>[R50]</w:t>
        </w:r>
      </w:hyperlink>
      <w:r>
        <w:t xml:space="preserve"> 第三优先：DreamerV3、Think2Drive、CarDreamer，理解历史建模、特权输入和驾驶实验。</w:t>
      </w:r>
      <w:hyperlink r:id="rId16">
        <w:r>
          <w:rPr>
            <w:color w:val="174C72"/>
            <w:rFonts w:ascii="Noto Sans CJK SC" w:hAnsi="Noto Sans CJK SC" w:eastAsia="Noto Sans CJK SC"/>
          </w:rPr>
          <w:t>[R11]</w:t>
        </w:r>
      </w:hyperlink>
      <w:r/>
      <w:hyperlink r:id="rId36">
        <w:r>
          <w:rPr>
            <w:color w:val="174C72"/>
            <w:rFonts w:ascii="Noto Sans CJK SC" w:hAnsi="Noto Sans CJK SC" w:eastAsia="Noto Sans CJK SC"/>
          </w:rPr>
          <w:t>[R43]</w:t>
        </w:r>
      </w:hyperlink>
      <w:r/>
      <w:hyperlink r:id="rId37">
        <w:r>
          <w:rPr>
            <w:color w:val="174C72"/>
            <w:rFonts w:ascii="Noto Sans CJK SC" w:hAnsi="Noto Sans CJK SC" w:eastAsia="Noto Sans CJK SC"/>
          </w:rPr>
          <w:t>[R44]</w:t>
        </w:r>
      </w:hyperlink>
      <w:r>
        <w:t xml:space="preserve"> 第四优先：Raw2Drive、AdaWM、WorldRFT，用于规划视觉与分布变化课题。</w:t>
      </w:r>
      <w:hyperlink r:id="rId38">
        <w:r>
          <w:rPr>
            <w:color w:val="174C72"/>
            <w:rFonts w:ascii="Noto Sans CJK SC" w:hAnsi="Noto Sans CJK SC" w:eastAsia="Noto Sans CJK SC"/>
          </w:rPr>
          <w:t>[R36]</w:t>
        </w:r>
      </w:hyperlink>
      <w:r/>
      <w:hyperlink r:id="rId39">
        <w:r>
          <w:rPr>
            <w:color w:val="174C72"/>
            <w:rFonts w:ascii="Noto Sans CJK SC" w:hAnsi="Noto Sans CJK SC" w:eastAsia="Noto Sans CJK SC"/>
          </w:rPr>
          <w:t>[R37]</w:t>
        </w:r>
      </w:hyperlink>
      <w:r/>
      <w:hyperlink r:id="rId41">
        <w:r>
          <w:rPr>
            <w:color w:val="174C72"/>
            <w:rFonts w:ascii="Noto Sans CJK SC" w:hAnsi="Noto Sans CJK SC" w:eastAsia="Noto Sans CJK SC"/>
          </w:rPr>
          <w:t>[R38]</w:t>
        </w:r>
      </w:hyperlink>
      <w:r/>
    </w:p>
    <w:p>
      <w:pPr>
        <w:pStyle w:val="Heading2"/>
        <w:widowControl/>
      </w:pPr>
      <w:r>
        <w:t>常用术语</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0" w:type="dxa"/>
          <w:bottom w:w="85" w:type="dxa"/>
          <w:right w:w="100" w:type="dxa"/>
        </w:tblCellMar>
      </w:tblPr>
      <w:tblGrid>
        <w:gridCol w:w="3253"/>
        <w:gridCol w:w="6913"/>
      </w:tblGrid>
      <w:tr>
        <w:trPr>
          <w:tblHeader/>
          <w:cantSplit/>
        </w:trPr>
        <w:tc>
          <w:tcPr>
            <w:tcW w:type="dxa" w:w="3253"/>
            <w:vAlign w:val="center"/>
            <w:shd w:fill="DCE6EC"/>
          </w:tcPr>
          <w:p>
            <w:pPr>
              <w:spacing w:after="20" w:before="20" w:line="264" w:lineRule="auto"/>
              <w:jc w:val="left"/>
            </w:pPr>
            <w:r>
              <w:rPr>
                <w:b/>
                <w:sz w:val="18"/>
              </w:rPr>
              <w:t>术语</w:t>
            </w:r>
          </w:p>
        </w:tc>
        <w:tc>
          <w:tcPr>
            <w:tcW w:type="dxa" w:w="6913"/>
            <w:vAlign w:val="center"/>
            <w:shd w:fill="DCE6EC"/>
          </w:tcPr>
          <w:p>
            <w:pPr>
              <w:spacing w:after="20" w:before="20" w:line="264" w:lineRule="auto"/>
              <w:jc w:val="left"/>
            </w:pPr>
            <w:r>
              <w:rPr>
                <w:b/>
                <w:sz w:val="18"/>
              </w:rPr>
              <w:t>在本报告中的意思</w:t>
            </w:r>
          </w:p>
        </w:tc>
      </w:tr>
      <w:tr>
        <w:trPr>
          <w:cantSplit/>
        </w:trPr>
        <w:tc>
          <w:tcPr>
            <w:tcW w:type="dxa" w:w="3253"/>
            <w:vAlign w:val="center"/>
            <w:shd w:fill="FFFFFF"/>
          </w:tcPr>
          <w:p>
            <w:pPr>
              <w:spacing w:after="20" w:before="20" w:line="264" w:lineRule="auto"/>
              <w:jc w:val="left"/>
            </w:pPr>
            <w:r>
              <w:rPr>
                <w:b w:val="0"/>
                <w:sz w:val="18"/>
              </w:rPr>
              <w:t>actor 与 critic</w:t>
            </w:r>
          </w:p>
        </w:tc>
        <w:tc>
          <w:tcPr>
            <w:tcW w:type="dxa" w:w="6913"/>
            <w:vAlign w:val="center"/>
            <w:shd w:fill="FFFFFF"/>
          </w:tcPr>
          <w:p>
            <w:pPr>
              <w:spacing w:after="20" w:before="20" w:line="264" w:lineRule="auto"/>
              <w:jc w:val="left"/>
            </w:pPr>
            <w:r>
              <w:rPr>
                <w:b w:val="0"/>
                <w:sz w:val="18"/>
              </w:rPr>
              <w:t>分别为策略和价值估计器；不等于车辆的底层控制器</w:t>
            </w:r>
          </w:p>
        </w:tc>
      </w:tr>
      <w:tr>
        <w:trPr>
          <w:cantSplit/>
        </w:trPr>
        <w:tc>
          <w:tcPr>
            <w:tcW w:type="dxa" w:w="3253"/>
            <w:vAlign w:val="center"/>
            <w:shd w:fill="F4F7F9"/>
          </w:tcPr>
          <w:p>
            <w:pPr>
              <w:spacing w:after="20" w:before="20" w:line="264" w:lineRule="auto"/>
              <w:jc w:val="left"/>
            </w:pPr>
            <w:r>
              <w:rPr>
                <w:b w:val="0"/>
                <w:sz w:val="18"/>
              </w:rPr>
              <w:t>RSSM 与 latent</w:t>
            </w:r>
          </w:p>
        </w:tc>
        <w:tc>
          <w:tcPr>
            <w:tcW w:type="dxa" w:w="6913"/>
            <w:vAlign w:val="center"/>
            <w:shd w:fill="F4F7F9"/>
          </w:tcPr>
          <w:p>
            <w:pPr>
              <w:spacing w:after="20" w:before="20" w:line="264" w:lineRule="auto"/>
              <w:jc w:val="left"/>
            </w:pPr>
            <w:r>
              <w:rPr>
                <w:b w:val="0"/>
                <w:sz w:val="18"/>
              </w:rPr>
              <w:t>循环状态空间模型及其压缩状态，用历史更新内部记忆</w:t>
            </w:r>
          </w:p>
        </w:tc>
      </w:tr>
      <w:tr>
        <w:trPr>
          <w:cantSplit/>
        </w:trPr>
        <w:tc>
          <w:tcPr>
            <w:tcW w:type="dxa" w:w="3253"/>
            <w:vAlign w:val="center"/>
            <w:shd w:fill="FFFFFF"/>
          </w:tcPr>
          <w:p>
            <w:pPr>
              <w:spacing w:after="20" w:before="20" w:line="264" w:lineRule="auto"/>
              <w:jc w:val="left"/>
            </w:pPr>
            <w:r>
              <w:rPr>
                <w:b w:val="0"/>
                <w:sz w:val="18"/>
              </w:rPr>
              <w:t>rollout 与 replay</w:t>
            </w:r>
          </w:p>
        </w:tc>
        <w:tc>
          <w:tcPr>
            <w:tcW w:type="dxa" w:w="6913"/>
            <w:vAlign w:val="center"/>
            <w:shd w:fill="FFFFFF"/>
          </w:tcPr>
          <w:p>
            <w:pPr>
              <w:spacing w:after="20" w:before="20" w:line="264" w:lineRule="auto"/>
              <w:jc w:val="left"/>
            </w:pPr>
            <w:r>
              <w:rPr>
                <w:b w:val="0"/>
                <w:sz w:val="18"/>
              </w:rPr>
              <w:t>前者为轨迹展开，后者为经验回放；真实与模型生成须区分</w:t>
            </w:r>
          </w:p>
        </w:tc>
      </w:tr>
      <w:tr>
        <w:trPr>
          <w:cantSplit/>
        </w:trPr>
        <w:tc>
          <w:tcPr>
            <w:tcW w:type="dxa" w:w="3253"/>
            <w:vAlign w:val="center"/>
            <w:shd w:fill="F4F7F9"/>
          </w:tcPr>
          <w:p>
            <w:pPr>
              <w:spacing w:after="20" w:before="20" w:line="264" w:lineRule="auto"/>
              <w:jc w:val="left"/>
            </w:pPr>
            <w:r>
              <w:rPr>
                <w:b w:val="0"/>
                <w:sz w:val="18"/>
              </w:rPr>
              <w:t>cost 与 Lagrange multiplier</w:t>
            </w:r>
          </w:p>
        </w:tc>
        <w:tc>
          <w:tcPr>
            <w:tcW w:type="dxa" w:w="6913"/>
            <w:vAlign w:val="center"/>
            <w:shd w:fill="F4F7F9"/>
          </w:tcPr>
          <w:p>
            <w:pPr>
              <w:spacing w:after="20" w:before="20" w:line="264" w:lineRule="auto"/>
              <w:jc w:val="left"/>
            </w:pPr>
            <w:r>
              <w:rPr>
                <w:b w:val="0"/>
                <w:sz w:val="18"/>
              </w:rPr>
              <w:t>独立风险代价与调节约束强度的非负乘子</w:t>
            </w:r>
          </w:p>
        </w:tc>
      </w:tr>
      <w:tr>
        <w:trPr>
          <w:cantSplit/>
        </w:trPr>
        <w:tc>
          <w:tcPr>
            <w:tcW w:type="dxa" w:w="3253"/>
            <w:vAlign w:val="center"/>
            <w:shd w:fill="FFFFFF"/>
          </w:tcPr>
          <w:p>
            <w:pPr>
              <w:spacing w:after="20" w:before="20" w:line="264" w:lineRule="auto"/>
              <w:jc w:val="left"/>
            </w:pPr>
            <w:r>
              <w:rPr>
                <w:b w:val="0"/>
                <w:sz w:val="18"/>
              </w:rPr>
              <w:t>ODD 与 OOD</w:t>
            </w:r>
          </w:p>
        </w:tc>
        <w:tc>
          <w:tcPr>
            <w:tcW w:type="dxa" w:w="6913"/>
            <w:vAlign w:val="center"/>
            <w:shd w:fill="FFFFFF"/>
          </w:tcPr>
          <w:p>
            <w:pPr>
              <w:spacing w:after="20" w:before="20" w:line="264" w:lineRule="auto"/>
              <w:jc w:val="left"/>
            </w:pPr>
            <w:r>
              <w:rPr>
                <w:b w:val="0"/>
                <w:sz w:val="18"/>
              </w:rPr>
              <w:t>运行设计域与相对训练分布之外的输入/场景</w:t>
            </w:r>
          </w:p>
        </w:tc>
      </w:tr>
      <w:tr>
        <w:trPr>
          <w:cantSplit/>
        </w:trPr>
        <w:tc>
          <w:tcPr>
            <w:tcW w:type="dxa" w:w="3253"/>
            <w:vAlign w:val="center"/>
            <w:shd w:fill="F4F7F9"/>
          </w:tcPr>
          <w:p>
            <w:pPr>
              <w:spacing w:after="20" w:before="20" w:line="264" w:lineRule="auto"/>
              <w:jc w:val="left"/>
            </w:pPr>
            <w:r>
              <w:rPr>
                <w:b w:val="0"/>
                <w:sz w:val="18"/>
              </w:rPr>
              <w:t>SIL HIL 与 fallback</w:t>
            </w:r>
          </w:p>
        </w:tc>
        <w:tc>
          <w:tcPr>
            <w:tcW w:type="dxa" w:w="6913"/>
            <w:vAlign w:val="center"/>
            <w:shd w:fill="F4F7F9"/>
          </w:tcPr>
          <w:p>
            <w:pPr>
              <w:spacing w:after="20" w:before="20" w:line="264" w:lineRule="auto"/>
              <w:jc w:val="left"/>
            </w:pPr>
            <w:r>
              <w:rPr>
                <w:b w:val="0"/>
                <w:sz w:val="18"/>
              </w:rPr>
              <w:t>软件在环、硬件在环，以及需独立验证的故障降级策略</w:t>
            </w:r>
          </w:p>
        </w:tc>
      </w:tr>
    </w:tbl>
    <w:p>
      <w:pPr>
        <w:spacing w:after="40" w:before="0" w:line="96" w:lineRule="auto"/>
      </w:pPr>
    </w:p>
    <w:p>
      <w:pPr>
        <w:pStyle w:val="Heading1"/>
        <w:pageBreakBefore/>
        <w:widowControl/>
      </w:pPr>
      <w:r>
        <w:t>参考文献一 方法与基础接口</w:t>
      </w:r>
    </w:p>
    <w:p>
      <w:pPr>
        <w:widowControl/>
      </w:pPr>
      <w:r>
        <w:t>来源核验截至 2026 年 10 月 10 日北京时间。论文结果为作者公开报告；官方代码与文档状态会变化，复现应固定提交和版本。</w:t>
      </w:r>
    </w:p>
    <w:p>
      <w:pPr>
        <w:widowControl/>
        <w:spacing w:line="250" w:lineRule="auto" w:after="100"/>
      </w:pPr>
      <w:r>
        <w:rPr>
          <w:sz w:val="19"/>
        </w:rPr>
      </w:r>
      <w:hyperlink r:id="rId15">
        <w:r>
          <w:rPr>
            <w:color w:val="174C72"/>
            <w:rFonts w:ascii="Noto Sans CJK SC" w:hAnsi="Noto Sans CJK SC" w:eastAsia="Noto Sans CJK SC"/>
          </w:rPr>
          <w:t>[R01]</w:t>
        </w:r>
      </w:hyperlink>
      <w:r>
        <w:rPr>
          <w:sz w:val="19"/>
        </w:rPr>
        <w:t xml:space="preserve"> Schulman 等 2017 Proximal Policy Optimization Algorithms。PPO 原论文。</w:t>
      </w:r>
    </w:p>
    <w:p>
      <w:pPr>
        <w:widowControl/>
        <w:spacing w:line="250" w:lineRule="auto" w:after="100"/>
      </w:pPr>
      <w:r>
        <w:rPr>
          <w:sz w:val="19"/>
        </w:rPr>
      </w:r>
      <w:hyperlink r:id="rId10">
        <w:r>
          <w:rPr>
            <w:color w:val="174C72"/>
            <w:rFonts w:ascii="Noto Sans CJK SC" w:hAnsi="Noto Sans CJK SC" w:eastAsia="Noto Sans CJK SC"/>
          </w:rPr>
          <w:t>[R02]</w:t>
        </w:r>
      </w:hyperlink>
      <w:r>
        <w:rPr>
          <w:sz w:val="19"/>
        </w:rPr>
        <w:t xml:space="preserve"> Stable Baselines3 PPO 官方文档。实现行为与非 CNN 任务设备建议。</w:t>
      </w:r>
    </w:p>
    <w:p>
      <w:pPr>
        <w:widowControl/>
        <w:spacing w:line="250" w:lineRule="auto" w:after="100"/>
      </w:pPr>
      <w:r>
        <w:rPr>
          <w:sz w:val="19"/>
        </w:rPr>
      </w:r>
      <w:hyperlink r:id="rId20">
        <w:r>
          <w:rPr>
            <w:color w:val="174C72"/>
            <w:rFonts w:ascii="Noto Sans CJK SC" w:hAnsi="Noto Sans CJK SC" w:eastAsia="Noto Sans CJK SC"/>
          </w:rPr>
          <w:t>[R03]</w:t>
        </w:r>
      </w:hyperlink>
      <w:r>
        <w:rPr>
          <w:sz w:val="19"/>
        </w:rPr>
        <w:t xml:space="preserve"> MetaDrive 官方训练文档。SB3 PPO 接入示例。</w:t>
      </w:r>
    </w:p>
    <w:p>
      <w:pPr>
        <w:widowControl/>
        <w:spacing w:line="250" w:lineRule="auto" w:after="100"/>
      </w:pPr>
      <w:r>
        <w:rPr>
          <w:sz w:val="19"/>
        </w:rPr>
      </w:r>
      <w:hyperlink r:id="rId21">
        <w:r>
          <w:rPr>
            <w:color w:val="174C72"/>
            <w:rFonts w:ascii="Noto Sans CJK SC" w:hAnsi="Noto Sans CJK SC" w:eastAsia="Noto Sans CJK SC"/>
          </w:rPr>
          <w:t>[R04]</w:t>
        </w:r>
      </w:hyperlink>
      <w:r>
        <w:rPr>
          <w:sz w:val="19"/>
        </w:rPr>
        <w:t xml:space="preserve"> MetaDrive 官方观测文档。向量和图像观测边界。</w:t>
      </w:r>
    </w:p>
    <w:p>
      <w:pPr>
        <w:widowControl/>
        <w:spacing w:line="250" w:lineRule="auto" w:after="100"/>
      </w:pPr>
      <w:r>
        <w:rPr>
          <w:sz w:val="19"/>
        </w:rPr>
      </w:r>
      <w:hyperlink r:id="rId63">
        <w:r>
          <w:rPr>
            <w:color w:val="174C72"/>
            <w:rFonts w:ascii="Noto Sans CJK SC" w:hAnsi="Noto Sans CJK SC" w:eastAsia="Noto Sans CJK SC"/>
          </w:rPr>
          <w:t>[R05]</w:t>
        </w:r>
      </w:hyperlink>
      <w:r>
        <w:rPr>
          <w:sz w:val="19"/>
        </w:rPr>
        <w:t xml:space="preserve"> MetaDrive 成本与终止条件。成本接口及自定义要求。</w:t>
      </w:r>
    </w:p>
    <w:p>
      <w:pPr>
        <w:widowControl/>
        <w:spacing w:line="250" w:lineRule="auto" w:after="100"/>
      </w:pPr>
      <w:r>
        <w:rPr>
          <w:sz w:val="19"/>
        </w:rPr>
      </w:r>
      <w:hyperlink r:id="rId53">
        <w:r>
          <w:rPr>
            <w:color w:val="174C72"/>
            <w:rFonts w:ascii="Noto Sans CJK SC" w:hAnsi="Noto Sans CJK SC" w:eastAsia="Noto Sans CJK SC"/>
          </w:rPr>
          <w:t>[R06]</w:t>
        </w:r>
      </w:hyperlink>
      <w:r>
        <w:rPr>
          <w:sz w:val="19"/>
        </w:rPr>
        <w:t xml:space="preserve"> SafeMetaDriveEnv 官方源码。须固定提交后核验默认配置。</w:t>
      </w:r>
    </w:p>
    <w:p>
      <w:pPr>
        <w:widowControl/>
        <w:spacing w:line="250" w:lineRule="auto" w:after="100"/>
      </w:pPr>
      <w:r>
        <w:rPr>
          <w:sz w:val="19"/>
        </w:rPr>
      </w:r>
      <w:hyperlink r:id="rId64">
        <w:r>
          <w:rPr>
            <w:color w:val="174C72"/>
            <w:rFonts w:ascii="Noto Sans CJK SC" w:hAnsi="Noto Sans CJK SC" w:eastAsia="Noto Sans CJK SC"/>
          </w:rPr>
          <w:t>[R07]</w:t>
        </w:r>
      </w:hyperlink>
      <w:r>
        <w:rPr>
          <w:sz w:val="19"/>
        </w:rPr>
        <w:t xml:space="preserve"> MetaDrive 官方环境与场景划分。训练测试场景划分及进程隔离。</w:t>
      </w:r>
    </w:p>
    <w:p>
      <w:pPr>
        <w:widowControl/>
        <w:spacing w:line="250" w:lineRule="auto" w:after="100"/>
      </w:pPr>
      <w:r>
        <w:rPr>
          <w:sz w:val="19"/>
        </w:rPr>
      </w:r>
      <w:hyperlink r:id="rId22">
        <w:r>
          <w:rPr>
            <w:color w:val="174C72"/>
            <w:rFonts w:ascii="Noto Sans CJK SC" w:hAnsi="Noto Sans CJK SC" w:eastAsia="Noto Sans CJK SC"/>
          </w:rPr>
          <w:t>[R08]</w:t>
        </w:r>
      </w:hyperlink>
      <w:r>
        <w:rPr>
          <w:sz w:val="19"/>
        </w:rPr>
        <w:t xml:space="preserve"> HighwayEnv 行为模型文档。IDM 和 MOBIL 基线。</w:t>
      </w:r>
    </w:p>
    <w:p>
      <w:pPr>
        <w:widowControl/>
        <w:spacing w:line="250" w:lineRule="auto" w:after="100"/>
      </w:pPr>
      <w:r>
        <w:rPr>
          <w:sz w:val="19"/>
        </w:rPr>
      </w:r>
      <w:hyperlink r:id="rId23">
        <w:r>
          <w:rPr>
            <w:color w:val="174C72"/>
            <w:rFonts w:ascii="Noto Sans CJK SC" w:hAnsi="Noto Sans CJK SC" w:eastAsia="Noto Sans CJK SC"/>
          </w:rPr>
          <w:t>[R09]</w:t>
        </w:r>
      </w:hyperlink>
      <w:r>
        <w:rPr>
          <w:sz w:val="19"/>
        </w:rPr>
        <w:t xml:space="preserve"> HighwayEnv 环境目录。跟车相关高速环境及汇入 路口 泊车任务入口。</w:t>
      </w:r>
    </w:p>
    <w:p>
      <w:pPr>
        <w:widowControl/>
        <w:spacing w:line="250" w:lineRule="auto" w:after="100"/>
      </w:pPr>
      <w:r>
        <w:rPr>
          <w:sz w:val="19"/>
        </w:rPr>
      </w:r>
      <w:hyperlink r:id="rId24">
        <w:r>
          <w:rPr>
            <w:color w:val="174C72"/>
            <w:rFonts w:ascii="Noto Sans CJK SC" w:hAnsi="Noto Sans CJK SC" w:eastAsia="Noto Sans CJK SC"/>
          </w:rPr>
          <w:t>[R10]</w:t>
        </w:r>
      </w:hyperlink>
      <w:r>
        <w:rPr>
          <w:sz w:val="19"/>
        </w:rPr>
        <w:t xml:space="preserve"> HighwayEnv 动作接口。连续控制与离散行为动作。</w:t>
      </w:r>
    </w:p>
    <w:p>
      <w:pPr>
        <w:widowControl/>
        <w:spacing w:line="250" w:lineRule="auto" w:after="100"/>
      </w:pPr>
      <w:r>
        <w:rPr>
          <w:sz w:val="19"/>
        </w:rPr>
      </w:r>
      <w:hyperlink r:id="rId16">
        <w:r>
          <w:rPr>
            <w:color w:val="174C72"/>
            <w:rFonts w:ascii="Noto Sans CJK SC" w:hAnsi="Noto Sans CJK SC" w:eastAsia="Noto Sans CJK SC"/>
          </w:rPr>
          <w:t>[R11]</w:t>
        </w:r>
      </w:hyperlink>
      <w:r>
        <w:rPr>
          <w:sz w:val="19"/>
        </w:rPr>
        <w:t xml:space="preserve"> Hafner 等 2025 Mastering diverse control tasks through world models。DreamerV3 正式论文。</w:t>
      </w:r>
    </w:p>
    <w:p>
      <w:pPr>
        <w:widowControl/>
        <w:spacing w:line="250" w:lineRule="auto" w:after="100"/>
      </w:pPr>
      <w:r>
        <w:rPr>
          <w:sz w:val="19"/>
        </w:rPr>
      </w:r>
      <w:hyperlink r:id="rId29">
        <w:r>
          <w:rPr>
            <w:color w:val="174C72"/>
            <w:rFonts w:ascii="Noto Sans CJK SC" w:hAnsi="Noto Sans CJK SC" w:eastAsia="Noto Sans CJK SC"/>
          </w:rPr>
          <w:t>[R12]</w:t>
        </w:r>
      </w:hyperlink>
      <w:r>
        <w:rPr>
          <w:sz w:val="19"/>
        </w:rPr>
        <w:t xml:space="preserve"> DreamerV3 作者仓库与配置。复现时固定提交 参数和任务。</w:t>
      </w:r>
    </w:p>
    <w:p>
      <w:pPr>
        <w:widowControl/>
        <w:spacing w:line="250" w:lineRule="auto" w:after="100"/>
      </w:pPr>
      <w:r>
        <w:rPr>
          <w:sz w:val="19"/>
        </w:rPr>
      </w:r>
      <w:hyperlink r:id="rId47">
        <w:r>
          <w:rPr>
            <w:color w:val="174C72"/>
            <w:rFonts w:ascii="Noto Sans CJK SC" w:hAnsi="Noto Sans CJK SC" w:eastAsia="Noto Sans CJK SC"/>
          </w:rPr>
          <w:t>[R13]</w:t>
        </w:r>
      </w:hyperlink>
      <w:r>
        <w:rPr>
          <w:sz w:val="19"/>
        </w:rPr>
        <w:t xml:space="preserve"> OmniSafe 官方仓库。安全算法与自定义环境接口。</w:t>
      </w:r>
    </w:p>
    <w:p>
      <w:pPr>
        <w:widowControl/>
        <w:spacing w:line="250" w:lineRule="auto" w:after="100"/>
      </w:pPr>
      <w:r>
        <w:rPr>
          <w:sz w:val="19"/>
        </w:rPr>
      </w:r>
      <w:hyperlink r:id="rId18">
        <w:r>
          <w:rPr>
            <w:color w:val="174C72"/>
            <w:rFonts w:ascii="Noto Sans CJK SC" w:hAnsi="Noto Sans CJK SC" w:eastAsia="Noto Sans CJK SC"/>
          </w:rPr>
          <w:t>[R14]</w:t>
        </w:r>
      </w:hyperlink>
      <w:r>
        <w:rPr>
          <w:sz w:val="19"/>
        </w:rPr>
        <w:t xml:space="preserve"> OmniSafe PPO Lagrangian 文档。PPO-Lag 实现入口。</w:t>
      </w:r>
    </w:p>
    <w:p>
      <w:pPr>
        <w:widowControl/>
        <w:spacing w:line="250" w:lineRule="auto" w:after="100"/>
      </w:pPr>
      <w:r>
        <w:rPr>
          <w:sz w:val="19"/>
        </w:rPr>
      </w:r>
      <w:hyperlink r:id="rId43">
        <w:r>
          <w:rPr>
            <w:color w:val="174C72"/>
            <w:rFonts w:ascii="Noto Sans CJK SC" w:hAnsi="Noto Sans CJK SC" w:eastAsia="Noto Sans CJK SC"/>
          </w:rPr>
          <w:t>[R15]</w:t>
        </w:r>
      </w:hyperlink>
      <w:r>
        <w:rPr>
          <w:sz w:val="19"/>
        </w:rPr>
        <w:t xml:space="preserve"> Stooke 等 2020 Responsive Safety in Reinforcement Learning by PID Lagrangian Methods。ICML 2020。</w:t>
      </w:r>
    </w:p>
    <w:p>
      <w:pPr>
        <w:widowControl/>
        <w:spacing w:line="250" w:lineRule="auto" w:after="100"/>
      </w:pPr>
      <w:r>
        <w:rPr>
          <w:sz w:val="19"/>
        </w:rPr>
      </w:r>
      <w:hyperlink r:id="rId17">
        <w:r>
          <w:rPr>
            <w:color w:val="174C72"/>
            <w:rFonts w:ascii="Noto Sans CJK SC" w:hAnsi="Noto Sans CJK SC" w:eastAsia="Noto Sans CJK SC"/>
          </w:rPr>
          <w:t>[R16]</w:t>
        </w:r>
      </w:hyperlink>
      <w:r>
        <w:rPr>
          <w:sz w:val="19"/>
        </w:rPr>
        <w:t xml:space="preserve"> Achiam 等 2017 Constrained Policy Optimization。约束策略优化理论与算法。</w:t>
      </w:r>
    </w:p>
    <w:p>
      <w:pPr>
        <w:widowControl/>
        <w:spacing w:line="250" w:lineRule="auto" w:after="100"/>
      </w:pPr>
      <w:r>
        <w:rPr>
          <w:sz w:val="19"/>
        </w:rPr>
      </w:r>
      <w:hyperlink r:id="rId44">
        <w:r>
          <w:rPr>
            <w:color w:val="174C72"/>
            <w:rFonts w:ascii="Noto Sans CJK SC" w:hAnsi="Noto Sans CJK SC" w:eastAsia="Noto Sans CJK SC"/>
          </w:rPr>
          <w:t>[R17]</w:t>
        </w:r>
      </w:hyperlink>
      <w:r>
        <w:rPr>
          <w:sz w:val="19"/>
        </w:rPr>
        <w:t xml:space="preserve"> Thomas 等 2021 Safe Reinforcement Learning by Imagining the Near Future。NeurIPS 2021 Safe-MBPO。</w:t>
      </w:r>
    </w:p>
    <w:p>
      <w:pPr>
        <w:widowControl/>
        <w:spacing w:line="250" w:lineRule="auto" w:after="100"/>
      </w:pPr>
      <w:r>
        <w:rPr>
          <w:sz w:val="19"/>
        </w:rPr>
      </w:r>
      <w:hyperlink r:id="rId45">
        <w:r>
          <w:rPr>
            <w:color w:val="174C72"/>
            <w:rFonts w:ascii="Noto Sans CJK SC" w:hAnsi="Noto Sans CJK SC" w:eastAsia="Noto Sans CJK SC"/>
          </w:rPr>
          <w:t>[R18]</w:t>
        </w:r>
      </w:hyperlink>
      <w:r>
        <w:rPr>
          <w:sz w:val="19"/>
        </w:rPr>
        <w:t xml:space="preserve"> As 等 2022 Constrained Policy Optimization via Bayesian World Models。LAMBDA ICLR 2022。</w:t>
      </w:r>
    </w:p>
    <w:p>
      <w:pPr>
        <w:widowControl/>
        <w:spacing w:line="250" w:lineRule="auto" w:after="100"/>
      </w:pPr>
      <w:r>
        <w:rPr>
          <w:sz w:val="19"/>
        </w:rPr>
      </w:r>
      <w:hyperlink r:id="rId46">
        <w:r>
          <w:rPr>
            <w:color w:val="174C72"/>
            <w:rFonts w:ascii="Noto Sans CJK SC" w:hAnsi="Noto Sans CJK SC" w:eastAsia="Noto Sans CJK SC"/>
          </w:rPr>
          <w:t>[R19]</w:t>
        </w:r>
      </w:hyperlink>
      <w:r>
        <w:rPr>
          <w:sz w:val="19"/>
        </w:rPr>
        <w:t xml:space="preserve"> Model based Safe Deep Reinforcement Learning via a Constrained Proximal Policy Optimization Algorithm。NeurIPS 2022。</w:t>
      </w:r>
    </w:p>
    <w:p>
      <w:pPr>
        <w:pStyle w:val="Heading1"/>
        <w:pageBreakBefore/>
        <w:widowControl/>
      </w:pPr>
      <w:r>
        <w:t>参考文献二 安全 评测与资源</w:t>
      </w:r>
    </w:p>
    <w:p>
      <w:pPr>
        <w:widowControl/>
      </w:pPr>
      <w:r>
        <w:t>来源核验截至 2026 年 10 月 10 日北京时间。论文结果为作者公开报告；官方代码与文档状态会变化，复现应固定提交和版本。</w:t>
      </w:r>
    </w:p>
    <w:p>
      <w:pPr>
        <w:widowControl/>
        <w:spacing w:line="250" w:lineRule="auto" w:after="100"/>
      </w:pPr>
      <w:r>
        <w:rPr>
          <w:sz w:val="19"/>
        </w:rPr>
      </w:r>
      <w:hyperlink r:id="rId32">
        <w:r>
          <w:rPr>
            <w:color w:val="174C72"/>
            <w:rFonts w:ascii="Noto Sans CJK SC" w:hAnsi="Noto Sans CJK SC" w:eastAsia="Noto Sans CJK SC"/>
          </w:rPr>
          <w:t>[R20]</w:t>
        </w:r>
      </w:hyperlink>
      <w:r>
        <w:rPr>
          <w:sz w:val="19"/>
        </w:rPr>
        <w:t xml:space="preserve"> SafeDreamer Safe Reinforcement Learning with World Models。ICLR 2024。</w:t>
      </w:r>
    </w:p>
    <w:p>
      <w:pPr>
        <w:widowControl/>
        <w:spacing w:line="250" w:lineRule="auto" w:after="100"/>
      </w:pPr>
      <w:r>
        <w:rPr>
          <w:sz w:val="19"/>
        </w:rPr>
      </w:r>
      <w:hyperlink r:id="rId33">
        <w:r>
          <w:rPr>
            <w:color w:val="174C72"/>
            <w:rFonts w:ascii="Noto Sans CJK SC" w:hAnsi="Noto Sans CJK SC" w:eastAsia="Noto Sans CJK SC"/>
          </w:rPr>
          <w:t>[R21]</w:t>
        </w:r>
      </w:hyperlink>
      <w:r>
        <w:rPr>
          <w:sz w:val="19"/>
        </w:rPr>
        <w:t xml:space="preserve"> SafeDreamer 官方代码。向量 cost 处理需按提交逐项审计。</w:t>
      </w:r>
    </w:p>
    <w:p>
      <w:pPr>
        <w:widowControl/>
        <w:spacing w:line="250" w:lineRule="auto" w:after="100"/>
      </w:pPr>
      <w:r>
        <w:rPr>
          <w:sz w:val="19"/>
        </w:rPr>
      </w:r>
      <w:hyperlink r:id="rId48">
        <w:r>
          <w:rPr>
            <w:color w:val="174C72"/>
            <w:rFonts w:ascii="Noto Sans CJK SC" w:hAnsi="Noto Sans CJK SC" w:eastAsia="Noto Sans CJK SC"/>
          </w:rPr>
          <w:t>[R22]</w:t>
        </w:r>
      </w:hyperlink>
      <w:r>
        <w:rPr>
          <w:sz w:val="19"/>
        </w:rPr>
        <w:t xml:space="preserve"> Safety Gymnasium 官方代码与 API。安全基准环境和 cost 接口。</w:t>
      </w:r>
    </w:p>
    <w:p>
      <w:pPr>
        <w:widowControl/>
        <w:spacing w:line="250" w:lineRule="auto" w:after="100"/>
      </w:pPr>
      <w:r>
        <w:rPr>
          <w:sz w:val="19"/>
        </w:rPr>
      </w:r>
      <w:hyperlink r:id="rId54">
        <w:r>
          <w:rPr>
            <w:color w:val="174C72"/>
            <w:rFonts w:ascii="Noto Sans CJK SC" w:hAnsi="Noto Sans CJK SC" w:eastAsia="Noto Sans CJK SC"/>
          </w:rPr>
          <w:t>[R23]</w:t>
        </w:r>
      </w:hyperlink>
      <w:r>
        <w:rPr>
          <w:sz w:val="19"/>
        </w:rPr>
        <w:t xml:space="preserve"> Agarwal 等 2021 Deep Reinforcement Learning at the Edge of the Statistical Precipice。统计评估与区间估计。</w:t>
      </w:r>
    </w:p>
    <w:p>
      <w:pPr>
        <w:widowControl/>
        <w:spacing w:line="250" w:lineRule="auto" w:after="100"/>
      </w:pPr>
      <w:r>
        <w:rPr>
          <w:sz w:val="19"/>
        </w:rPr>
      </w:r>
      <w:hyperlink r:id="rId55">
        <w:r>
          <w:rPr>
            <w:color w:val="174C72"/>
            <w:rFonts w:ascii="Noto Sans CJK SC" w:hAnsi="Noto Sans CJK SC" w:eastAsia="Noto Sans CJK SC"/>
          </w:rPr>
          <w:t>[R24]</w:t>
        </w:r>
      </w:hyperlink>
      <w:r>
        <w:rPr>
          <w:sz w:val="19"/>
        </w:rPr>
        <w:t xml:space="preserve"> rliable 官方实现。分层 bootstrap 与稳健汇总。</w:t>
      </w:r>
    </w:p>
    <w:p>
      <w:pPr>
        <w:widowControl/>
        <w:spacing w:line="250" w:lineRule="auto" w:after="100"/>
      </w:pPr>
      <w:r>
        <w:rPr>
          <w:sz w:val="19"/>
        </w:rPr>
      </w:r>
      <w:hyperlink r:id="rId19">
        <w:r>
          <w:rPr>
            <w:color w:val="174C72"/>
            <w:rFonts w:ascii="Noto Sans CJK SC" w:hAnsi="Noto Sans CJK SC" w:eastAsia="Noto Sans CJK SC"/>
          </w:rPr>
          <w:t>[R25]</w:t>
        </w:r>
      </w:hyperlink>
      <w:r>
        <w:rPr>
          <w:sz w:val="19"/>
        </w:rPr>
        <w:t xml:space="preserve"> Alshiekh 等 2018 Safe Reinforcement Learning via Shielding。运行时动作约束方法。</w:t>
      </w:r>
    </w:p>
    <w:p>
      <w:pPr>
        <w:widowControl/>
        <w:spacing w:line="250" w:lineRule="auto" w:after="100"/>
      </w:pPr>
      <w:r>
        <w:rPr>
          <w:sz w:val="19"/>
        </w:rPr>
      </w:r>
      <w:hyperlink r:id="rId49">
        <w:r>
          <w:rPr>
            <w:color w:val="174C72"/>
            <w:rFonts w:ascii="Noto Sans CJK SC" w:hAnsi="Noto Sans CJK SC" w:eastAsia="Noto Sans CJK SC"/>
          </w:rPr>
          <w:t>[R26]</w:t>
        </w:r>
      </w:hyperlink>
      <w:r>
        <w:rPr>
          <w:sz w:val="19"/>
        </w:rPr>
        <w:t xml:space="preserve"> Ames 等 2019 Control Barrier Functions Theory and Applications。CBF 的适用条件和理论基础。</w:t>
      </w:r>
    </w:p>
    <w:p>
      <w:pPr>
        <w:widowControl/>
        <w:spacing w:line="250" w:lineRule="auto" w:after="100"/>
      </w:pPr>
      <w:r>
        <w:rPr>
          <w:sz w:val="19"/>
        </w:rPr>
      </w:r>
      <w:hyperlink r:id="rId65">
        <w:r>
          <w:rPr>
            <w:color w:val="174C72"/>
            <w:rFonts w:ascii="Noto Sans CJK SC" w:hAnsi="Noto Sans CJK SC" w:eastAsia="Noto Sans CJK SC"/>
          </w:rPr>
          <w:t>[R27]</w:t>
        </w:r>
      </w:hyperlink>
      <w:r>
        <w:rPr>
          <w:sz w:val="19"/>
        </w:rPr>
        <w:t xml:space="preserve"> CARLA Leaderboard 2 1 评测指标。路线完成和分项违规指标。</w:t>
      </w:r>
    </w:p>
    <w:p>
      <w:pPr>
        <w:widowControl/>
        <w:spacing w:line="250" w:lineRule="auto" w:after="100"/>
      </w:pPr>
      <w:r>
        <w:rPr>
          <w:sz w:val="19"/>
        </w:rPr>
      </w:r>
      <w:hyperlink r:id="rId56">
        <w:r>
          <w:rPr>
            <w:color w:val="174C72"/>
            <w:rFonts w:ascii="Noto Sans CJK SC" w:hAnsi="Noto Sans CJK SC" w:eastAsia="Noto Sans CJK SC"/>
          </w:rPr>
          <w:t>[R28]</w:t>
        </w:r>
      </w:hyperlink>
      <w:r>
        <w:rPr>
          <w:sz w:val="19"/>
        </w:rPr>
        <w:t xml:space="preserve"> CARLA 渲染模式文档。off-screen 和 no-rendering 的区别。</w:t>
      </w:r>
    </w:p>
    <w:p>
      <w:pPr>
        <w:widowControl/>
        <w:spacing w:line="250" w:lineRule="auto" w:after="100"/>
      </w:pPr>
      <w:r>
        <w:rPr>
          <w:sz w:val="19"/>
        </w:rPr>
      </w:r>
      <w:hyperlink r:id="rId66">
        <w:r>
          <w:rPr>
            <w:color w:val="174C72"/>
            <w:rFonts w:ascii="Noto Sans CJK SC" w:hAnsi="Noto Sans CJK SC" w:eastAsia="Noto Sans CJK SC"/>
          </w:rPr>
          <w:t>[R29]</w:t>
        </w:r>
      </w:hyperlink>
      <w:r>
        <w:rPr>
          <w:sz w:val="19"/>
        </w:rPr>
        <w:t xml:space="preserve"> CARLA Quick Start。运行仿真器的设备建议 不等于训练整机配置。</w:t>
      </w:r>
    </w:p>
    <w:p>
      <w:pPr>
        <w:widowControl/>
        <w:spacing w:line="250" w:lineRule="auto" w:after="100"/>
      </w:pPr>
      <w:r>
        <w:rPr>
          <w:sz w:val="19"/>
        </w:rPr>
      </w:r>
      <w:hyperlink r:id="rId11">
        <w:r>
          <w:rPr>
            <w:color w:val="174C72"/>
            <w:rFonts w:ascii="Noto Sans CJK SC" w:hAnsi="Noto Sans CJK SC" w:eastAsia="Noto Sans CJK SC"/>
          </w:rPr>
          <w:t>[R30]</w:t>
        </w:r>
      </w:hyperlink>
      <w:r>
        <w:rPr>
          <w:sz w:val="19"/>
        </w:rPr>
        <w:t xml:space="preserve"> PyTorch DistributedDataParallel 官方教程。多卡单实验与独立作业的区别。</w:t>
      </w:r>
    </w:p>
    <w:p>
      <w:pPr>
        <w:widowControl/>
        <w:spacing w:line="250" w:lineRule="auto" w:after="100"/>
      </w:pPr>
      <w:r>
        <w:rPr>
          <w:sz w:val="19"/>
        </w:rPr>
      </w:r>
      <w:hyperlink r:id="rId57">
        <w:r>
          <w:rPr>
            <w:color w:val="174C72"/>
            <w:rFonts w:ascii="Noto Sans CJK SC" w:hAnsi="Noto Sans CJK SC" w:eastAsia="Noto Sans CJK SC"/>
          </w:rPr>
          <w:t>[R31]</w:t>
        </w:r>
      </w:hyperlink>
      <w:r>
        <w:rPr>
          <w:sz w:val="19"/>
        </w:rPr>
        <w:t xml:space="preserve"> JAX GPU memory allocation。显存预分配和观测解释。</w:t>
      </w:r>
    </w:p>
    <w:p>
      <w:pPr>
        <w:widowControl/>
        <w:spacing w:line="250" w:lineRule="auto" w:after="100"/>
      </w:pPr>
      <w:r>
        <w:rPr>
          <w:sz w:val="19"/>
        </w:rPr>
      </w:r>
      <w:hyperlink r:id="rId12">
        <w:r>
          <w:rPr>
            <w:color w:val="174C72"/>
            <w:rFonts w:ascii="Noto Sans CJK SC" w:hAnsi="Noto Sans CJK SC" w:eastAsia="Noto Sans CJK SC"/>
          </w:rPr>
          <w:t>[R32]</w:t>
        </w:r>
      </w:hyperlink>
      <w:r>
        <w:rPr>
          <w:sz w:val="19"/>
        </w:rPr>
        <w:t xml:space="preserve"> NVIDIA GeForce RTX 3090 与 3090 Ti 官方规格。两款卡的功率规格不可混淆。</w:t>
      </w:r>
    </w:p>
    <w:p>
      <w:pPr>
        <w:widowControl/>
        <w:spacing w:line="250" w:lineRule="auto" w:after="100"/>
      </w:pPr>
      <w:r>
        <w:rPr>
          <w:sz w:val="19"/>
        </w:rPr>
      </w:r>
      <w:hyperlink r:id="rId13">
        <w:r>
          <w:rPr>
            <w:color w:val="174C72"/>
            <w:rFonts w:ascii="Noto Sans CJK SC" w:hAnsi="Noto Sans CJK SC" w:eastAsia="Noto Sans CJK SC"/>
          </w:rPr>
          <w:t>[R33]</w:t>
        </w:r>
      </w:hyperlink>
      <w:r>
        <w:rPr>
          <w:sz w:val="19"/>
        </w:rPr>
        <w:t xml:space="preserve"> NVIDIA GeForce RTX 4090 官方规格。24GB 显存与互联规格。</w:t>
      </w:r>
    </w:p>
    <w:p>
      <w:pPr>
        <w:widowControl/>
        <w:spacing w:line="250" w:lineRule="auto" w:after="100"/>
      </w:pPr>
      <w:r>
        <w:rPr>
          <w:sz w:val="19"/>
        </w:rPr>
      </w:r>
      <w:hyperlink r:id="rId14">
        <w:r>
          <w:rPr>
            <w:color w:val="174C72"/>
            <w:rFonts w:ascii="Noto Sans CJK SC" w:hAnsi="Noto Sans CJK SC" w:eastAsia="Noto Sans CJK SC"/>
          </w:rPr>
          <w:t>[R34]</w:t>
        </w:r>
      </w:hyperlink>
      <w:r>
        <w:rPr>
          <w:sz w:val="19"/>
        </w:rPr>
        <w:t xml:space="preserve"> NVIDIA A100 官方产品页。40GB 和 80GB 产品类别。</w:t>
      </w:r>
    </w:p>
    <w:p>
      <w:pPr>
        <w:widowControl/>
        <w:spacing w:line="250" w:lineRule="auto" w:after="100"/>
      </w:pPr>
      <w:r>
        <w:rPr>
          <w:sz w:val="19"/>
        </w:rPr>
      </w:r>
      <w:hyperlink r:id="rId59">
        <w:r>
          <w:rPr>
            <w:color w:val="174C72"/>
            <w:rFonts w:ascii="Noto Sans CJK SC" w:hAnsi="Noto Sans CJK SC" w:eastAsia="Noto Sans CJK SC"/>
          </w:rPr>
          <w:t>[R35]</w:t>
        </w:r>
      </w:hyperlink>
      <w:r>
        <w:rPr>
          <w:sz w:val="19"/>
        </w:rPr>
        <w:t xml:space="preserve"> TensorRT Performance Measurement。目标设备上的端到端性能验证。</w:t>
      </w:r>
    </w:p>
    <w:p>
      <w:pPr>
        <w:widowControl/>
        <w:spacing w:line="250" w:lineRule="auto" w:after="100"/>
      </w:pPr>
      <w:r>
        <w:rPr>
          <w:sz w:val="19"/>
        </w:rPr>
      </w:r>
      <w:hyperlink r:id="rId38">
        <w:r>
          <w:rPr>
            <w:color w:val="174C72"/>
            <w:rFonts w:ascii="Noto Sans CJK SC" w:hAnsi="Noto Sans CJK SC" w:eastAsia="Noto Sans CJK SC"/>
          </w:rPr>
          <w:t>[R36]</w:t>
        </w:r>
      </w:hyperlink>
      <w:r>
        <w:rPr>
          <w:sz w:val="19"/>
        </w:rPr>
        <w:t xml:space="preserve"> AdaWM Adaptive World Model based Planning for Autonomous Driving。ICLR 2025 分布变化下模型与策略适配。</w:t>
      </w:r>
    </w:p>
    <w:p>
      <w:pPr>
        <w:widowControl/>
        <w:spacing w:line="250" w:lineRule="auto" w:after="100"/>
      </w:pPr>
      <w:r>
        <w:rPr>
          <w:sz w:val="19"/>
        </w:rPr>
      </w:r>
      <w:hyperlink r:id="rId39">
        <w:r>
          <w:rPr>
            <w:color w:val="174C72"/>
            <w:rFonts w:ascii="Noto Sans CJK SC" w:hAnsi="Noto Sans CJK SC" w:eastAsia="Noto Sans CJK SC"/>
          </w:rPr>
          <w:t>[R37]</w:t>
        </w:r>
      </w:hyperlink>
      <w:r>
        <w:rPr>
          <w:sz w:val="19"/>
        </w:rPr>
        <w:t xml:space="preserve"> Raw2Drive Reinforcement Learning with Aligned World Models for End to End Autonomous Driving。NeurIPS 2025 特权与传感器双流。</w:t>
      </w:r>
    </w:p>
    <w:p>
      <w:pPr>
        <w:widowControl/>
        <w:spacing w:line="250" w:lineRule="auto" w:after="100"/>
      </w:pPr>
      <w:r>
        <w:rPr>
          <w:sz w:val="19"/>
        </w:rPr>
      </w:r>
      <w:hyperlink r:id="rId41">
        <w:r>
          <w:rPr>
            <w:color w:val="174C72"/>
            <w:rFonts w:ascii="Noto Sans CJK SC" w:hAnsi="Noto Sans CJK SC" w:eastAsia="Noto Sans CJK SC"/>
          </w:rPr>
          <w:t>[R38]</w:t>
        </w:r>
      </w:hyperlink>
      <w:r>
        <w:rPr>
          <w:sz w:val="19"/>
        </w:rPr>
        <w:t xml:space="preserve"> WorldRFT Latent World Model Planning with Reinforcement Fine Tuning for Autonomous Driving。AAAI 2026 视觉潜变量规划与 GRPO 微调。</w:t>
      </w:r>
    </w:p>
    <w:p>
      <w:pPr>
        <w:pStyle w:val="Heading1"/>
        <w:pageBreakBefore/>
        <w:widowControl/>
      </w:pPr>
      <w:r>
        <w:t>参考文献三 世界模型 智驾与部署</w:t>
      </w:r>
    </w:p>
    <w:p>
      <w:pPr>
        <w:widowControl/>
      </w:pPr>
      <w:r>
        <w:t>来源核验截至 2026 年 10 月 10 日北京时间。论文结果为作者公开报告；官方代码与文档状态会变化，复现应固定提交和版本。</w:t>
      </w:r>
    </w:p>
    <w:p>
      <w:pPr>
        <w:widowControl/>
        <w:spacing w:line="250" w:lineRule="auto" w:after="100"/>
      </w:pPr>
      <w:r>
        <w:rPr>
          <w:sz w:val="19"/>
        </w:rPr>
      </w:r>
      <w:hyperlink r:id="rId27">
        <w:r>
          <w:rPr>
            <w:color w:val="174C72"/>
            <w:rFonts w:ascii="Noto Sans CJK SC" w:hAnsi="Noto Sans CJK SC" w:eastAsia="Noto Sans CJK SC"/>
          </w:rPr>
          <w:t>[R39]</w:t>
        </w:r>
      </w:hyperlink>
      <w:r>
        <w:rPr>
          <w:sz w:val="19"/>
        </w:rPr>
        <w:t xml:space="preserve"> Chua 等 2018 Deep Reinforcement Learning in a Handful of Trials using Probabilistic Dynamics Models。PETS。</w:t>
      </w:r>
    </w:p>
    <w:p>
      <w:pPr>
        <w:widowControl/>
        <w:spacing w:line="250" w:lineRule="auto" w:after="100"/>
      </w:pPr>
      <w:r>
        <w:rPr>
          <w:sz w:val="19"/>
        </w:rPr>
      </w:r>
      <w:hyperlink r:id="rId28">
        <w:r>
          <w:rPr>
            <w:color w:val="174C72"/>
            <w:rFonts w:ascii="Noto Sans CJK SC" w:hAnsi="Noto Sans CJK SC" w:eastAsia="Noto Sans CJK SC"/>
          </w:rPr>
          <w:t>[R40]</w:t>
        </w:r>
      </w:hyperlink>
      <w:r>
        <w:rPr>
          <w:sz w:val="19"/>
        </w:rPr>
        <w:t xml:space="preserve"> Janner 等 2019 When to Trust Your Model。MBPO。</w:t>
      </w:r>
    </w:p>
    <w:p>
      <w:pPr>
        <w:widowControl/>
        <w:spacing w:line="250" w:lineRule="auto" w:after="100"/>
      </w:pPr>
      <w:r>
        <w:rPr>
          <w:sz w:val="19"/>
        </w:rPr>
      </w:r>
      <w:hyperlink r:id="rId30">
        <w:r>
          <w:rPr>
            <w:color w:val="174C72"/>
            <w:rFonts w:ascii="Noto Sans CJK SC" w:hAnsi="Noto Sans CJK SC" w:eastAsia="Noto Sans CJK SC"/>
          </w:rPr>
          <w:t>[R41]</w:t>
        </w:r>
      </w:hyperlink>
      <w:r>
        <w:rPr>
          <w:sz w:val="19"/>
        </w:rPr>
        <w:t xml:space="preserve"> Hansen 等 2024 TD MPC2 Scalable Robust World Models。ICLR 2024。</w:t>
      </w:r>
    </w:p>
    <w:p>
      <w:pPr>
        <w:widowControl/>
        <w:spacing w:line="250" w:lineRule="auto" w:after="100"/>
      </w:pPr>
      <w:r>
        <w:rPr>
          <w:sz w:val="19"/>
        </w:rPr>
      </w:r>
      <w:hyperlink r:id="rId31">
        <w:r>
          <w:rPr>
            <w:color w:val="174C72"/>
            <w:rFonts w:ascii="Noto Sans CJK SC" w:hAnsi="Noto Sans CJK SC" w:eastAsia="Noto Sans CJK SC"/>
          </w:rPr>
          <w:t>[R42]</w:t>
        </w:r>
      </w:hyperlink>
      <w:r>
        <w:rPr>
          <w:sz w:val="19"/>
        </w:rPr>
        <w:t xml:space="preserve"> TD MPC2 作者代码。连续控制世界模型备选。</w:t>
      </w:r>
    </w:p>
    <w:p>
      <w:pPr>
        <w:widowControl/>
        <w:spacing w:line="250" w:lineRule="auto" w:after="100"/>
      </w:pPr>
      <w:r>
        <w:rPr>
          <w:sz w:val="19"/>
        </w:rPr>
      </w:r>
      <w:hyperlink r:id="rId36">
        <w:r>
          <w:rPr>
            <w:color w:val="174C72"/>
            <w:rFonts w:ascii="Noto Sans CJK SC" w:hAnsi="Noto Sans CJK SC" w:eastAsia="Noto Sans CJK SC"/>
          </w:rPr>
          <w:t>[R43]</w:t>
        </w:r>
      </w:hyperlink>
      <w:r>
        <w:rPr>
          <w:sz w:val="19"/>
        </w:rPr>
        <w:t xml:space="preserve"> Think2Drive Efficient Reinforcement Learning by Thinking in Latent World Model。ECCV 2024 驾驶世界模型。</w:t>
      </w:r>
    </w:p>
    <w:p>
      <w:pPr>
        <w:widowControl/>
        <w:spacing w:line="250" w:lineRule="auto" w:after="100"/>
      </w:pPr>
      <w:r>
        <w:rPr>
          <w:sz w:val="19"/>
        </w:rPr>
      </w:r>
      <w:hyperlink r:id="rId37">
        <w:r>
          <w:rPr>
            <w:color w:val="174C72"/>
            <w:rFonts w:ascii="Noto Sans CJK SC" w:hAnsi="Noto Sans CJK SC" w:eastAsia="Noto Sans CJK SC"/>
          </w:rPr>
          <w:t>[R44]</w:t>
        </w:r>
      </w:hyperlink>
      <w:r>
        <w:rPr>
          <w:sz w:val="19"/>
        </w:rPr>
        <w:t xml:space="preserve"> CarDreamer 官方代码。CARLA 任务与 Dreamer 训练入口。</w:t>
      </w:r>
    </w:p>
    <w:p>
      <w:pPr>
        <w:widowControl/>
        <w:spacing w:line="250" w:lineRule="auto" w:after="100"/>
      </w:pPr>
      <w:r>
        <w:rPr>
          <w:sz w:val="19"/>
        </w:rPr>
      </w:r>
      <w:hyperlink r:id="rId40">
        <w:r>
          <w:rPr>
            <w:color w:val="174C72"/>
            <w:rFonts w:ascii="Noto Sans CJK SC" w:hAnsi="Noto Sans CJK SC" w:eastAsia="Noto Sans CJK SC"/>
          </w:rPr>
          <w:t>[R45]</w:t>
        </w:r>
      </w:hyperlink>
      <w:r>
        <w:rPr>
          <w:sz w:val="19"/>
        </w:rPr>
        <w:t xml:space="preserve"> Raw2Drive 官方仓库。公开代码状态以核验日可见文件为准。</w:t>
      </w:r>
    </w:p>
    <w:p>
      <w:pPr>
        <w:widowControl/>
        <w:spacing w:line="250" w:lineRule="auto" w:after="100"/>
      </w:pPr>
      <w:r>
        <w:rPr>
          <w:sz w:val="19"/>
        </w:rPr>
      </w:r>
      <w:hyperlink r:id="rId42">
        <w:r>
          <w:rPr>
            <w:color w:val="174C72"/>
            <w:rFonts w:ascii="Noto Sans CJK SC" w:hAnsi="Noto Sans CJK SC" w:eastAsia="Noto Sans CJK SC"/>
          </w:rPr>
          <w:t>[R46]</w:t>
        </w:r>
      </w:hyperlink>
      <w:r>
        <w:rPr>
          <w:sz w:val="19"/>
        </w:rPr>
        <w:t xml:space="preserve"> Vista 官方代码。NeurIPS 2024 驾驶视频世界模型。</w:t>
      </w:r>
    </w:p>
    <w:p>
      <w:pPr>
        <w:widowControl/>
        <w:spacing w:line="250" w:lineRule="auto" w:after="100"/>
      </w:pPr>
      <w:r>
        <w:rPr>
          <w:sz w:val="19"/>
        </w:rPr>
      </w:r>
      <w:hyperlink r:id="rId34">
        <w:r>
          <w:rPr>
            <w:color w:val="174C72"/>
            <w:rFonts w:ascii="Noto Sans CJK SC" w:hAnsi="Noto Sans CJK SC" w:eastAsia="Noto Sans CJK SC"/>
          </w:rPr>
          <w:t>[R47]</w:t>
        </w:r>
      </w:hyperlink>
      <w:r>
        <w:rPr>
          <w:sz w:val="19"/>
        </w:rPr>
        <w:t xml:space="preserve"> Roach End to End Urban Driving by Imitating a Reinforcement Learning Coach。ICCV 2021 特权教师与视觉学生。</w:t>
      </w:r>
    </w:p>
    <w:p>
      <w:pPr>
        <w:widowControl/>
        <w:spacing w:line="250" w:lineRule="auto" w:after="100"/>
      </w:pPr>
      <w:r>
        <w:rPr>
          <w:sz w:val="19"/>
        </w:rPr>
      </w:r>
      <w:hyperlink r:id="rId35">
        <w:r>
          <w:rPr>
            <w:color w:val="174C72"/>
            <w:rFonts w:ascii="Noto Sans CJK SC" w:hAnsi="Noto Sans CJK SC" w:eastAsia="Noto Sans CJK SC"/>
          </w:rPr>
          <w:t>[R48]</w:t>
        </w:r>
      </w:hyperlink>
      <w:r>
        <w:rPr>
          <w:sz w:val="19"/>
        </w:rPr>
        <w:t xml:space="preserve"> Roach 官方代码。RL IL 数据采集与评测。</w:t>
      </w:r>
    </w:p>
    <w:p>
      <w:pPr>
        <w:widowControl/>
        <w:spacing w:line="250" w:lineRule="auto" w:after="100"/>
      </w:pPr>
      <w:r>
        <w:rPr>
          <w:sz w:val="19"/>
        </w:rPr>
      </w:r>
      <w:hyperlink r:id="rId50">
        <w:r>
          <w:rPr>
            <w:color w:val="174C72"/>
            <w:rFonts w:ascii="Noto Sans CJK SC" w:hAnsi="Noto Sans CJK SC" w:eastAsia="Noto Sans CJK SC"/>
          </w:rPr>
          <w:t>[R49]</w:t>
        </w:r>
      </w:hyperlink>
      <w:r>
        <w:rPr>
          <w:sz w:val="19"/>
        </w:rPr>
        <w:t xml:space="preserve"> SafeDreamer 官方配置文件。向量配置需检查实际行为。</w:t>
      </w:r>
    </w:p>
    <w:p>
      <w:pPr>
        <w:widowControl/>
        <w:spacing w:line="250" w:lineRule="auto" w:after="100"/>
      </w:pPr>
      <w:r>
        <w:rPr>
          <w:sz w:val="19"/>
        </w:rPr>
      </w:r>
      <w:hyperlink r:id="rId51">
        <w:r>
          <w:rPr>
            <w:color w:val="174C72"/>
            <w:rFonts w:ascii="Noto Sans CJK SC" w:hAnsi="Noto Sans CJK SC" w:eastAsia="Noto Sans CJK SC"/>
          </w:rPr>
          <w:t>[R50]</w:t>
        </w:r>
      </w:hyperlink>
      <w:r>
        <w:rPr>
          <w:sz w:val="19"/>
        </w:rPr>
        <w:t xml:space="preserve"> SafeDreamer 官方行为和规划代码。成本路径和缩放审计。</w:t>
      </w:r>
    </w:p>
    <w:p>
      <w:pPr>
        <w:widowControl/>
        <w:spacing w:line="250" w:lineRule="auto" w:after="100"/>
      </w:pPr>
      <w:r>
        <w:rPr>
          <w:sz w:val="19"/>
        </w:rPr>
      </w:r>
      <w:hyperlink r:id="rId52">
        <w:r>
          <w:rPr>
            <w:color w:val="174C72"/>
            <w:rFonts w:ascii="Noto Sans CJK SC" w:hAnsi="Noto Sans CJK SC" w:eastAsia="Noto Sans CJK SC"/>
          </w:rPr>
          <w:t>[R51]</w:t>
        </w:r>
      </w:hyperlink>
      <w:r>
        <w:rPr>
          <w:sz w:val="19"/>
        </w:rPr>
        <w:t xml:space="preserve"> MetaDrive 动作与策略接口。归一化转向及驱动制动输入。</w:t>
      </w:r>
    </w:p>
    <w:p>
      <w:pPr>
        <w:widowControl/>
        <w:spacing w:line="250" w:lineRule="auto" w:after="100"/>
      </w:pPr>
      <w:r>
        <w:rPr>
          <w:sz w:val="19"/>
        </w:rPr>
      </w:r>
      <w:hyperlink r:id="rId61">
        <w:r>
          <w:rPr>
            <w:color w:val="174C72"/>
            <w:rFonts w:ascii="Noto Sans CJK SC" w:hAnsi="Noto Sans CJK SC" w:eastAsia="Noto Sans CJK SC"/>
          </w:rPr>
          <w:t>[R52]</w:t>
        </w:r>
      </w:hyperlink>
      <w:r>
        <w:rPr>
          <w:sz w:val="19"/>
        </w:rPr>
        <w:t xml:space="preserve"> CARLA 同步与时间步。仿真时钟与墙钟时延需分开。</w:t>
      </w:r>
    </w:p>
    <w:p>
      <w:pPr>
        <w:widowControl/>
        <w:spacing w:line="250" w:lineRule="auto" w:after="100"/>
      </w:pPr>
      <w:r>
        <w:rPr>
          <w:sz w:val="19"/>
        </w:rPr>
      </w:r>
      <w:hyperlink r:id="rId60">
        <w:r>
          <w:rPr>
            <w:color w:val="174C72"/>
            <w:rFonts w:ascii="Noto Sans CJK SC" w:hAnsi="Noto Sans CJK SC" w:eastAsia="Noto Sans CJK SC"/>
          </w:rPr>
          <w:t>[R53]</w:t>
        </w:r>
      </w:hyperlink>
      <w:r>
        <w:rPr>
          <w:sz w:val="19"/>
        </w:rPr>
        <w:t xml:space="preserve"> Autoware 车辆接口架构。控制命令与车辆特定接口的分层。</w:t>
      </w:r>
    </w:p>
    <w:p>
      <w:pPr>
        <w:widowControl/>
        <w:spacing w:line="250" w:lineRule="auto" w:after="100"/>
      </w:pPr>
      <w:r>
        <w:rPr>
          <w:sz w:val="19"/>
        </w:rPr>
      </w:r>
      <w:hyperlink r:id="rId62">
        <w:r>
          <w:rPr>
            <w:color w:val="174C72"/>
            <w:rFonts w:ascii="Noto Sans CJK SC" w:hAnsi="Noto Sans CJK SC" w:eastAsia="Noto Sans CJK SC"/>
          </w:rPr>
          <w:t>[R54]</w:t>
        </w:r>
      </w:hyperlink>
      <w:r>
        <w:rPr>
          <w:sz w:val="19"/>
        </w:rPr>
        <w:t xml:space="preserve"> Bench2Drive 官方代码与版本记录。固定数据 evaluator 版本 并核验许可。</w:t>
      </w:r>
    </w:p>
    <w:p>
      <w:pPr>
        <w:widowControl/>
        <w:spacing w:line="250" w:lineRule="auto" w:after="100"/>
      </w:pPr>
      <w:r>
        <w:rPr>
          <w:sz w:val="19"/>
        </w:rPr>
      </w:r>
      <w:hyperlink r:id="rId26">
        <w:r>
          <w:rPr>
            <w:color w:val="174C72"/>
            <w:rFonts w:ascii="Noto Sans CJK SC" w:hAnsi="Noto Sans CJK SC" w:eastAsia="Noto Sans CJK SC"/>
          </w:rPr>
          <w:t>[R55]</w:t>
        </w:r>
      </w:hyperlink>
      <w:r>
        <w:rPr>
          <w:sz w:val="19"/>
        </w:rPr>
        <w:t xml:space="preserve"> Gymnasium Handling Time Limits。终止与时间截断的 bootstrap 区别。</w:t>
      </w:r>
    </w:p>
    <w:p>
      <w:pPr>
        <w:widowControl/>
        <w:spacing w:line="250" w:lineRule="auto" w:after="100"/>
      </w:pPr>
      <w:r>
        <w:rPr>
          <w:sz w:val="19"/>
        </w:rPr>
      </w:r>
      <w:hyperlink r:id="rId25">
        <w:r>
          <w:rPr>
            <w:color w:val="174C72"/>
            <w:rFonts w:ascii="Noto Sans CJK SC" w:hAnsi="Noto Sans CJK SC" w:eastAsia="Noto Sans CJK SC"/>
          </w:rPr>
          <w:t>[R56]</w:t>
        </w:r>
      </w:hyperlink>
      <w:r>
        <w:rPr>
          <w:sz w:val="19"/>
        </w:rPr>
        <w:t xml:space="preserve"> HighwayEnv Merge 环境定义。注意主路自车与匝道自车角色。</w:t>
      </w:r>
    </w:p>
    <w:p>
      <w:pPr>
        <w:widowControl/>
        <w:spacing w:line="250" w:lineRule="auto" w:after="100"/>
      </w:pPr>
      <w:r>
        <w:rPr>
          <w:sz w:val="19"/>
        </w:rPr>
      </w:r>
      <w:hyperlink r:id="rId58">
        <w:r>
          <w:rPr>
            <w:color w:val="174C72"/>
            <w:rFonts w:ascii="Noto Sans CJK SC" w:hAnsi="Noto Sans CJK SC" w:eastAsia="Noto Sans CJK SC"/>
          </w:rPr>
          <w:t>[R57]</w:t>
        </w:r>
      </w:hyperlink>
      <w:r>
        <w:rPr>
          <w:sz w:val="19"/>
        </w:rPr>
        <w:t xml:space="preserve"> NVIDIA Vulkan 驱动支持页面。租用训练实例前另核验仿真图形栈。</w:t>
      </w:r>
    </w:p>
    <w:sectPr w:rsidR="00FC693F" w:rsidRPr="0006063C" w:rsidSect="00034616">
      <w:footerReference w:type="default" r:id="rId9"/>
      <w:pgSz w:w="12240" w:h="15840"/>
      <w:pgMar w:top="950" w:right="1037" w:bottom="893" w:left="1037" w:header="360"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智能驾驶研究方案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kinsoku w:val="1"/>
      <w:overflowPunct w:val="1"/>
      <w:wordWrap w:val="1"/>
    </w:pPr>
    <w:rPr>
      <w:rFonts w:ascii="Noto Sans CJK SC" w:hAnsi="Noto Sans CJK SC" w:eastAsia="Noto Sans CJK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kinsoku w:val="1"/>
      <w:overflowPunct w:val="1"/>
      <w:wordWrap w:val="1"/>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kinsoku w:val="1"/>
      <w:overflowPunct w:val="1"/>
      <w:wordWrap w:val="1"/>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line="264" w:lineRule="auto"/>
      <w:outlineLvl w:val="0"/>
      <w:kinsoku w:val="1"/>
      <w:overflowPunct w:val="1"/>
      <w:wordWrap w:val="1"/>
    </w:pPr>
    <w:rPr>
      <w:rFonts w:asciiTheme="majorHAnsi" w:eastAsiaTheme="majorEastAsia" w:hAnsiTheme="majorHAnsi" w:cstheme="majorBidi" w:ascii="Noto Sans CJK SC" w:hAnsi="Noto Sans CJK SC" w:eastAsia="Noto Sans CJK SC"/>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20" w:line="264" w:lineRule="auto"/>
      <w:outlineLvl w:val="1"/>
      <w:kinsoku w:val="1"/>
      <w:overflowPunct w:val="1"/>
      <w:wordWrap w:val="1"/>
    </w:pPr>
    <w:rPr>
      <w:rFonts w:asciiTheme="majorHAnsi" w:eastAsiaTheme="majorEastAsia" w:hAnsiTheme="majorHAnsi" w:cstheme="majorBidi" w:ascii="Noto Sans CJK SC" w:hAnsi="Noto Sans CJK SC" w:eastAsia="Noto Sans CJK SC"/>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120" w:line="264" w:lineRule="auto"/>
      <w:outlineLvl w:val="2"/>
      <w:kinsoku w:val="1"/>
      <w:overflowPunct w:val="1"/>
      <w:wordWrap w:val="1"/>
    </w:pPr>
    <w:rPr>
      <w:rFonts w:asciiTheme="majorHAnsi" w:eastAsiaTheme="majorEastAsia" w:hAnsiTheme="majorHAnsi" w:cstheme="majorBidi" w:ascii="Noto Sans CJK SC" w:hAnsi="Noto Sans CJK SC" w:eastAsia="Noto Sans CJK S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kinsoku w:val="1"/>
      <w:overflowPunct w:val="1"/>
      <w:wordWrap w:val="1"/>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kinsoku w:val="1"/>
      <w:overflowPunct w:val="1"/>
      <w:wordWrap w:val="1"/>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kinsoku w:val="1"/>
      <w:overflowPunct w:val="1"/>
      <w:wordWrap w:val="1"/>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kinsoku w:val="1"/>
      <w:overflowPunct w:val="1"/>
      <w:wordWrap w:val="1"/>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kinsoku w:val="1"/>
      <w:overflowPunct w:val="1"/>
      <w:wordWrap w:val="1"/>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kinsoku w:val="1"/>
      <w:overflowPunct w:val="1"/>
      <w:wordWrap w:val="1"/>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kinsoku w:val="1"/>
      <w:overflowPunct w:val="1"/>
      <w:wordWrap w:val="1"/>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64" w:lineRule="auto"/>
      <w:contextualSpacing/>
      <w:kinsoku w:val="1"/>
      <w:overflowPunct w:val="1"/>
      <w:wordWrap w:val="1"/>
    </w:pPr>
    <w:rPr>
      <w:rFonts w:asciiTheme="majorHAnsi" w:eastAsiaTheme="majorEastAsia" w:hAnsiTheme="majorHAnsi" w:cstheme="majorBidi" w:ascii="Noto Sans CJK SC" w:hAnsi="Noto Sans CJK SC" w:eastAsia="Noto Sans CJK SC"/>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line="264" w:lineRule="auto"/>
      <w:kinsoku w:val="1"/>
      <w:overflowPunct w:val="1"/>
      <w:wordWrap w:val="1"/>
    </w:pPr>
    <w:rPr>
      <w:rFonts w:asciiTheme="majorHAnsi" w:eastAsiaTheme="majorEastAsia" w:hAnsiTheme="majorHAnsi" w:cstheme="majorBidi" w:ascii="Noto Sans CJK SC" w:hAnsi="Noto Sans CJK SC" w:eastAsia="Noto Sans CJK SC"/>
      <w:i w:val="0"/>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kinsoku w:val="1"/>
      <w:overflowPunct w:val="1"/>
      <w:wordWrap w:val="1"/>
    </w:pPr>
  </w:style>
  <w:style w:type="paragraph" w:styleId="BodyText">
    <w:name w:val="Body Text"/>
    <w:basedOn w:val="Normal"/>
    <w:link w:val="BodyTextChar"/>
    <w:uiPriority w:val="99"/>
    <w:unhideWhenUsed/>
    <w:rsid w:val="00AA1D8D"/>
    <w:pPr>
      <w:spacing w:after="120"/>
      <w:kinsoku w:val="1"/>
      <w:overflowPunct w:val="1"/>
      <w:wordWrap w:val="1"/>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kinsoku w:val="1"/>
      <w:overflowPunct w:val="1"/>
      <w:wordWrap w:val="1"/>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kinsoku w:val="1"/>
      <w:overflowPunct w:val="1"/>
      <w:wordWrap w:val="1"/>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kinsoku w:val="1"/>
      <w:overflowPunct w:val="1"/>
      <w:wordWrap w:val="1"/>
    </w:pPr>
  </w:style>
  <w:style w:type="paragraph" w:styleId="List2">
    <w:name w:val="List 2"/>
    <w:basedOn w:val="Normal"/>
    <w:uiPriority w:val="99"/>
    <w:unhideWhenUsed/>
    <w:rsid w:val="00326F90"/>
    <w:pPr>
      <w:ind w:left="720" w:hanging="360"/>
      <w:contextualSpacing/>
      <w:kinsoku w:val="1"/>
      <w:overflowPunct w:val="1"/>
      <w:wordWrap w:val="1"/>
    </w:pPr>
  </w:style>
  <w:style w:type="paragraph" w:styleId="List3">
    <w:name w:val="List 3"/>
    <w:basedOn w:val="Normal"/>
    <w:uiPriority w:val="99"/>
    <w:unhideWhenUsed/>
    <w:rsid w:val="00326F90"/>
    <w:pPr>
      <w:ind w:left="1080" w:hanging="360"/>
      <w:contextualSpacing/>
      <w:kinsoku w:val="1"/>
      <w:overflowPunct w:val="1"/>
      <w:wordWrap w:val="1"/>
    </w:pPr>
  </w:style>
  <w:style w:type="paragraph" w:styleId="ListBullet">
    <w:name w:val="List Bullet"/>
    <w:basedOn w:val="Normal"/>
    <w:uiPriority w:val="99"/>
    <w:unhideWhenUsed/>
    <w:rsid w:val="00326F90"/>
    <w:pPr>
      <w:numPr>
        <w:numId w:val="1"/>
      </w:numPr>
      <w:spacing w:after="100" w:line="264" w:lineRule="auto"/>
      <w:contextualSpacing/>
      <w:kinsoku w:val="1"/>
      <w:overflowPunct w:val="1"/>
      <w:wordWrap w:val="1"/>
    </w:pPr>
    <w:rPr>
      <w:rFonts w:ascii="Noto Sans CJK SC" w:hAnsi="Noto Sans CJK SC" w:eastAsia="Noto Sans CJK SC"/>
      <w:color w:val="000000"/>
      <w:sz w:val="21"/>
    </w:rPr>
  </w:style>
  <w:style w:type="paragraph" w:styleId="ListBullet2">
    <w:name w:val="List Bullet 2"/>
    <w:basedOn w:val="Normal"/>
    <w:uiPriority w:val="99"/>
    <w:unhideWhenUsed/>
    <w:rsid w:val="00326F90"/>
    <w:pPr>
      <w:numPr>
        <w:numId w:val="2"/>
      </w:numPr>
      <w:contextualSpacing/>
      <w:kinsoku w:val="1"/>
      <w:overflowPunct w:val="1"/>
      <w:wordWrap w:val="1"/>
    </w:pPr>
  </w:style>
  <w:style w:type="paragraph" w:styleId="ListBullet3">
    <w:name w:val="List Bullet 3"/>
    <w:basedOn w:val="Normal"/>
    <w:uiPriority w:val="99"/>
    <w:unhideWhenUsed/>
    <w:rsid w:val="00326F90"/>
    <w:pPr>
      <w:numPr>
        <w:numId w:val="3"/>
      </w:numPr>
      <w:contextualSpacing/>
      <w:kinsoku w:val="1"/>
      <w:overflowPunct w:val="1"/>
      <w:wordWrap w:val="1"/>
    </w:pPr>
  </w:style>
  <w:style w:type="paragraph" w:styleId="ListNumber">
    <w:name w:val="List Number"/>
    <w:basedOn w:val="Normal"/>
    <w:uiPriority w:val="99"/>
    <w:unhideWhenUsed/>
    <w:rsid w:val="00326F90"/>
    <w:pPr>
      <w:numPr>
        <w:numId w:val="5"/>
      </w:numPr>
      <w:spacing w:after="100" w:line="264" w:lineRule="auto"/>
      <w:contextualSpacing/>
      <w:kinsoku w:val="1"/>
      <w:overflowPunct w:val="1"/>
      <w:wordWrap w:val="1"/>
    </w:pPr>
    <w:rPr>
      <w:rFonts w:ascii="Noto Sans CJK SC" w:hAnsi="Noto Sans CJK SC" w:eastAsia="Noto Sans CJK SC"/>
      <w:color w:val="000000"/>
      <w:sz w:val="21"/>
    </w:rPr>
  </w:style>
  <w:style w:type="paragraph" w:styleId="ListNumber2">
    <w:name w:val="List Number 2"/>
    <w:basedOn w:val="Normal"/>
    <w:uiPriority w:val="99"/>
    <w:unhideWhenUsed/>
    <w:rsid w:val="0029639D"/>
    <w:pPr>
      <w:numPr>
        <w:numId w:val="6"/>
      </w:numPr>
      <w:contextualSpacing/>
      <w:kinsoku w:val="1"/>
      <w:overflowPunct w:val="1"/>
      <w:wordWrap w:val="1"/>
    </w:pPr>
  </w:style>
  <w:style w:type="paragraph" w:styleId="ListNumber3">
    <w:name w:val="List Number 3"/>
    <w:basedOn w:val="Normal"/>
    <w:uiPriority w:val="99"/>
    <w:unhideWhenUsed/>
    <w:rsid w:val="0029639D"/>
    <w:pPr>
      <w:numPr>
        <w:numId w:val="7"/>
      </w:numPr>
      <w:contextualSpacing/>
      <w:kinsoku w:val="1"/>
      <w:overflowPunct w:val="1"/>
      <w:wordWrap w:val="1"/>
    </w:pPr>
  </w:style>
  <w:style w:type="paragraph" w:styleId="ListContinue">
    <w:name w:val="List Continue"/>
    <w:basedOn w:val="Normal"/>
    <w:uiPriority w:val="99"/>
    <w:unhideWhenUsed/>
    <w:rsid w:val="0029639D"/>
    <w:pPr>
      <w:spacing w:after="120"/>
      <w:ind w:left="360"/>
      <w:contextualSpacing/>
      <w:kinsoku w:val="1"/>
      <w:overflowPunct w:val="1"/>
      <w:wordWrap w:val="1"/>
    </w:pPr>
  </w:style>
  <w:style w:type="paragraph" w:styleId="ListContinue2">
    <w:name w:val="List Continue 2"/>
    <w:basedOn w:val="Normal"/>
    <w:uiPriority w:val="99"/>
    <w:unhideWhenUsed/>
    <w:rsid w:val="0029639D"/>
    <w:pPr>
      <w:spacing w:after="120"/>
      <w:ind w:left="720"/>
      <w:contextualSpacing/>
      <w:kinsoku w:val="1"/>
      <w:overflowPunct w:val="1"/>
      <w:wordWrap w:val="1"/>
    </w:pPr>
  </w:style>
  <w:style w:type="paragraph" w:styleId="ListContinue3">
    <w:name w:val="List Continue 3"/>
    <w:basedOn w:val="Normal"/>
    <w:uiPriority w:val="99"/>
    <w:unhideWhenUsed/>
    <w:rsid w:val="0029639D"/>
    <w:pPr>
      <w:spacing w:after="120"/>
      <w:ind w:left="1080"/>
      <w:contextualSpacing/>
      <w:kinsoku w:val="1"/>
      <w:overflowPunct w:val="1"/>
      <w:wordWrap w:val="1"/>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kinsoku w:val="1"/>
      <w:overflowPunct w:val="1"/>
      <w:wordWrap w:val="1"/>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kinsoku w:val="1"/>
      <w:overflowPunct w:val="1"/>
      <w:wordWrap w:val="1"/>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100"/>
      <w:kinsoku w:val="1"/>
      <w:overflowPunct w:val="1"/>
      <w:wordWrap w:val="1"/>
    </w:pPr>
    <w:rPr>
      <w:rFonts w:ascii="Noto Sans CJK SC" w:hAnsi="Noto Sans CJK SC" w:eastAsia="Noto Sans CJK SC"/>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kinsoku w:val="1"/>
      <w:overflowPunct w:val="1"/>
      <w:wordWrap w:val="1"/>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kinsoku w:val="1"/>
      <w:overflowPunct w:val="1"/>
      <w:wordWrap w:val="1"/>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stable-baselines3.readthedocs.io/en/master/modules/ppo.html" TargetMode="External"/><Relationship Id="rId11" Type="http://schemas.openxmlformats.org/officeDocument/2006/relationships/hyperlink" Target="https://docs.pytorch.org/tutorials/intermediate/ddp_tutorial.html" TargetMode="External"/><Relationship Id="rId12" Type="http://schemas.openxmlformats.org/officeDocument/2006/relationships/hyperlink" Target="https://www.nvidia.com/en-us/geforce/graphics-cards/30-series/rtx-3090-3090ti/" TargetMode="External"/><Relationship Id="rId13" Type="http://schemas.openxmlformats.org/officeDocument/2006/relationships/hyperlink" Target="https://www.nvidia.com/en-au/geforce/graphics-cards/40-series/rtx-4090/" TargetMode="External"/><Relationship Id="rId14" Type="http://schemas.openxmlformats.org/officeDocument/2006/relationships/hyperlink" Target="https://www.nvidia.com/en-gb/data-center/a100/" TargetMode="External"/><Relationship Id="rId15" Type="http://schemas.openxmlformats.org/officeDocument/2006/relationships/hyperlink" Target="https://arxiv.org/abs/1707.06347" TargetMode="External"/><Relationship Id="rId16" Type="http://schemas.openxmlformats.org/officeDocument/2006/relationships/hyperlink" Target="https://www.nature.com/articles/s41586-025-08744-2" TargetMode="External"/><Relationship Id="rId17" Type="http://schemas.openxmlformats.org/officeDocument/2006/relationships/hyperlink" Target="https://arxiv.org/abs/1705.10528" TargetMode="External"/><Relationship Id="rId18" Type="http://schemas.openxmlformats.org/officeDocument/2006/relationships/hyperlink" Target="https://omnisafe.readthedocs.io/en/latest/saferl/lag.html" TargetMode="External"/><Relationship Id="rId19" Type="http://schemas.openxmlformats.org/officeDocument/2006/relationships/hyperlink" Target="https://ojs.aaai.org/index.php/AAAI/article/view/11797" TargetMode="External"/><Relationship Id="rId20" Type="http://schemas.openxmlformats.org/officeDocument/2006/relationships/hyperlink" Target="https://metadrive-simulator.readthedocs.io/en/latest/training.html" TargetMode="External"/><Relationship Id="rId21" Type="http://schemas.openxmlformats.org/officeDocument/2006/relationships/hyperlink" Target="https://metadrive-simulator.readthedocs.io/en/latest/obs.html" TargetMode="External"/><Relationship Id="rId22" Type="http://schemas.openxmlformats.org/officeDocument/2006/relationships/hyperlink" Target="https://highway-env.farama.org/dynamics/vehicle/behavior/" TargetMode="External"/><Relationship Id="rId23" Type="http://schemas.openxmlformats.org/officeDocument/2006/relationships/hyperlink" Target="https://highway-env.farama.org/environments/" TargetMode="External"/><Relationship Id="rId24" Type="http://schemas.openxmlformats.org/officeDocument/2006/relationships/hyperlink" Target="https://highway-env.farama.org/actions/" TargetMode="External"/><Relationship Id="rId25" Type="http://schemas.openxmlformats.org/officeDocument/2006/relationships/hyperlink" Target="https://highway-env.farama.org/environments/merge/" TargetMode="External"/><Relationship Id="rId26" Type="http://schemas.openxmlformats.org/officeDocument/2006/relationships/hyperlink" Target="https://gymnasium.farama.org/tutorials/gymnasium_basics/handling_time_limits/" TargetMode="External"/><Relationship Id="rId27" Type="http://schemas.openxmlformats.org/officeDocument/2006/relationships/hyperlink" Target="https://arxiv.org/abs/1805.12114" TargetMode="External"/><Relationship Id="rId28" Type="http://schemas.openxmlformats.org/officeDocument/2006/relationships/hyperlink" Target="https://arxiv.org/abs/1906.08253" TargetMode="External"/><Relationship Id="rId29" Type="http://schemas.openxmlformats.org/officeDocument/2006/relationships/hyperlink" Target="https://github.com/danijar/dreamerv3" TargetMode="External"/><Relationship Id="rId30" Type="http://schemas.openxmlformats.org/officeDocument/2006/relationships/hyperlink" Target="https://arxiv.org/abs/2310.16828" TargetMode="External"/><Relationship Id="rId31" Type="http://schemas.openxmlformats.org/officeDocument/2006/relationships/hyperlink" Target="https://github.com/nicklashansen/tdmpc2" TargetMode="External"/><Relationship Id="rId32" Type="http://schemas.openxmlformats.org/officeDocument/2006/relationships/hyperlink" Target="https://arxiv.org/abs/2307.07176" TargetMode="External"/><Relationship Id="rId33" Type="http://schemas.openxmlformats.org/officeDocument/2006/relationships/hyperlink" Target="https://github.com/PKU-Alignment/SafeDreamer" TargetMode="External"/><Relationship Id="rId34" Type="http://schemas.openxmlformats.org/officeDocument/2006/relationships/hyperlink" Target="https://arxiv.org/abs/2108.08265" TargetMode="External"/><Relationship Id="rId35" Type="http://schemas.openxmlformats.org/officeDocument/2006/relationships/hyperlink" Target="https://github.com/zhejz/carla-roach" TargetMode="External"/><Relationship Id="rId36" Type="http://schemas.openxmlformats.org/officeDocument/2006/relationships/hyperlink" Target="https://arxiv.org/html/2402.16720v2" TargetMode="External"/><Relationship Id="rId37" Type="http://schemas.openxmlformats.org/officeDocument/2006/relationships/hyperlink" Target="https://github.com/ucd-dare/CarDreamer" TargetMode="External"/><Relationship Id="rId38" Type="http://schemas.openxmlformats.org/officeDocument/2006/relationships/hyperlink" Target="https://proceedings.iclr.cc/paper_files/paper/2025/hash/d4c745dcbaf8ef0d7e145754e31b1516-Abstract-Conference.html" TargetMode="External"/><Relationship Id="rId39" Type="http://schemas.openxmlformats.org/officeDocument/2006/relationships/hyperlink" Target="https://papers.neurips.cc/paper_files/paper/2025/hash/c2915bc5961edb04e209a524ec167522-Abstract-Conference.html" TargetMode="External"/><Relationship Id="rId40" Type="http://schemas.openxmlformats.org/officeDocument/2006/relationships/hyperlink" Target="https://github.com/Thinklab-SJTU/Raw2Drive" TargetMode="External"/><Relationship Id="rId41" Type="http://schemas.openxmlformats.org/officeDocument/2006/relationships/hyperlink" Target="https://ojs.aaai.org/index.php/AAAI/article/view/38149" TargetMode="External"/><Relationship Id="rId42" Type="http://schemas.openxmlformats.org/officeDocument/2006/relationships/hyperlink" Target="https://github.com/OpenDriveLab/Vista" TargetMode="External"/><Relationship Id="rId43" Type="http://schemas.openxmlformats.org/officeDocument/2006/relationships/hyperlink" Target="https://proceedings.mlr.press/v119/stooke20a.html" TargetMode="External"/><Relationship Id="rId44" Type="http://schemas.openxmlformats.org/officeDocument/2006/relationships/hyperlink" Target="https://papers.nips.cc/paper_files/paper/2021/hash/73b277c11266681122132d024f53a75b-Abstract.html" TargetMode="External"/><Relationship Id="rId45" Type="http://schemas.openxmlformats.org/officeDocument/2006/relationships/hyperlink" Target="https://arxiv.org/abs/2201.09802" TargetMode="External"/><Relationship Id="rId46" Type="http://schemas.openxmlformats.org/officeDocument/2006/relationships/hyperlink" Target="https://proceedings.neurips.cc/paper_files/paper/2022/hash/9a8eb202c060b7d81f5889631cbcd47e-Abstract-Conference.html" TargetMode="External"/><Relationship Id="rId47" Type="http://schemas.openxmlformats.org/officeDocument/2006/relationships/hyperlink" Target="https://github.com/PKU-Alignment/omnisafe" TargetMode="External"/><Relationship Id="rId48" Type="http://schemas.openxmlformats.org/officeDocument/2006/relationships/hyperlink" Target="https://github.com/PKU-Alignment/safety-gymnasium" TargetMode="External"/><Relationship Id="rId49" Type="http://schemas.openxmlformats.org/officeDocument/2006/relationships/hyperlink" Target="https://arxiv.org/abs/1903.11199" TargetMode="External"/><Relationship Id="rId50" Type="http://schemas.openxmlformats.org/officeDocument/2006/relationships/hyperlink" Target="https://raw.githubusercontent.com/PKU-Alignment/SafeDreamer/main/SafeDreamer/configs.yaml" TargetMode="External"/><Relationship Id="rId51" Type="http://schemas.openxmlformats.org/officeDocument/2006/relationships/hyperlink" Target="https://raw.githubusercontent.com/PKU-Alignment/SafeDreamer/main/SafeDreamer/behaviors.py" TargetMode="External"/><Relationship Id="rId52" Type="http://schemas.openxmlformats.org/officeDocument/2006/relationships/hyperlink" Target="https://metadrive-simulator.readthedocs.io/en/latest/action.html" TargetMode="External"/><Relationship Id="rId53" Type="http://schemas.openxmlformats.org/officeDocument/2006/relationships/hyperlink" Target="https://github.com/metadriverse/metadrive/blob/main/metadrive/envs/safe_metadrive_env.py" TargetMode="External"/><Relationship Id="rId54" Type="http://schemas.openxmlformats.org/officeDocument/2006/relationships/hyperlink" Target="https://arxiv.org/abs/2108.13264" TargetMode="External"/><Relationship Id="rId55" Type="http://schemas.openxmlformats.org/officeDocument/2006/relationships/hyperlink" Target="https://github.com/google-research/rliable" TargetMode="External"/><Relationship Id="rId56" Type="http://schemas.openxmlformats.org/officeDocument/2006/relationships/hyperlink" Target="https://carla.readthedocs.io/en/latest/adv_rendering_options/" TargetMode="External"/><Relationship Id="rId57" Type="http://schemas.openxmlformats.org/officeDocument/2006/relationships/hyperlink" Target="https://docs.jax.dev/en/latest/gpu_memory_allocation.html" TargetMode="External"/><Relationship Id="rId58" Type="http://schemas.openxmlformats.org/officeDocument/2006/relationships/hyperlink" Target="https://developer.nvidia.com/vulkan-driver" TargetMode="External"/><Relationship Id="rId59" Type="http://schemas.openxmlformats.org/officeDocument/2006/relationships/hyperlink" Target="https://docs.nvidia.com/deeplearning/tensorrt/latest/performance/benchmarking.html" TargetMode="External"/><Relationship Id="rId60" Type="http://schemas.openxmlformats.org/officeDocument/2006/relationships/hyperlink" Target="https://autowarefoundation.github.io/autoware-documentation/latest/design/autoware-architecture/vehicle/" TargetMode="External"/><Relationship Id="rId61" Type="http://schemas.openxmlformats.org/officeDocument/2006/relationships/hyperlink" Target="https://carla.readthedocs.io/en/latest/adv_synchrony_timestep/" TargetMode="External"/><Relationship Id="rId62" Type="http://schemas.openxmlformats.org/officeDocument/2006/relationships/hyperlink" Target="https://github.com/Thinklab-SJTU/Bench2Drive" TargetMode="External"/><Relationship Id="rId63" Type="http://schemas.openxmlformats.org/officeDocument/2006/relationships/hyperlink" Target="https://metadrive-simulator.readthedocs.io/en/latest/reward_cost_done.html" TargetMode="External"/><Relationship Id="rId64" Type="http://schemas.openxmlformats.org/officeDocument/2006/relationships/hyperlink" Target="https://metadrive-simulator.readthedocs.io/en/latest/rl_environments.html" TargetMode="External"/><Relationship Id="rId65" Type="http://schemas.openxmlformats.org/officeDocument/2006/relationships/hyperlink" Target="https://leaderboard.carla.org/evaluation_v2_1/" TargetMode="External"/><Relationship Id="rId66" Type="http://schemas.openxmlformats.org/officeDocument/2006/relationships/hyperlink" Target="https://carla.readthedocs.io/en/latest/start_quicksta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智能驾驶强化学习研究报告</dc:title>
  <dc:subject>智能驾驶 PPO 世界模型与安全强化学习研究路线</dc:subject>
  <dc:creator/>
  <cp:keywords>PPO,world model,safe reinforcement learning,autonomous driving</cp:keywords>
  <dc:description>generated by python-docx</dc:description>
  <cp:lastModifiedBy/>
  <cp:revision>1</cp:revision>
  <dcterms:created xsi:type="dcterms:W3CDTF">2013-12-23T23:15:00Z</dcterms:created>
  <dcterms:modified xsi:type="dcterms:W3CDTF">2013-12-23T23:15:00Z</dcterms:modified>
  <cp:category/>
</cp:coreProperties>
</file>