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Software Requirements Specification (SRS) - V2</w:t>
      </w:r>
    </w:p>
    <w:p>
      <w:r>
        <w:t>Project Name: Autonomous AI Executive Assistant (V2 Architecture)</w:t>
      </w:r>
    </w:p>
    <w:p>
      <w:r>
        <w:t>Target Role: Executive Assistant (Tech Startup)</w:t>
      </w:r>
    </w:p>
    <w:p>
      <w:r>
        <w:t>Version: 2.0 (Revised for Advanced Engineering Standards)</w:t>
        <w:br/>
      </w:r>
    </w:p>
    <w:p>
      <w:pPr>
        <w:pStyle w:val="Heading1"/>
      </w:pPr>
      <w:r>
        <w:t>1. Introduction &amp; Upgraded Scope</w:t>
      </w:r>
    </w:p>
    <w:p>
      <w:r>
        <w:t>This V2 specification elevates the AI Executive Assistant from a basic transactional chatbot into a context-aware, event-driven autonomous agent. It introduces long-term memory, multi-step agentic reasoning, and real-time webhook integrations to demonstrate robust full-stack software engineering practices.</w:t>
      </w:r>
    </w:p>
    <w:p>
      <w:pPr>
        <w:pStyle w:val="Heading1"/>
      </w:pPr>
      <w:r>
        <w:t>2. High-Level Architecture &amp; Tech Stack</w:t>
      </w:r>
    </w:p>
    <w:p>
      <w:pPr>
        <w:pStyle w:val="ListBullet"/>
      </w:pPr>
      <w:r>
        <w:t>• Frontend: React/Vue with WebSockets (Socket.io) for real-time streaming of the agent's execution states and background tasks.</w:t>
      </w:r>
    </w:p>
    <w:p>
      <w:pPr>
        <w:pStyle w:val="ListBullet"/>
      </w:pPr>
      <w:r>
        <w:t>• Backend: Node.js/Python utilizing an Agentic Loop (ReAct framework) for dynamic tool selection, rather than linear API routes.</w:t>
      </w:r>
    </w:p>
    <w:p>
      <w:pPr>
        <w:pStyle w:val="ListBullet"/>
      </w:pPr>
      <w:r>
        <w:t>• AI Engine: Gemini 2.5 Flash API for reasoning, entity extraction, and dynamic tool calling.</w:t>
      </w:r>
    </w:p>
    <w:p>
      <w:pPr>
        <w:pStyle w:val="ListBullet"/>
      </w:pPr>
      <w:r>
        <w:t>• State &amp; Memory (RAG): Supabase (Free Tier pgvector) or Pinecone to store executive preferences and contextual history as vector embeddings.</w:t>
      </w:r>
    </w:p>
    <w:p>
      <w:pPr>
        <w:pStyle w:val="ListBullet"/>
      </w:pPr>
      <w:r>
        <w:t>• Event-Driven Infrastructure: Google Calendar Webhooks for instant state updates, deployed on GCP Cloud Run.</w:t>
      </w:r>
    </w:p>
    <w:p>
      <w:pPr>
        <w:pStyle w:val="Heading1"/>
      </w:pPr>
      <w:r>
        <w:t>3. Advanced System Features &amp; Workflows</w:t>
      </w:r>
    </w:p>
    <w:p>
      <w:pPr>
        <w:pStyle w:val="Heading2"/>
      </w:pPr>
      <w:r>
        <w:t>3.1 Multi-Step Agentic Scheduling with Conflict Resolution</w:t>
      </w:r>
    </w:p>
    <w:p>
      <w:r>
        <w:t>• Workflow: When requested to schedule a meeting, the agent queries the Calendar API. If a conflict exists, the AI queries the Vector DB for preference rules (e.g., "Can I move internal syncs for client calls?"). It then autonomously proposes alternate times, requiring only one click from the user to execute the complex reshuffling.</w:t>
      </w:r>
    </w:p>
    <w:p>
      <w:pPr>
        <w:pStyle w:val="Heading2"/>
      </w:pPr>
      <w:r>
        <w:t>3.2 Event-Driven Calendar Webhooks &amp; Contextual Triage</w:t>
      </w:r>
    </w:p>
    <w:p>
      <w:r>
        <w:t>• Workflow: If an attendee declines an invite, a Google Calendar Webhook triggers the backend asynchronously. The AI automatically drafts a rescheduling email via the SendGrid API and streams a real-time notification to the frontend dashboard via WebSockets for the executive to approve.</w:t>
      </w:r>
    </w:p>
    <w:p>
      <w:pPr>
        <w:pStyle w:val="Heading2"/>
      </w:pPr>
      <w:r>
        <w:t>3.3 Long-Term Memory (RAG) Integration</w:t>
      </w:r>
    </w:p>
    <w:p>
      <w:r>
        <w:t>• Workflow: The user can state preferences ("I prefer no meetings before 10 AM"). This is embedded via Gemini and stored in the Vector DB. Future scheduling commands automatically perform a similarity search to inject these constraints into the Gemini prompt context before calling the Calendar API.</w:t>
      </w:r>
    </w:p>
    <w:p>
      <w:pPr>
        <w:pStyle w:val="Heading1"/>
      </w:pPr>
      <w:r>
        <w:t>4. Technical &amp; Non-Functional Constraints</w:t>
      </w:r>
    </w:p>
    <w:p>
      <w:pPr>
        <w:pStyle w:val="ListBullet"/>
      </w:pPr>
      <w:r>
        <w:t>• All infrastructure (GCP Cloud Run, Supabase/Pinecone DB, Gemini API, SendGrid, Calendar) strictly utilizes Always Free tiers to satisfy project limits.</w:t>
      </w:r>
    </w:p>
    <w:p>
      <w:pPr>
        <w:pStyle w:val="ListBullet"/>
      </w:pPr>
      <w:r>
        <w:t>• The system implements robust error handling for API rate limits and external downtime.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