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5D" w:rsidRPr="007A3444" w:rsidRDefault="00A72E00" w:rsidP="007A3444">
      <w:pPr>
        <w:jc w:val="both"/>
        <w:rPr>
          <w:rFonts w:ascii="Century Gothic" w:hAnsi="Century Gothic"/>
        </w:rPr>
      </w:pPr>
      <w:r w:rsidRPr="007A3444">
        <w:rPr>
          <w:rFonts w:ascii="Century Gothic" w:hAnsi="Century Gothic"/>
        </w:rPr>
        <w:t xml:space="preserve">Meta </w:t>
      </w:r>
      <w:proofErr w:type="gramStart"/>
      <w:r w:rsidRPr="007A3444">
        <w:rPr>
          <w:rFonts w:ascii="Century Gothic" w:hAnsi="Century Gothic"/>
        </w:rPr>
        <w:t>5</w:t>
      </w:r>
      <w:proofErr w:type="gramEnd"/>
      <w:r w:rsidRPr="007A3444">
        <w:rPr>
          <w:rFonts w:ascii="Century Gothic" w:hAnsi="Century Gothic"/>
        </w:rPr>
        <w:t xml:space="preserve"> de 2017 – Impulsionar processos à execução – Justiça Estadual Estabelecer política de </w:t>
      </w:r>
      <w:proofErr w:type="spellStart"/>
      <w:r w:rsidRPr="007A3444">
        <w:rPr>
          <w:rFonts w:ascii="Century Gothic" w:hAnsi="Century Gothic"/>
        </w:rPr>
        <w:t>desjudicialização</w:t>
      </w:r>
      <w:proofErr w:type="spellEnd"/>
      <w:r w:rsidRPr="007A3444">
        <w:rPr>
          <w:rFonts w:ascii="Century Gothic" w:hAnsi="Century Gothic"/>
        </w:rPr>
        <w:t xml:space="preserve"> e de enfrentamento do estoque de processos de execução fiscal, até 31/12/2017.</w:t>
      </w:r>
      <w:bookmarkStart w:id="0" w:name="_GoBack"/>
      <w:bookmarkEnd w:id="0"/>
    </w:p>
    <w:p w:rsidR="00A72E00" w:rsidRPr="007A3444" w:rsidRDefault="00A72E00" w:rsidP="007A3444">
      <w:pPr>
        <w:jc w:val="center"/>
        <w:rPr>
          <w:rFonts w:ascii="Century Gothic" w:hAnsi="Century Gothic"/>
          <w:b/>
        </w:rPr>
      </w:pPr>
      <w:r w:rsidRPr="007A3444">
        <w:rPr>
          <w:rFonts w:ascii="Century Gothic" w:hAnsi="Century Gothic"/>
          <w:b/>
        </w:rPr>
        <w:t>Questionário</w:t>
      </w:r>
    </w:p>
    <w:tbl>
      <w:tblPr>
        <w:tblStyle w:val="Tabelacomgrade"/>
        <w:tblW w:w="5456" w:type="pct"/>
        <w:tblInd w:w="-885" w:type="dxa"/>
        <w:tblLook w:val="04A0" w:firstRow="1" w:lastRow="0" w:firstColumn="1" w:lastColumn="0" w:noHBand="0" w:noVBand="1"/>
      </w:tblPr>
      <w:tblGrid>
        <w:gridCol w:w="926"/>
        <w:gridCol w:w="5864"/>
        <w:gridCol w:w="967"/>
        <w:gridCol w:w="1395"/>
        <w:gridCol w:w="1448"/>
      </w:tblGrid>
      <w:tr w:rsidR="0080319C" w:rsidRPr="007A3444" w:rsidTr="0080319C">
        <w:trPr>
          <w:trHeight w:val="255"/>
        </w:trPr>
        <w:tc>
          <w:tcPr>
            <w:tcW w:w="437" w:type="pct"/>
            <w:vMerge w:val="restart"/>
            <w:vAlign w:val="center"/>
          </w:tcPr>
          <w:p w:rsidR="00A72E00" w:rsidRPr="007A3444" w:rsidRDefault="00A72E00">
            <w:pPr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Id.</w:t>
            </w:r>
          </w:p>
        </w:tc>
        <w:tc>
          <w:tcPr>
            <w:tcW w:w="2766" w:type="pct"/>
            <w:vMerge w:val="restart"/>
            <w:vAlign w:val="center"/>
          </w:tcPr>
          <w:p w:rsidR="00A72E00" w:rsidRPr="007A3444" w:rsidRDefault="00A72E00" w:rsidP="007A3444">
            <w:pPr>
              <w:jc w:val="center"/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Perguntas</w:t>
            </w:r>
          </w:p>
        </w:tc>
        <w:tc>
          <w:tcPr>
            <w:tcW w:w="1797" w:type="pct"/>
            <w:gridSpan w:val="3"/>
            <w:vAlign w:val="center"/>
          </w:tcPr>
          <w:p w:rsidR="00A72E00" w:rsidRPr="007A3444" w:rsidRDefault="00A72E00" w:rsidP="007A3444">
            <w:pPr>
              <w:jc w:val="center"/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Período</w:t>
            </w:r>
          </w:p>
        </w:tc>
      </w:tr>
      <w:tr w:rsidR="007A3444" w:rsidRPr="007A3444" w:rsidTr="0080319C">
        <w:trPr>
          <w:trHeight w:val="137"/>
        </w:trPr>
        <w:tc>
          <w:tcPr>
            <w:tcW w:w="437" w:type="pct"/>
            <w:vMerge/>
            <w:vAlign w:val="center"/>
          </w:tcPr>
          <w:p w:rsidR="00A72E00" w:rsidRPr="007A3444" w:rsidRDefault="00A72E00">
            <w:pPr>
              <w:rPr>
                <w:rFonts w:ascii="Century Gothic" w:hAnsi="Century Gothic"/>
              </w:rPr>
            </w:pPr>
          </w:p>
        </w:tc>
        <w:tc>
          <w:tcPr>
            <w:tcW w:w="2766" w:type="pct"/>
            <w:vMerge/>
            <w:vAlign w:val="center"/>
          </w:tcPr>
          <w:p w:rsidR="00A72E00" w:rsidRPr="007A3444" w:rsidRDefault="00A72E00">
            <w:pPr>
              <w:rPr>
                <w:rFonts w:ascii="Century Gothic" w:hAnsi="Century Gothic"/>
              </w:rPr>
            </w:pPr>
          </w:p>
        </w:tc>
        <w:tc>
          <w:tcPr>
            <w:tcW w:w="456" w:type="pct"/>
            <w:vAlign w:val="center"/>
          </w:tcPr>
          <w:p w:rsidR="00A72E00" w:rsidRPr="007A3444" w:rsidRDefault="00A72E00" w:rsidP="007A3444">
            <w:pPr>
              <w:jc w:val="center"/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Junho</w:t>
            </w:r>
          </w:p>
        </w:tc>
        <w:tc>
          <w:tcPr>
            <w:tcW w:w="658" w:type="pct"/>
            <w:vAlign w:val="center"/>
          </w:tcPr>
          <w:p w:rsidR="00A72E00" w:rsidRPr="007A3444" w:rsidRDefault="00A72E00" w:rsidP="007A3444">
            <w:pPr>
              <w:jc w:val="center"/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Setembro</w:t>
            </w:r>
          </w:p>
        </w:tc>
        <w:tc>
          <w:tcPr>
            <w:tcW w:w="684" w:type="pct"/>
            <w:vAlign w:val="center"/>
          </w:tcPr>
          <w:p w:rsidR="00A72E00" w:rsidRPr="007A3444" w:rsidRDefault="00A72E00" w:rsidP="007A3444">
            <w:pPr>
              <w:jc w:val="center"/>
              <w:rPr>
                <w:rFonts w:ascii="Century Gothic" w:hAnsi="Century Gothic"/>
                <w:b/>
              </w:rPr>
            </w:pPr>
            <w:r w:rsidRPr="007A3444">
              <w:rPr>
                <w:rFonts w:ascii="Century Gothic" w:hAnsi="Century Gothic"/>
                <w:b/>
              </w:rPr>
              <w:t>Dezembro</w:t>
            </w:r>
          </w:p>
        </w:tc>
      </w:tr>
      <w:tr w:rsidR="007A3444" w:rsidRPr="007A3444" w:rsidTr="0080319C">
        <w:trPr>
          <w:trHeight w:val="1022"/>
        </w:trPr>
        <w:tc>
          <w:tcPr>
            <w:tcW w:w="437" w:type="pct"/>
            <w:vAlign w:val="center"/>
          </w:tcPr>
          <w:p w:rsidR="00A72E00" w:rsidRPr="007A3444" w:rsidRDefault="007A344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 5.1</w:t>
            </w:r>
          </w:p>
        </w:tc>
        <w:tc>
          <w:tcPr>
            <w:tcW w:w="2766" w:type="pct"/>
            <w:vAlign w:val="center"/>
          </w:tcPr>
          <w:p w:rsidR="00A72E00" w:rsidRPr="007A3444" w:rsidRDefault="00A72E00" w:rsidP="007A3444">
            <w:pPr>
              <w:jc w:val="both"/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O tribunal instituiu formalmente a política de </w:t>
            </w:r>
            <w:proofErr w:type="spellStart"/>
            <w:r w:rsidRPr="007A3444">
              <w:rPr>
                <w:rFonts w:ascii="Century Gothic" w:hAnsi="Century Gothic"/>
              </w:rPr>
              <w:t>desjudicialização</w:t>
            </w:r>
            <w:proofErr w:type="spellEnd"/>
            <w:r w:rsidRPr="007A3444">
              <w:rPr>
                <w:rFonts w:ascii="Century Gothic" w:hAnsi="Century Gothic"/>
              </w:rPr>
              <w:t xml:space="preserve"> e de enfrentamento do estoque de processos de execução fiscal?</w:t>
            </w:r>
          </w:p>
        </w:tc>
        <w:tc>
          <w:tcPr>
            <w:tcW w:w="456" w:type="pct"/>
            <w:vAlign w:val="center"/>
          </w:tcPr>
          <w:p w:rsidR="00A72E00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658" w:type="pct"/>
            <w:vAlign w:val="center"/>
          </w:tcPr>
          <w:p w:rsidR="00A72E00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684" w:type="pct"/>
            <w:vAlign w:val="center"/>
          </w:tcPr>
          <w:p w:rsidR="00A72E00" w:rsidRPr="007A3444" w:rsidRDefault="00A72E00" w:rsidP="007C3A36">
            <w:pPr>
              <w:rPr>
                <w:rFonts w:ascii="Century Gothic" w:hAnsi="Century Gothic"/>
              </w:rPr>
            </w:pPr>
          </w:p>
        </w:tc>
      </w:tr>
      <w:tr w:rsidR="007A3444" w:rsidRPr="007A3444" w:rsidTr="0080319C">
        <w:trPr>
          <w:trHeight w:val="767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5.2</w:t>
            </w:r>
          </w:p>
        </w:tc>
        <w:tc>
          <w:tcPr>
            <w:tcW w:w="2766" w:type="pct"/>
            <w:vAlign w:val="center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>O tribunal monitora o desempenho e garante a transparência da política e de seus resultados?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Não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7A3444" w:rsidRPr="007A3444" w:rsidTr="0080319C">
        <w:trPr>
          <w:trHeight w:val="512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5.3</w:t>
            </w:r>
          </w:p>
        </w:tc>
        <w:tc>
          <w:tcPr>
            <w:tcW w:w="2766" w:type="pct"/>
            <w:vAlign w:val="center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1</w:t>
            </w:r>
            <w:proofErr w:type="gramEnd"/>
            <w:r w:rsidRPr="007A3444">
              <w:rPr>
                <w:rFonts w:ascii="Century Gothic" w:hAnsi="Century Gothic"/>
              </w:rPr>
              <w:t>”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7A3444" w:rsidRPr="007A3444" w:rsidTr="0080319C">
        <w:trPr>
          <w:trHeight w:val="512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5.4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2</w:t>
            </w:r>
            <w:proofErr w:type="gramEnd"/>
            <w:r w:rsidRPr="007A3444">
              <w:rPr>
                <w:rFonts w:ascii="Century Gothic" w:hAnsi="Century Gothic"/>
              </w:rPr>
              <w:t>”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7A3444" w:rsidRPr="007A3444" w:rsidTr="0080319C">
        <w:trPr>
          <w:trHeight w:val="512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5.5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3</w:t>
            </w:r>
            <w:proofErr w:type="gramEnd"/>
            <w:r w:rsidRPr="007A3444">
              <w:rPr>
                <w:rFonts w:ascii="Century Gothic" w:hAnsi="Century Gothic"/>
              </w:rPr>
              <w:t>”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7A3444" w:rsidRPr="007A3444" w:rsidTr="0080319C">
        <w:trPr>
          <w:trHeight w:val="521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5.6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4</w:t>
            </w:r>
            <w:proofErr w:type="gramEnd"/>
            <w:r w:rsidRPr="007A3444">
              <w:rPr>
                <w:rFonts w:ascii="Century Gothic" w:hAnsi="Century Gothic"/>
              </w:rPr>
              <w:t xml:space="preserve">” 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80319C" w:rsidRPr="007A3444" w:rsidTr="0080319C">
        <w:trPr>
          <w:trHeight w:val="512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5.7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5</w:t>
            </w:r>
            <w:proofErr w:type="gramEnd"/>
            <w:r w:rsidRPr="007A3444">
              <w:rPr>
                <w:rFonts w:ascii="Century Gothic" w:hAnsi="Century Gothic"/>
              </w:rPr>
              <w:t xml:space="preserve">” 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80319C" w:rsidRPr="007A3444" w:rsidTr="0080319C">
        <w:trPr>
          <w:trHeight w:val="512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5.8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6</w:t>
            </w:r>
            <w:proofErr w:type="gramEnd"/>
            <w:r w:rsidRPr="007A3444">
              <w:rPr>
                <w:rFonts w:ascii="Century Gothic" w:hAnsi="Century Gothic"/>
              </w:rPr>
              <w:t xml:space="preserve">” 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  <w:tr w:rsidR="0080319C" w:rsidRPr="007A3444" w:rsidTr="0080319C">
        <w:trPr>
          <w:trHeight w:val="521"/>
        </w:trPr>
        <w:tc>
          <w:tcPr>
            <w:tcW w:w="437" w:type="pct"/>
            <w:vAlign w:val="center"/>
          </w:tcPr>
          <w:p w:rsidR="007A3444" w:rsidRDefault="007A3444">
            <w:r>
              <w:rPr>
                <w:rFonts w:ascii="Century Gothic" w:hAnsi="Century Gothic"/>
              </w:rPr>
              <w:t>P 5.9</w:t>
            </w:r>
          </w:p>
        </w:tc>
        <w:tc>
          <w:tcPr>
            <w:tcW w:w="2766" w:type="pct"/>
            <w:vAlign w:val="center"/>
          </w:tcPr>
          <w:p w:rsidR="007A3444" w:rsidRPr="007A3444" w:rsidRDefault="007A3444" w:rsidP="00A72E00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Percentual de realização da iniciativa “Iniciativa </w:t>
            </w:r>
            <w:proofErr w:type="gramStart"/>
            <w:r w:rsidRPr="007A3444">
              <w:rPr>
                <w:rFonts w:ascii="Century Gothic" w:hAnsi="Century Gothic"/>
              </w:rPr>
              <w:t>7</w:t>
            </w:r>
            <w:proofErr w:type="gramEnd"/>
            <w:r w:rsidRPr="007A3444">
              <w:rPr>
                <w:rFonts w:ascii="Century Gothic" w:hAnsi="Century Gothic"/>
              </w:rPr>
              <w:t xml:space="preserve">” </w:t>
            </w:r>
          </w:p>
        </w:tc>
        <w:tc>
          <w:tcPr>
            <w:tcW w:w="456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58" w:type="pct"/>
            <w:vAlign w:val="center"/>
          </w:tcPr>
          <w:p w:rsidR="007A3444" w:rsidRPr="007A3444" w:rsidRDefault="007A3444" w:rsidP="007A344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0%</w:t>
            </w:r>
          </w:p>
        </w:tc>
        <w:tc>
          <w:tcPr>
            <w:tcW w:w="684" w:type="pct"/>
            <w:vAlign w:val="center"/>
          </w:tcPr>
          <w:p w:rsidR="007A3444" w:rsidRPr="007A3444" w:rsidRDefault="007A3444" w:rsidP="007C3A36">
            <w:pPr>
              <w:rPr>
                <w:rFonts w:ascii="Century Gothic" w:hAnsi="Century Gothic"/>
              </w:rPr>
            </w:pPr>
          </w:p>
        </w:tc>
      </w:tr>
    </w:tbl>
    <w:p w:rsidR="00A72E00" w:rsidRPr="007A3444" w:rsidRDefault="00A72E00">
      <w:pPr>
        <w:rPr>
          <w:rFonts w:ascii="Century Gothic" w:hAnsi="Century Gothic"/>
        </w:rPr>
      </w:pPr>
      <w:r w:rsidRPr="007A3444">
        <w:rPr>
          <w:rFonts w:ascii="Century Gothic" w:hAnsi="Century Gothic"/>
        </w:rPr>
        <w:t>Observação: As perguntas devem ser respondidas para o Tribunal.</w:t>
      </w:r>
    </w:p>
    <w:p w:rsidR="00A72E00" w:rsidRPr="007A3444" w:rsidRDefault="00A72E00">
      <w:pPr>
        <w:rPr>
          <w:rFonts w:ascii="Century Gothic" w:hAnsi="Century Gothic"/>
        </w:rPr>
      </w:pPr>
      <w:r w:rsidRPr="007A3444">
        <w:rPr>
          <w:rFonts w:ascii="Century Gothic" w:hAnsi="Century Gothic"/>
        </w:rPr>
        <w:t xml:space="preserve">As iniciativas definidas pelo segmento para a Política da meta </w:t>
      </w:r>
      <w:proofErr w:type="gramStart"/>
      <w:r w:rsidRPr="007A3444">
        <w:rPr>
          <w:rFonts w:ascii="Century Gothic" w:hAnsi="Century Gothic"/>
        </w:rPr>
        <w:t>5</w:t>
      </w:r>
      <w:proofErr w:type="gramEnd"/>
      <w:r w:rsidRPr="007A3444">
        <w:rPr>
          <w:rFonts w:ascii="Century Gothic" w:hAnsi="Century Gothic"/>
        </w:rPr>
        <w:t xml:space="preserve"> de 2017 são:</w:t>
      </w:r>
    </w:p>
    <w:tbl>
      <w:tblPr>
        <w:tblStyle w:val="Tabelacomgrade"/>
        <w:tblW w:w="10349" w:type="dxa"/>
        <w:tblInd w:w="-885" w:type="dxa"/>
        <w:tblLook w:val="04A0" w:firstRow="1" w:lastRow="0" w:firstColumn="1" w:lastColumn="0" w:noHBand="0" w:noVBand="1"/>
      </w:tblPr>
      <w:tblGrid>
        <w:gridCol w:w="1477"/>
        <w:gridCol w:w="8872"/>
      </w:tblGrid>
      <w:tr w:rsidR="007A3444" w:rsidRPr="007A3444" w:rsidTr="0080319C">
        <w:tc>
          <w:tcPr>
            <w:tcW w:w="1477" w:type="dxa"/>
          </w:tcPr>
          <w:p w:rsidR="007A3444" w:rsidRPr="007A3444" w:rsidRDefault="007A3444" w:rsidP="0080319C">
            <w:pPr>
              <w:ind w:left="426" w:hanging="426"/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1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>Realizar pelo menos um mutirão de conciliação das execuções fiscais e extrajudiciais</w:t>
            </w:r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2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 w:rsidP="007A3444">
            <w:pPr>
              <w:tabs>
                <w:tab w:val="left" w:pos="912"/>
              </w:tabs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ab/>
            </w:r>
            <w:r w:rsidRPr="007A3444">
              <w:rPr>
                <w:rFonts w:ascii="Century Gothic" w:hAnsi="Century Gothic"/>
              </w:rPr>
              <w:t>Estimular o protesto de título nas execuções fiscais ajuizadas</w:t>
            </w:r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 w:rsidP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3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Disponibilizar, trimestralmente, no site do Tribunal as receitas recuperadas provenientes das execuções fiscais, até </w:t>
            </w:r>
            <w:proofErr w:type="gramStart"/>
            <w:r w:rsidRPr="007A3444">
              <w:rPr>
                <w:rFonts w:ascii="Century Gothic" w:hAnsi="Century Gothic"/>
              </w:rPr>
              <w:t>31/12/2017</w:t>
            </w:r>
            <w:proofErr w:type="gramEnd"/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4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Construir plano de comunicação para divulgar </w:t>
            </w:r>
            <w:proofErr w:type="gramStart"/>
            <w:r w:rsidRPr="007A3444">
              <w:rPr>
                <w:rFonts w:ascii="Century Gothic" w:hAnsi="Century Gothic"/>
              </w:rPr>
              <w:t>à</w:t>
            </w:r>
            <w:proofErr w:type="gramEnd"/>
            <w:r w:rsidRPr="007A3444">
              <w:rPr>
                <w:rFonts w:ascii="Century Gothic" w:hAnsi="Century Gothic"/>
              </w:rPr>
              <w:t xml:space="preserve"> sociedade todos os benefícios e atividades da meta</w:t>
            </w:r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5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Reduzir o ajuizamento de ações para cobrança de débitos de pequeno valor pelos Estados e Municípios, utilizando-se de formas alternativas de cobrança, como o protesto extrajudicial, diante do custo do trâmite das execuções </w:t>
            </w:r>
            <w:proofErr w:type="gramStart"/>
            <w:r w:rsidRPr="007A3444">
              <w:rPr>
                <w:rFonts w:ascii="Century Gothic" w:hAnsi="Century Gothic"/>
              </w:rPr>
              <w:t>fiscais</w:t>
            </w:r>
            <w:proofErr w:type="gramEnd"/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6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>Criar uma ferramenta de alcance nacional e que permita dar maior eficiência e facilidade na operacionalidade à decretação de indisponibilidade de bens, prevista no art. 185-A do Código Tributário Nacional, como é o caso do Cadastro Nacional de Condenados por Ato de Improbidade Administrativa e por Ato que Implique Inelegibilidade (CNCIAI</w:t>
            </w:r>
            <w:proofErr w:type="gramStart"/>
            <w:r w:rsidRPr="007A3444">
              <w:rPr>
                <w:rFonts w:ascii="Century Gothic" w:hAnsi="Century Gothic"/>
              </w:rPr>
              <w:t>)</w:t>
            </w:r>
            <w:proofErr w:type="gramEnd"/>
          </w:p>
        </w:tc>
      </w:tr>
      <w:tr w:rsidR="007A3444" w:rsidRPr="007A3444" w:rsidTr="0080319C">
        <w:tc>
          <w:tcPr>
            <w:tcW w:w="1477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 xml:space="preserve">Iniciativa </w:t>
            </w:r>
            <w:proofErr w:type="gramStart"/>
            <w:r w:rsidRPr="007A3444">
              <w:rPr>
                <w:rFonts w:ascii="Century Gothic" w:hAnsi="Century Gothic"/>
              </w:rPr>
              <w:t>7</w:t>
            </w:r>
            <w:proofErr w:type="gramEnd"/>
          </w:p>
        </w:tc>
        <w:tc>
          <w:tcPr>
            <w:tcW w:w="8872" w:type="dxa"/>
          </w:tcPr>
          <w:p w:rsidR="007A3444" w:rsidRPr="007A3444" w:rsidRDefault="007A3444">
            <w:pPr>
              <w:rPr>
                <w:rFonts w:ascii="Century Gothic" w:hAnsi="Century Gothic"/>
              </w:rPr>
            </w:pPr>
            <w:r w:rsidRPr="007A3444">
              <w:rPr>
                <w:rFonts w:ascii="Century Gothic" w:hAnsi="Century Gothic"/>
              </w:rPr>
              <w:t>Disponibilizar, na etapa inicial da execução fiscal, as informações dos executados junto ao SERASAJUD, como meio coercitivo ao adimplemento da dívida</w:t>
            </w:r>
            <w:r w:rsidR="0080319C">
              <w:rPr>
                <w:rFonts w:ascii="Century Gothic" w:hAnsi="Century Gothic"/>
              </w:rPr>
              <w:t>.</w:t>
            </w:r>
          </w:p>
        </w:tc>
      </w:tr>
    </w:tbl>
    <w:p w:rsidR="00A72E00" w:rsidRDefault="00A72E00">
      <w:pPr>
        <w:rPr>
          <w:rFonts w:ascii="Century Gothic" w:hAnsi="Century Gothic"/>
        </w:rPr>
      </w:pPr>
    </w:p>
    <w:sectPr w:rsidR="00A72E00" w:rsidSect="00EB33EB">
      <w:headerReference w:type="default" r:id="rId7"/>
      <w:foot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AA0" w:rsidRDefault="00220AA0" w:rsidP="007A3444">
      <w:pPr>
        <w:spacing w:after="0" w:line="240" w:lineRule="auto"/>
      </w:pPr>
      <w:r>
        <w:separator/>
      </w:r>
    </w:p>
  </w:endnote>
  <w:endnote w:type="continuationSeparator" w:id="0">
    <w:p w:rsidR="00220AA0" w:rsidRDefault="00220AA0" w:rsidP="007A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19C" w:rsidRPr="0080319C" w:rsidRDefault="0080319C" w:rsidP="0080319C">
    <w:pPr>
      <w:jc w:val="both"/>
      <w:rPr>
        <w:rFonts w:ascii="Century Gothic" w:hAnsi="Century Gothic"/>
      </w:rPr>
    </w:pPr>
    <w:r>
      <w:rPr>
        <w:rFonts w:ascii="Century Gothic" w:hAnsi="Century Gothic"/>
      </w:rPr>
      <w:t>Para mais informações consultar o Plano de Comunicação.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AA0" w:rsidRDefault="00220AA0" w:rsidP="007A3444">
      <w:pPr>
        <w:spacing w:after="0" w:line="240" w:lineRule="auto"/>
      </w:pPr>
      <w:r>
        <w:separator/>
      </w:r>
    </w:p>
  </w:footnote>
  <w:footnote w:type="continuationSeparator" w:id="0">
    <w:p w:rsidR="00220AA0" w:rsidRDefault="00220AA0" w:rsidP="007A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444" w:rsidRDefault="007A3444">
    <w:pPr>
      <w:pStyle w:val="Cabealho"/>
    </w:pPr>
    <w:r>
      <w:rPr>
        <w:noProof/>
        <w:lang w:eastAsia="pt-BR"/>
      </w:rPr>
      <w:drawing>
        <wp:inline distT="0" distB="0" distL="0" distR="0" wp14:anchorId="1B6E5CB4" wp14:editId="73E72B5F">
          <wp:extent cx="1434095" cy="394077"/>
          <wp:effectExtent l="0" t="0" r="0" b="6350"/>
          <wp:docPr id="1" name="Imagem 1" descr="Resultado de imagem para cn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n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872" cy="394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00"/>
    <w:rsid w:val="00220AA0"/>
    <w:rsid w:val="002A1F49"/>
    <w:rsid w:val="00495C19"/>
    <w:rsid w:val="007A3444"/>
    <w:rsid w:val="0080319C"/>
    <w:rsid w:val="00A72E00"/>
    <w:rsid w:val="00E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3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3444"/>
  </w:style>
  <w:style w:type="paragraph" w:styleId="Rodap">
    <w:name w:val="footer"/>
    <w:basedOn w:val="Normal"/>
    <w:link w:val="RodapChar"/>
    <w:uiPriority w:val="99"/>
    <w:unhideWhenUsed/>
    <w:rsid w:val="007A3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3444"/>
  </w:style>
  <w:style w:type="paragraph" w:styleId="Textodebalo">
    <w:name w:val="Balloon Text"/>
    <w:basedOn w:val="Normal"/>
    <w:link w:val="TextodebaloChar"/>
    <w:uiPriority w:val="99"/>
    <w:semiHidden/>
    <w:unhideWhenUsed/>
    <w:rsid w:val="007A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3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3444"/>
  </w:style>
  <w:style w:type="paragraph" w:styleId="Rodap">
    <w:name w:val="footer"/>
    <w:basedOn w:val="Normal"/>
    <w:link w:val="RodapChar"/>
    <w:uiPriority w:val="99"/>
    <w:unhideWhenUsed/>
    <w:rsid w:val="007A3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3444"/>
  </w:style>
  <w:style w:type="paragraph" w:styleId="Textodebalo">
    <w:name w:val="Balloon Text"/>
    <w:basedOn w:val="Normal"/>
    <w:link w:val="TextodebaloChar"/>
    <w:uiPriority w:val="99"/>
    <w:semiHidden/>
    <w:unhideWhenUsed/>
    <w:rsid w:val="007A3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Symonir de Brito Pessoa</dc:creator>
  <cp:lastModifiedBy>Karine Symonir de Brito Pessoa</cp:lastModifiedBy>
  <cp:revision>4</cp:revision>
  <dcterms:created xsi:type="dcterms:W3CDTF">2017-11-08T20:06:00Z</dcterms:created>
  <dcterms:modified xsi:type="dcterms:W3CDTF">2017-11-08T20:20:00Z</dcterms:modified>
</cp:coreProperties>
</file>