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pkgRId0"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159B158">
      <w:pPr>
        <w:spacing w:before="0" w:after="200" w:line="276"/>
        <w:ind w:left="0" w:right="0"/>
        <w:jc w:val="left"/>
        <w:rPr>
          <w:rFonts w:ascii="Cambria" w:hAnsi="Cambria" w:eastAsia="Cambria" w:cs="Cambria"/>
          <w:color w:val="auto"/>
          <w:spacing w:val="0"/>
          <w:position w:val="0"/>
          <w:sz w:val="22"/>
          <w:shd w:val="clear"/>
        </w:rPr>
      </w:pPr>
      <w:r>
        <w:rPr>
          <w:rFonts w:ascii="Cambria" w:hAnsi="Cambria" w:eastAsia="Cambria" w:cs="Cambria"/>
          <w:b/>
          <w:bCs/>
          <w:spacing w:val="0"/>
          <w:position w:val="0"/>
          <w:sz w:val="36"/>
          <w:szCs w:val="36"/>
        </w:rPr>
        <w:t xml:space="preserve">VNS </w:t>
      </w:r>
      <w:r>
        <w:rPr>
          <w:rFonts w:ascii="Cambria" w:hAnsi="Cambria" w:eastAsia="Cambria" w:cs="Cambria"/>
          <w:b/>
          <w:bCs/>
          <w:spacing w:val="0"/>
          <w:position w:val="0"/>
          <w:sz w:val="36"/>
          <w:szCs w:val="36"/>
        </w:rPr>
        <w:t>—</w:t>
      </w:r>
      <w:r>
        <w:rPr>
          <w:rFonts w:ascii="Cambria" w:hAnsi="Cambria" w:eastAsia="Cambria" w:cs="Cambria"/>
          <w:b/>
          <w:bCs/>
          <w:spacing w:val="0"/>
          <w:position w:val="0"/>
          <w:sz w:val="36"/>
          <w:szCs w:val="36"/>
        </w:rPr>
        <w:t xml:space="preserve"> Custom University Learning Platform </w:t>
      </w:r>
      <w:r>
        <w:rPr>
          <w:rFonts w:ascii="Cambria" w:hAnsi="Cambria" w:eastAsia="Cambria" w:cs="Cambria"/>
          <w:b/>
          <w:bCs/>
          <w:spacing w:val="0"/>
          <w:position w:val="0"/>
          <w:sz w:val="36"/>
          <w:szCs w:val="36"/>
        </w:rPr>
        <w:t>· Team «20/80», Lviv Polytechnic National University</w:t>
      </w:r>
    </w:p>
    <w:p w14:paraId="3ABD8714">
      <w:pPr>
        <w:spacing w:before="0" w:after="200" w:line="276"/>
        <w:ind w:left="0" w:right="0"/>
        <w:jc w:val="left"/>
        <w:rPr>
          <w:rFonts w:ascii="Cambria" w:hAnsi="Cambria" w:eastAsia="Cambria" w:cs="Cambria"/>
          <w:color w:val="auto"/>
          <w:spacing w:val="0"/>
          <w:position w:val="0"/>
          <w:sz w:val="22"/>
          <w:shd w:val="clear"/>
        </w:rPr>
      </w:pPr>
      <w:r>
        <w:rPr>
          <w:rFonts w:ascii="Cambria" w:hAnsi="Cambria" w:eastAsia="Cambria" w:cs="Cambria"/>
          <w:b/>
          <w:bCs/>
          <w:spacing w:val="0"/>
          <w:position w:val="0"/>
          <w:sz w:val="28"/>
          <w:szCs w:val="28"/>
        </w:rPr>
        <w:t>Requirements Classifications:</w:t>
      </w:r>
    </w:p>
    <w:p w14:paraId="04D13D31">
      <w:pPr>
        <w:spacing w:before="0" w:after="200" w:line="276"/>
        <w:ind w:left="0" w:right="0"/>
        <w:jc w:val="left"/>
        <w:rPr>
          <w:rFonts w:ascii="Cambria" w:hAnsi="Cambria" w:eastAsia="Cambria" w:cs="Cambria"/>
          <w:color w:val="auto"/>
          <w:spacing w:val="0"/>
          <w:position w:val="0"/>
          <w:sz w:val="22"/>
          <w:shd w:val="clear"/>
        </w:rPr>
      </w:pPr>
      <w:r>
        <w:rPr>
          <w:rFonts w:ascii="Cambria" w:hAnsi="Cambria" w:eastAsia="Cambria" w:cs="Cambria"/>
          <w:b/>
          <w:bCs/>
          <w:spacing w:val="0"/>
          <w:position w:val="0"/>
          <w:sz w:val="28"/>
          <w:szCs w:val="28"/>
        </w:rPr>
        <w:t>Business requirements:</w:t>
      </w:r>
    </w:p>
    <w:p w14:paraId="53A0B508">
      <w:pPr>
        <w:numPr>
          <w:ilvl w:val="0"/>
          <w:numId w:val="2"/>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Bring course content, deadlines and grades into a single university-owned platform, so that the legacy VNS (Moodle) is completely replaced and students no longer need to check it</w:t>
      </w:r>
    </w:p>
    <w:p w14:paraId="65656534">
      <w:pPr>
        <w:numPr>
          <w:ilvl w:val="0"/>
          <w:numId w:val="2"/>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Move course communication out of messangers into the platform, so that questions, answers and announcements stay searchable and tied to their course.</w:t>
      </w:r>
    </w:p>
    <w:p w14:paraId="143D2C0C">
      <w:pPr>
        <w:numPr>
          <w:ilvl w:val="0"/>
          <w:numId w:val="2"/>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Replace the misleading grade summary with a trustworthy picture (earned / achieved / maximum points per course) and use it to raise the share of on-time submissions in the pilot groups compared with the previous semester.</w:t>
      </w:r>
    </w:p>
    <w:p w14:paraId="098B24DF">
      <w:pPr>
        <w:spacing w:before="0" w:after="200" w:line="276"/>
        <w:ind w:left="0" w:right="0"/>
        <w:jc w:val="left"/>
        <w:rPr>
          <w:rFonts w:ascii="Cambria" w:hAnsi="Cambria" w:eastAsia="Cambria" w:cs="Cambria"/>
          <w:color w:val="auto"/>
          <w:spacing w:val="0"/>
          <w:position w:val="0"/>
          <w:sz w:val="22"/>
          <w:shd w:val="clear"/>
        </w:rPr>
      </w:pPr>
      <w:r>
        <w:rPr>
          <w:rFonts w:ascii="Cambria" w:hAnsi="Cambria" w:eastAsia="Cambria" w:cs="Cambria"/>
          <w:b/>
          <w:bCs/>
          <w:spacing w:val="0"/>
          <w:position w:val="0"/>
          <w:sz w:val="28"/>
          <w:szCs w:val="28"/>
        </w:rPr>
        <w:t>Stakeholder requirements:</w:t>
      </w:r>
    </w:p>
    <w:p w14:paraId="73098FA9">
      <w:pPr>
        <w:numPr>
          <w:ilvl w:val="0"/>
          <w:numId w:val="4"/>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Students and lecturers should have one place for materials, deadlines, grades and course communication.</w:t>
      </w:r>
    </w:p>
    <w:p w14:paraId="197EA3C4">
      <w:pPr>
        <w:numPr>
          <w:ilvl w:val="0"/>
          <w:numId w:val="4"/>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Lecturers and course teams should see who is falling behind and ask fewer repeated questions: activity analytics per group, a Q&amp;A channel with accepted answers, and an AI assistant restricted to the course materials.</w:t>
      </w:r>
    </w:p>
    <w:p w14:paraId="6027F7E3">
      <w:pPr>
        <w:numPr>
          <w:ilvl w:val="0"/>
          <w:numId w:val="4"/>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The sponsor (Lviv Polytechnic) and the Ministry of Education and Science should get a platform that is legally compliant and maintainable in-house: protection of personal data, semester reporting and no dependency on an external LMS vendor.</w:t>
      </w:r>
    </w:p>
    <w:p w14:paraId="2422E00F">
      <w:pPr>
        <w:spacing w:before="0" w:after="200" w:line="276"/>
        <w:ind w:left="0" w:right="0"/>
        <w:jc w:val="left"/>
        <w:rPr>
          <w:rFonts w:ascii="Cambria" w:hAnsi="Cambria" w:eastAsia="Cambria" w:cs="Cambria"/>
          <w:color w:val="auto"/>
          <w:spacing w:val="0"/>
          <w:position w:val="0"/>
          <w:sz w:val="22"/>
          <w:shd w:val="clear"/>
        </w:rPr>
      </w:pPr>
      <w:r>
        <w:rPr>
          <w:rFonts w:ascii="Cambria" w:hAnsi="Cambria" w:eastAsia="Cambria" w:cs="Cambria"/>
          <w:b/>
          <w:bCs/>
          <w:spacing w:val="0"/>
          <w:position w:val="0"/>
          <w:sz w:val="28"/>
          <w:szCs w:val="28"/>
        </w:rPr>
        <w:t>System requirements:</w:t>
      </w:r>
    </w:p>
    <w:p w14:paraId="5230E7BF">
      <w:pPr>
        <w:spacing w:before="0" w:after="200" w:line="276"/>
        <w:ind w:left="0" w:right="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1) Functional (7):</w:t>
      </w:r>
    </w:p>
    <w:p w14:paraId="32DA2043">
      <w:pPr>
        <w:numPr>
          <w:ilvl w:val="0"/>
          <w:numId w:val="6"/>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 xml:space="preserve">A student should be able to log in with a corporate email and password; the initial password (date of birth) must be changed at first login.</w:t>
      </w:r>
      <w:r>
        <w:rPr>
          <w:rFonts w:ascii="Cambria Math" w:hAnsi="Cambria Math" w:eastAsia="Cambria Math" w:cs="Cambria Math"/>
          <w:color w:val="auto"/>
          <w:spacing w:val="0"/>
          <w:position w:val="0"/>
          <w:sz w:val="28"/>
          <w:shd w:val="clear"/>
        </w:rPr>
      </w:r>
      <w:r>
        <w:rPr>
          <w:rFonts w:ascii="Cambria" w:hAnsi="Cambria" w:eastAsia="Cambria" w:cs="Cambria"/>
          <w:color w:val="auto"/>
          <w:spacing w:val="0"/>
          <w:position w:val="0"/>
          <w:sz w:val="28"/>
          <w:shd w:val="clear"/>
        </w:rPr>
      </w:r>
    </w:p>
    <w:p w14:paraId="408B2AFE">
      <w:pPr>
        <w:numPr>
          <w:ilvl w:val="0"/>
          <w:numId w:val="6"/>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 xml:space="preserve">A student should be able to view the schedule, deadlines, grades and a final grade forecast, and receive deadline reminders.</w:t>
      </w:r>
    </w:p>
    <w:p w14:paraId="689DBAD4">
      <w:pPr>
        <w:numPr>
          <w:ilvl w:val="0"/>
          <w:numId w:val="6"/>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 xml:space="preserve">The system should automatically create a chat space with channels for every course and group, with real-time messages, threads and file sharing.</w:t>
      </w:r>
    </w:p>
    <w:p w14:paraId="28660CE9">
      <w:pPr>
        <w:numPr>
          <w:ilvl w:val="0"/>
          <w:numId w:val="6"/>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 xml:space="preserve">Students should be able to create student-only chat groups that are end-to-end encrypted and inaccessible to lecturers and administrators.</w:t>
      </w:r>
    </w:p>
    <w:p w14:paraId="34ACDBE5">
      <w:pPr>
        <w:numPr>
          <w:ilvl w:val="0"/>
          <w:numId w:val="6"/>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 xml:space="preserve">A student should be able to create or join a Study Space by topic and use shared materials and a team task board.</w:t>
      </w:r>
    </w:p>
    <w:p w14:paraId="6F3D25EF">
      <w:pPr>
        <w:numPr>
          <w:ilvl w:val="0"/>
          <w:numId w:val="6"/>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 xml:space="preserve">A student should be able to request a summary, quiz, flashcards or an answer from the AI assistant, with a link to the source material.</w:t>
      </w:r>
    </w:p>
    <w:p w14:paraId="29EA3DDB">
      <w:pPr>
        <w:numPr>
          <w:ilvl w:val="0"/>
          <w:numId w:val="6"/>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 xml:space="preserve">A lecturer should be able to view group activity analytics, and an administrator should be able to get semester statistics.</w:t>
      </w:r>
    </w:p>
    <w:p w14:paraId="42AE2A3A">
      <w:pPr>
        <w:spacing w:before="0" w:after="200" w:line="276"/>
        <w:ind w:left="0" w:right="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2) Non-functional (3):</w:t>
      </w:r>
    </w:p>
    <w:p w14:paraId="26BEBAD4">
      <w:pPr>
        <w:numPr>
          <w:ilvl w:val="0"/>
          <w:numId w:val="8"/>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 xml:space="preserve">Personal data and course content must be protected with role-based access control and hashed passwords, in line with the Law of Ukraine on Personal Data Protection.</w:t>
      </w:r>
    </w:p>
    <w:p w14:paraId="588AB866">
      <w:pPr>
        <w:numPr>
          <w:ilvl w:val="0"/>
          <w:numId w:val="8"/>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cs="Cambria"/>
          <w:spacing w:val="0"/>
          <w:position w:val="0"/>
          <w:sz w:val="28"/>
          <w:szCs w:val="28"/>
        </w:rPr>
        <w:t>The platform must respond within 2 seconds, deliver messages in real time and maintain availiability up to 100 % during the semester except for maintenance periods.</w:t>
      </w:r>
    </w:p>
    <w:p w14:paraId="175FD825">
      <w:pPr>
        <w:numPr>
          <w:ilvl w:val="0"/>
          <w:numId w:val="8"/>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The interface must be mobile-first, installable as a PWA and accessible: WCAG 2.2 AA, keyboard navigation, light and dark themes, UA/EN localization, offline access to downloaded materials and flashcards.</w:t>
      </w:r>
    </w:p>
    <w:p w14:paraId="7C3864AE">
      <w:pPr>
        <w:spacing w:before="0" w:after="200" w:line="276"/>
        <w:ind w:left="0" w:right="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3) Transitional (1, if applicable):</w:t>
      </w:r>
    </w:p>
    <w:p w14:paraId="39AB5AF0">
      <w:pPr>
        <w:numPr>
          <w:ilvl w:val="0"/>
          <w:numId w:val="10"/>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Users and learning resources of the old VNS must be carried over and users onboarded: the existing openEQUELLA repository used by the Moodle-based VNS is transferred once (items, files and metadata) into the new platform's own database so that course materials are preserved, and the student and lecturer accounts (corporate emails, roles, groups) and courses are loaded from the university registry, both before the pilot starts, plus short in-app guides and a help section for the new features.</w:t>
      </w:r>
    </w:p>
    <w:p w14:paraId="5549E8F8">
      <w:pPr>
        <w:spacing w:before="0" w:after="200" w:line="276"/>
        <w:ind w:left="0" w:right="0"/>
        <w:jc w:val="left"/>
        <w:rPr>
          <w:rFonts w:ascii="Cambria" w:hAnsi="Cambria" w:eastAsia="Cambria" w:cs="Cambria"/>
          <w:color w:val="auto"/>
          <w:spacing w:val="0"/>
          <w:position w:val="0"/>
          <w:sz w:val="22"/>
          <w:shd w:val="clear"/>
        </w:rPr>
      </w:pPr>
      <w:r>
        <w:rPr>
          <w:rFonts w:ascii="Cambria" w:hAnsi="Cambria" w:eastAsia="Cambria" w:cs="Cambria"/>
          <w:b/>
          <w:bCs/>
          <w:spacing w:val="0"/>
          <w:position w:val="0"/>
          <w:sz w:val="28"/>
          <w:szCs w:val="28"/>
        </w:rPr>
        <w:t>Assumptions (2):</w:t>
      </w:r>
    </w:p>
    <w:p w14:paraId="13CF92D7">
      <w:pPr>
        <w:numPr>
          <w:ilvl w:val="0"/>
          <w:numId w:val="12"/>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The university registry provides students' and lecturers' corporate emails, groups and course assignments for import, so accounts and courses are created without student registration and without any integration with Moodle.</w:t>
      </w:r>
    </w:p>
    <w:p w14:paraId="3AE4790D">
      <w:pPr>
        <w:numPr>
          <w:ilvl w:val="0"/>
          <w:numId w:val="12"/>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An external LLM API is available and permitted to process course materials, with shared results cached and a daily request limit per user.</w:t>
      </w:r>
    </w:p>
    <w:p w14:paraId="3321A7D4">
      <w:pPr>
        <w:spacing w:before="0" w:after="200" w:line="276"/>
        <w:ind w:left="0" w:right="0"/>
        <w:jc w:val="left"/>
        <w:rPr>
          <w:rFonts w:ascii="Cambria" w:hAnsi="Cambria" w:eastAsia="Cambria" w:cs="Cambria"/>
          <w:color w:val="auto"/>
          <w:spacing w:val="0"/>
          <w:position w:val="0"/>
          <w:sz w:val="22"/>
          <w:shd w:val="clear"/>
        </w:rPr>
      </w:pPr>
      <w:r>
        <w:rPr>
          <w:rFonts w:ascii="Cambria" w:hAnsi="Cambria" w:eastAsia="Cambria" w:cs="Cambria"/>
          <w:b/>
          <w:bCs/>
          <w:spacing w:val="0"/>
          <w:position w:val="0"/>
          <w:sz w:val="28"/>
          <w:szCs w:val="28"/>
        </w:rPr>
        <w:t>Constraints (2):</w:t>
      </w:r>
    </w:p>
    <w:p w14:paraId="7F154707">
      <w:pPr>
        <w:numPr>
          <w:ilvl w:val="0"/>
          <w:numId w:val="14"/>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The team decided on 22/09/2026 to build a custom backend with no ongoing Moodle integration (only the one-time openEQUELLA resource transfer), so all course, group and grade data must be imported or maintained inside the product itself.</w:t>
      </w:r>
    </w:p>
    <w:p w14:paraId="626FE67B">
      <w:pPr>
        <w:numPr>
          <w:ilvl w:val="0"/>
          <w:numId w:val="14"/>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The project is a demonstration study case delivered by a six-person student team by 31/01/2027, under Ukrainian personal data law and academic integrity rules.</w:t>
      </w:r>
    </w:p>
    <w:p w14:paraId="5F4644AB">
      <w:pPr>
        <w:spacing w:before="0" w:after="200" w:line="276"/>
        <w:ind w:left="0" w:right="0"/>
        <w:jc w:val="left"/>
        <w:rPr>
          <w:rFonts w:ascii="Cambria" w:hAnsi="Cambria" w:eastAsia="Cambria" w:cs="Cambria"/>
          <w:color w:val="auto"/>
          <w:spacing w:val="0"/>
          <w:position w:val="0"/>
          <w:sz w:val="22"/>
          <w:shd w:val="clear"/>
        </w:rPr>
      </w:pPr>
      <w:r>
        <w:rPr>
          <w:rFonts w:ascii="Cambria" w:hAnsi="Cambria" w:eastAsia="Cambria" w:cs="Cambria"/>
          <w:b/>
          <w:bCs/>
          <w:spacing w:val="0"/>
          <w:position w:val="0"/>
          <w:sz w:val="28"/>
          <w:szCs w:val="28"/>
        </w:rPr>
        <w:t>Business Rules (2):</w:t>
      </w:r>
    </w:p>
    <w:p w14:paraId="4ABF70A3">
      <w:pPr>
        <w:numPr>
          <w:ilvl w:val="0"/>
          <w:numId w:val="16"/>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The lecturer decides which AI features are enabled for a course or assignment; the AI never writes a complete solution for a graded task and always marks its content as AI-generated.a</w:t>
      </w:r>
    </w:p>
    <w:p w14:paraId="19B54FE0">
      <w:pPr>
        <w:numPr>
          <w:ilvl w:val="0"/>
          <w:numId w:val="16"/>
        </w:numPr>
        <w:tabs>
          <w:tab w:val="left" w:pos="360"/>
        </w:tabs>
        <w:spacing w:before="0" w:after="200" w:line="276"/>
        <w:ind w:left="360" w:right="0" w:hanging="360"/>
        <w:jc w:val="left"/>
        <w:rPr>
          <w:rFonts w:ascii="Cambria" w:hAnsi="Cambria" w:eastAsia="Cambria" w:cs="Cambria"/>
          <w:color w:val="auto"/>
          <w:spacing w:val="0"/>
          <w:position w:val="0"/>
          <w:sz w:val="22"/>
          <w:shd w:val="clear"/>
        </w:rPr>
      </w:pPr>
      <w:r>
        <w:rPr>
          <w:rFonts w:ascii="Cambria" w:hAnsi="Cambria" w:eastAsia="Cambria" w:cs="Cambria"/>
          <w:spacing w:val="0"/>
          <w:position w:val="0"/>
          <w:sz w:val="28"/>
          <w:szCs w:val="28"/>
        </w:rPr>
        <w:t>Official grades are set only by the lecturer: the grade forecast, the AI assistant and any other platform feature can display and explain grades but never change them.</w:t>
      </w: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7">
    <w:lvl w:ilvl="0">
      <w:start w:val="1"/>
      <w:numFmt w:val="decimal"/>
      <w:lvlText w:val="%1."/>
    </w:lvl>
  </w:abstractNum>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3">
    <w:lvl w:ilvl="0">
      <w:start w:val="1"/>
      <w:numFmt w:val="decimal"/>
      <w:lvlText w:val="%1."/>
    </w:lvl>
  </w:abstractNum>
  <w:abstractNum w:abstractNumId="19">
    <w:lvl w:ilvl="0">
      <w:start w:val="1"/>
      <w:numFmt w:val="decimal"/>
      <w:lvlText w:val="%1."/>
    </w:lvl>
  </w:abstractNum>
  <w:abstractNum w:abstractNumId="25">
    <w:lvl w:ilvl="0">
      <w:start w:val="1"/>
      <w:numFmt w:val="decimal"/>
      <w:lvlText w:val="%1."/>
    </w:lvl>
  </w:abstractNum>
  <w:num w:numId="2">
    <w:abstractNumId w:val="25"/>
  </w:num>
  <w:num w:numId="4">
    <w:abstractNumId w:val="19"/>
  </w:num>
  <w:num w:numId="6">
    <w:abstractNumId w:val="12"/>
  </w:num>
  <w:num w:numId="8">
    <w:abstractNumId w:val="6"/>
  </w:num>
  <w:num w:numId="10">
    <w:abstractNumId w:val="0"/>
  </w:num>
  <w:num w:numId="12">
    <w:abstractNumId w:val="13"/>
  </w:num>
  <w:num w:numId="14">
    <w:abstractNumId w:val="7"/>
  </w:num>
  <w:num w:numId="16">
    <w:abstractNumId w:val="1"/>
  </w:num>
</w:numbering>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0" Type="http://schemas.openxmlformats.org/officeDocument/2006/relationships/numbering" Target="numbering.xml"/><Relationship Id="docRId1" Type="http://schemas.openxmlformats.org/officeDocument/2006/relationships/styles" Target="styles.xml"/></Relationships>
</file>