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88f90a8aefe3f3b2a421b03f2744f9496fef502"/>
    <w:p>
      <w:pPr>
        <w:pStyle w:val="Heading1"/>
      </w:pPr>
      <w:r>
        <w:t xml:space="preserve">Aviso Especial de Datos Financieros y Evidencia de Fraude — AlertaCuenta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MVP / Hackathon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[●]</w:t>
      </w:r>
      <w:r>
        <w:br/>
      </w:r>
      <w:r>
        <w:rPr>
          <w:b/>
          <w:bCs/>
        </w:rPr>
        <w:t xml:space="preserve">Entidad responsable:</w:t>
      </w:r>
      <w:r>
        <w:t xml:space="preserve"> </w:t>
      </w:r>
      <w:r>
        <w:t xml:space="preserve">[AlertaCuenta / razón social por definir]</w:t>
      </w:r>
      <w:r>
        <w:br/>
      </w:r>
      <w:r>
        <w:rPr>
          <w:b/>
          <w:bCs/>
        </w:rPr>
        <w:t xml:space="preserve">Canal de contacto:</w:t>
      </w:r>
      <w:r>
        <w:t xml:space="preserve"> </w:t>
      </w:r>
      <w:r>
        <w:t xml:space="preserve">[privacidad@alertacuenta.cl / formulario web]</w:t>
      </w:r>
    </w:p>
    <w:p>
      <w:r>
        <w:pict>
          <v:rect style="width:0;height:1.5pt" o:hralign="center" o:hrstd="t" o:hr="t"/>
        </w:pict>
      </w:r>
    </w:p>
    <w:bookmarkStart w:id="20" w:name="resumen-simple"/>
    <w:p>
      <w:pPr>
        <w:pStyle w:val="Heading2"/>
      </w:pPr>
      <w:r>
        <w:t xml:space="preserve">Resumen simple</w:t>
      </w:r>
    </w:p>
    <w:p>
      <w:pPr>
        <w:pStyle w:val="FirstParagraph"/>
      </w:pPr>
      <w:r>
        <w:t xml:space="preserve">Este Aviso explica qué información puedes compartir con AlertaCuenta cuando enfrentas una urgencia, sospecha o experiencia de fraude financiero, y qué información nunca debes entregar.</w:t>
      </w:r>
    </w:p>
    <w:p>
      <w:pPr>
        <w:pStyle w:val="BodyText"/>
      </w:pPr>
      <w:r>
        <w:t xml:space="preserve">AlertaCuenta puede necesitar antecedentes del caso para ayudarte a ordenar lo ocurrido, identificar medidas urgentes, preparar documentos o sugerir rutas de acción. Pero no necesitamos tus claves ni códigos de seguridad.</w:t>
      </w:r>
    </w:p>
    <w:p>
      <w:pPr>
        <w:pStyle w:val="BlockText"/>
      </w:pPr>
      <w:r>
        <w:rPr>
          <w:b/>
          <w:bCs/>
        </w:rPr>
        <w:t xml:space="preserve">Regla de oro:</w:t>
      </w:r>
      <w:r>
        <w:t xml:space="preserve"> </w:t>
      </w:r>
      <w:r>
        <w:t xml:space="preserve">comparte evidencia, no claves.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ara-qué-existe-este-aviso"/>
    <w:p>
      <w:pPr>
        <w:pStyle w:val="Heading1"/>
      </w:pPr>
      <w:r>
        <w:t xml:space="preserve">1. Para qué existe este Aviso</w:t>
      </w:r>
    </w:p>
    <w:p>
      <w:pPr>
        <w:pStyle w:val="FirstParagraph"/>
      </w:pPr>
      <w:r>
        <w:t xml:space="preserve">Los casos de fraude financiero suelen ocurrir en momentos de alta presión, confusión y urgencia. En ese contexto, muchas personas no saben qué información deben conservar, qué documentos sirven como evidencia ni qué datos pueden ponerlas en mayor riesgo si los comparten.</w:t>
      </w:r>
    </w:p>
    <w:p>
      <w:pPr>
        <w:pStyle w:val="BodyText"/>
      </w:pPr>
      <w:r>
        <w:t xml:space="preserve">Este Aviso busca ayudarte a:</w:t>
      </w:r>
    </w:p>
    <w:p>
      <w:pPr>
        <w:pStyle w:val="Compact"/>
        <w:numPr>
          <w:ilvl w:val="0"/>
          <w:numId w:val="1001"/>
        </w:numPr>
      </w:pPr>
      <w:r>
        <w:t xml:space="preserve">saber qué antecedentes pueden servir para tu caso;</w:t>
      </w:r>
    </w:p>
    <w:p>
      <w:pPr>
        <w:pStyle w:val="Compact"/>
        <w:numPr>
          <w:ilvl w:val="0"/>
          <w:numId w:val="1001"/>
        </w:numPr>
      </w:pPr>
      <w:r>
        <w:t xml:space="preserve">evitar entregar información peligrosa;</w:t>
      </w:r>
    </w:p>
    <w:p>
      <w:pPr>
        <w:pStyle w:val="Compact"/>
        <w:numPr>
          <w:ilvl w:val="0"/>
          <w:numId w:val="1001"/>
        </w:numPr>
      </w:pPr>
      <w:r>
        <w:t xml:space="preserve">conservar evidencia de manera ordenada;</w:t>
      </w:r>
    </w:p>
    <w:p>
      <w:pPr>
        <w:pStyle w:val="Compact"/>
        <w:numPr>
          <w:ilvl w:val="0"/>
          <w:numId w:val="1001"/>
        </w:numPr>
      </w:pPr>
      <w:r>
        <w:t xml:space="preserve">entender cómo AlertaCuenta puede tratar información financiera;</w:t>
      </w:r>
    </w:p>
    <w:p>
      <w:pPr>
        <w:pStyle w:val="Compact"/>
        <w:numPr>
          <w:ilvl w:val="0"/>
          <w:numId w:val="1001"/>
        </w:numPr>
      </w:pPr>
      <w:r>
        <w:t xml:space="preserve">reducir el riesgo de una segunda vulneración;</w:t>
      </w:r>
    </w:p>
    <w:p>
      <w:pPr>
        <w:pStyle w:val="Compact"/>
        <w:numPr>
          <w:ilvl w:val="0"/>
          <w:numId w:val="1001"/>
        </w:numPr>
      </w:pPr>
      <w:r>
        <w:t xml:space="preserve">facilitar la preparación de reclamos, comunicaciones o documentos.</w:t>
      </w:r>
    </w:p>
    <w:p>
      <w:r>
        <w:pict>
          <v:rect style="width:0;height:1.5pt" o:hralign="center" o:hrstd="t" o:hr="t"/>
        </w:pict>
      </w:r>
    </w:p>
    <w:bookmarkEnd w:id="22"/>
    <w:bookmarkStart w:id="25" w:name="principio-central-evidencia-sí-claves-no"/>
    <w:p>
      <w:pPr>
        <w:pStyle w:val="Heading1"/>
      </w:pPr>
      <w:r>
        <w:t xml:space="preserve">2. Principio central: evidencia sí, claves no</w:t>
      </w:r>
    </w:p>
    <w:p>
      <w:pPr>
        <w:pStyle w:val="FirstParagraph"/>
      </w:pPr>
      <w:r>
        <w:t xml:space="preserve">AlertaCuenta puede necesitar evidencia para entender el caso. Sin embargo, no debe pedir ni recibir credenciales que permitan operar tus cuentas o productos financieros.</w:t>
      </w:r>
    </w:p>
    <w:bookmarkStart w:id="23" w:name="Xbf6bcd2969697f828b12a7e15603decfa0dcb8a"/>
    <w:p>
      <w:pPr>
        <w:pStyle w:val="Heading2"/>
      </w:pPr>
      <w:r>
        <w:t xml:space="preserve">2.1 Información que puede servir como evidencia</w:t>
      </w:r>
    </w:p>
    <w:p>
      <w:pPr>
        <w:pStyle w:val="FirstParagraph"/>
      </w:pPr>
      <w:r>
        <w:t xml:space="preserve">Puede ser útil compartir:</w:t>
      </w:r>
    </w:p>
    <w:p>
      <w:pPr>
        <w:pStyle w:val="Compact"/>
        <w:numPr>
          <w:ilvl w:val="0"/>
          <w:numId w:val="1002"/>
        </w:numPr>
      </w:pPr>
      <w:r>
        <w:t xml:space="preserve">pantallazos de SMS, WhatsApp, correos o mensajes sospechosos;</w:t>
      </w:r>
    </w:p>
    <w:p>
      <w:pPr>
        <w:pStyle w:val="Compact"/>
        <w:numPr>
          <w:ilvl w:val="0"/>
          <w:numId w:val="1002"/>
        </w:numPr>
      </w:pPr>
      <w:r>
        <w:t xml:space="preserve">número telefónico desde el que te contactaron;</w:t>
      </w:r>
    </w:p>
    <w:p>
      <w:pPr>
        <w:pStyle w:val="Compact"/>
        <w:numPr>
          <w:ilvl w:val="0"/>
          <w:numId w:val="1002"/>
        </w:numPr>
      </w:pPr>
      <w:r>
        <w:t xml:space="preserve">dirección de correo del remitente;</w:t>
      </w:r>
    </w:p>
    <w:p>
      <w:pPr>
        <w:pStyle w:val="Compact"/>
        <w:numPr>
          <w:ilvl w:val="0"/>
          <w:numId w:val="1002"/>
        </w:numPr>
      </w:pPr>
      <w:r>
        <w:t xml:space="preserve">enlace o sitio web sospechoso;</w:t>
      </w:r>
    </w:p>
    <w:p>
      <w:pPr>
        <w:pStyle w:val="Compact"/>
        <w:numPr>
          <w:ilvl w:val="0"/>
          <w:numId w:val="1002"/>
        </w:numPr>
      </w:pPr>
      <w:r>
        <w:t xml:space="preserve">fecha y hora de la llamada, mensaje, transferencia o cargo;</w:t>
      </w:r>
    </w:p>
    <w:p>
      <w:pPr>
        <w:pStyle w:val="Compact"/>
        <w:numPr>
          <w:ilvl w:val="0"/>
          <w:numId w:val="1002"/>
        </w:numPr>
      </w:pPr>
      <w:r>
        <w:t xml:space="preserve">comprobante de transferencia o pago;</w:t>
      </w:r>
    </w:p>
    <w:p>
      <w:pPr>
        <w:pStyle w:val="Compact"/>
        <w:numPr>
          <w:ilvl w:val="0"/>
          <w:numId w:val="1002"/>
        </w:numPr>
      </w:pPr>
      <w:r>
        <w:t xml:space="preserve">cartola o movimiento específico cuestionado;</w:t>
      </w:r>
    </w:p>
    <w:p>
      <w:pPr>
        <w:pStyle w:val="Compact"/>
        <w:numPr>
          <w:ilvl w:val="0"/>
          <w:numId w:val="1002"/>
        </w:numPr>
      </w:pPr>
      <w:r>
        <w:t xml:space="preserve">respuesta del banco o institución financiera;</w:t>
      </w:r>
    </w:p>
    <w:p>
      <w:pPr>
        <w:pStyle w:val="Compact"/>
        <w:numPr>
          <w:ilvl w:val="0"/>
          <w:numId w:val="1002"/>
        </w:numPr>
      </w:pPr>
      <w:r>
        <w:t xml:space="preserve">reclamo presentado al banco;</w:t>
      </w:r>
    </w:p>
    <w:p>
      <w:pPr>
        <w:pStyle w:val="Compact"/>
        <w:numPr>
          <w:ilvl w:val="0"/>
          <w:numId w:val="1002"/>
        </w:numPr>
      </w:pPr>
      <w:r>
        <w:t xml:space="preserve">comprobante de bloqueo de tarjeta o cuenta;</w:t>
      </w:r>
    </w:p>
    <w:p>
      <w:pPr>
        <w:pStyle w:val="Compact"/>
        <w:numPr>
          <w:ilvl w:val="0"/>
          <w:numId w:val="1002"/>
        </w:numPr>
      </w:pPr>
      <w:r>
        <w:t xml:space="preserve">constancia o denuncia, si existe;</w:t>
      </w:r>
    </w:p>
    <w:p>
      <w:pPr>
        <w:pStyle w:val="Compact"/>
        <w:numPr>
          <w:ilvl w:val="0"/>
          <w:numId w:val="1002"/>
        </w:numPr>
      </w:pPr>
      <w:r>
        <w:t xml:space="preserve">relato de los hechos en texto o audio;</w:t>
      </w:r>
    </w:p>
    <w:p>
      <w:pPr>
        <w:pStyle w:val="Compact"/>
        <w:numPr>
          <w:ilvl w:val="0"/>
          <w:numId w:val="1002"/>
        </w:numPr>
      </w:pPr>
      <w:r>
        <w:t xml:space="preserve">nombre de la institución o comercio involucrado;</w:t>
      </w:r>
    </w:p>
    <w:p>
      <w:pPr>
        <w:pStyle w:val="Compact"/>
        <w:numPr>
          <w:ilvl w:val="0"/>
          <w:numId w:val="1002"/>
        </w:numPr>
      </w:pPr>
      <w:r>
        <w:t xml:space="preserve">cualquier documento que ayude a reconstruir la secuencia de lo ocurrido.</w:t>
      </w:r>
    </w:p>
    <w:bookmarkEnd w:id="23"/>
    <w:bookmarkStart w:id="24" w:name="información-que-nunca-debes-entregar"/>
    <w:p>
      <w:pPr>
        <w:pStyle w:val="Heading2"/>
      </w:pPr>
      <w:r>
        <w:t xml:space="preserve">2.2 Información que nunca debes entregar</w:t>
      </w:r>
    </w:p>
    <w:p>
      <w:pPr>
        <w:pStyle w:val="FirstParagraph"/>
      </w:pPr>
      <w:r>
        <w:t xml:space="preserve">No compartas:</w:t>
      </w:r>
    </w:p>
    <w:p>
      <w:pPr>
        <w:pStyle w:val="Compact"/>
        <w:numPr>
          <w:ilvl w:val="0"/>
          <w:numId w:val="1003"/>
        </w:numPr>
      </w:pPr>
      <w:r>
        <w:t xml:space="preserve">claves bancarias;</w:t>
      </w:r>
    </w:p>
    <w:p>
      <w:pPr>
        <w:pStyle w:val="Compact"/>
        <w:numPr>
          <w:ilvl w:val="0"/>
          <w:numId w:val="1003"/>
        </w:numPr>
      </w:pPr>
      <w:r>
        <w:t xml:space="preserve">contraseñas;</w:t>
      </w:r>
    </w:p>
    <w:p>
      <w:pPr>
        <w:pStyle w:val="Compact"/>
        <w:numPr>
          <w:ilvl w:val="0"/>
          <w:numId w:val="1003"/>
        </w:numPr>
      </w:pPr>
      <w:r>
        <w:t xml:space="preserve">PIN;</w:t>
      </w:r>
    </w:p>
    <w:p>
      <w:pPr>
        <w:pStyle w:val="Compact"/>
        <w:numPr>
          <w:ilvl w:val="0"/>
          <w:numId w:val="1003"/>
        </w:numPr>
      </w:pPr>
      <w:r>
        <w:t xml:space="preserve">coordenadas de tarjeta de seguridad;</w:t>
      </w:r>
    </w:p>
    <w:p>
      <w:pPr>
        <w:pStyle w:val="Compact"/>
        <w:numPr>
          <w:ilvl w:val="0"/>
          <w:numId w:val="1003"/>
        </w:numPr>
      </w:pPr>
      <w:r>
        <w:t xml:space="preserve">códigos SMS;</w:t>
      </w:r>
    </w:p>
    <w:p>
      <w:pPr>
        <w:pStyle w:val="Compact"/>
        <w:numPr>
          <w:ilvl w:val="0"/>
          <w:numId w:val="1003"/>
        </w:numPr>
      </w:pPr>
      <w:r>
        <w:t xml:space="preserve">códigos de autenticación;</w:t>
      </w:r>
    </w:p>
    <w:p>
      <w:pPr>
        <w:pStyle w:val="Compact"/>
        <w:numPr>
          <w:ilvl w:val="0"/>
          <w:numId w:val="1003"/>
        </w:numPr>
      </w:pPr>
      <w:r>
        <w:t xml:space="preserve">claves dinámicas;</w:t>
      </w:r>
    </w:p>
    <w:p>
      <w:pPr>
        <w:pStyle w:val="Compact"/>
        <w:numPr>
          <w:ilvl w:val="0"/>
          <w:numId w:val="1003"/>
        </w:numPr>
      </w:pPr>
      <w:r>
        <w:t xml:space="preserve">token completo;</w:t>
      </w:r>
    </w:p>
    <w:p>
      <w:pPr>
        <w:pStyle w:val="Compact"/>
        <w:numPr>
          <w:ilvl w:val="0"/>
          <w:numId w:val="1003"/>
        </w:numPr>
      </w:pPr>
      <w:r>
        <w:t xml:space="preserve">códigos de recuperación;</w:t>
      </w:r>
    </w:p>
    <w:p>
      <w:pPr>
        <w:pStyle w:val="Compact"/>
        <w:numPr>
          <w:ilvl w:val="0"/>
          <w:numId w:val="1003"/>
        </w:numPr>
      </w:pPr>
      <w:r>
        <w:t xml:space="preserve">datos completos de tarjeta, incluyendo CVV;</w:t>
      </w:r>
    </w:p>
    <w:p>
      <w:pPr>
        <w:pStyle w:val="Compact"/>
        <w:numPr>
          <w:ilvl w:val="0"/>
          <w:numId w:val="1003"/>
        </w:numPr>
      </w:pPr>
      <w:r>
        <w:t xml:space="preserve">fotografías completas de tarjetas por ambos lados;</w:t>
      </w:r>
    </w:p>
    <w:p>
      <w:pPr>
        <w:pStyle w:val="Compact"/>
        <w:numPr>
          <w:ilvl w:val="0"/>
          <w:numId w:val="1003"/>
        </w:numPr>
      </w:pPr>
      <w:r>
        <w:t xml:space="preserve">credenciales de correo electrónico;</w:t>
      </w:r>
    </w:p>
    <w:p>
      <w:pPr>
        <w:pStyle w:val="Compact"/>
        <w:numPr>
          <w:ilvl w:val="0"/>
          <w:numId w:val="1003"/>
        </w:numPr>
      </w:pPr>
      <w:r>
        <w:t xml:space="preserve">credenciales de billeteras digitales;</w:t>
      </w:r>
    </w:p>
    <w:p>
      <w:pPr>
        <w:pStyle w:val="Compact"/>
        <w:numPr>
          <w:ilvl w:val="0"/>
          <w:numId w:val="1003"/>
        </w:numPr>
      </w:pPr>
      <w:r>
        <w:t xml:space="preserve">acceso remoto a tu teléfono o computador;</w:t>
      </w:r>
    </w:p>
    <w:p>
      <w:pPr>
        <w:pStyle w:val="Compact"/>
        <w:numPr>
          <w:ilvl w:val="0"/>
          <w:numId w:val="1003"/>
        </w:numPr>
      </w:pPr>
      <w:r>
        <w:t xml:space="preserve">instrucciones para que un tercero controle tu dispositivo;</w:t>
      </w:r>
    </w:p>
    <w:p>
      <w:pPr>
        <w:pStyle w:val="Compact"/>
        <w:numPr>
          <w:ilvl w:val="0"/>
          <w:numId w:val="1003"/>
        </w:numPr>
      </w:pPr>
      <w:r>
        <w:t xml:space="preserve">información de seguridad que permita iniciar sesión, autorizar pagos o cambiar claves.</w:t>
      </w:r>
    </w:p>
    <w:p>
      <w:pPr>
        <w:pStyle w:val="BlockText"/>
      </w:pPr>
      <w:r>
        <w:rPr>
          <w:b/>
          <w:bCs/>
        </w:rPr>
        <w:t xml:space="preserve">Alerta crítica:</w:t>
      </w:r>
      <w:r>
        <w:t xml:space="preserve"> </w:t>
      </w:r>
      <w:r>
        <w:t xml:space="preserve">si alguien te pide códigos, claves o acceso remoto para</w:t>
      </w:r>
      <w:r>
        <w:t xml:space="preserve"> </w:t>
      </w:r>
      <w:r>
        <w:t xml:space="preserve">“ayudarte”</w:t>
      </w:r>
      <w:r>
        <w:t xml:space="preserve"> </w:t>
      </w:r>
      <w:r>
        <w:t xml:space="preserve">con un fraude, puede tratarse de un segundo intento de fraude.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83233202478bfc8ec42e7f69528d7b9c099e189"/>
    <w:p>
      <w:pPr>
        <w:pStyle w:val="Heading1"/>
      </w:pPr>
      <w:r>
        <w:t xml:space="preserve">3. Qué datos financieros puede tratar AlertaCuenta</w:t>
      </w:r>
    </w:p>
    <w:p>
      <w:pPr>
        <w:pStyle w:val="FirstParagraph"/>
      </w:pPr>
      <w:r>
        <w:t xml:space="preserve">AlertaCuenta puede tratar datos financieros limitados cuando sean necesarios para comprender el evento reportado o preparar antecedentes.</w:t>
      </w:r>
    </w:p>
    <w:p>
      <w:pPr>
        <w:pStyle w:val="BodyText"/>
      </w:pPr>
      <w:r>
        <w:t xml:space="preserve">Estos datos pueden incluir:</w:t>
      </w:r>
    </w:p>
    <w:p>
      <w:pPr>
        <w:pStyle w:val="Compact"/>
        <w:numPr>
          <w:ilvl w:val="0"/>
          <w:numId w:val="1004"/>
        </w:numPr>
      </w:pPr>
      <w:r>
        <w:t xml:space="preserve">banco o institución financiera involucrada;</w:t>
      </w:r>
    </w:p>
    <w:p>
      <w:pPr>
        <w:pStyle w:val="Compact"/>
        <w:numPr>
          <w:ilvl w:val="0"/>
          <w:numId w:val="1004"/>
        </w:numPr>
      </w:pPr>
      <w:r>
        <w:t xml:space="preserve">tipo de producto afectado, como cuenta corriente, cuenta vista, tarjeta, línea de crédito, billetera digital u otro medio de pago;</w:t>
      </w:r>
    </w:p>
    <w:p>
      <w:pPr>
        <w:pStyle w:val="Compact"/>
        <w:numPr>
          <w:ilvl w:val="0"/>
          <w:numId w:val="1004"/>
        </w:numPr>
      </w:pPr>
      <w:r>
        <w:t xml:space="preserve">últimos dígitos de cuenta o tarjeta, cuando sean necesarios para identificar el caso;</w:t>
      </w:r>
    </w:p>
    <w:p>
      <w:pPr>
        <w:pStyle w:val="Compact"/>
        <w:numPr>
          <w:ilvl w:val="0"/>
          <w:numId w:val="1004"/>
        </w:numPr>
      </w:pPr>
      <w:r>
        <w:t xml:space="preserve">monto aproximado o exacto de la operación cuestionada;</w:t>
      </w:r>
    </w:p>
    <w:p>
      <w:pPr>
        <w:pStyle w:val="Compact"/>
        <w:numPr>
          <w:ilvl w:val="0"/>
          <w:numId w:val="1004"/>
        </w:numPr>
      </w:pPr>
      <w:r>
        <w:t xml:space="preserve">fecha y hora de la operación;</w:t>
      </w:r>
    </w:p>
    <w:p>
      <w:pPr>
        <w:pStyle w:val="Compact"/>
        <w:numPr>
          <w:ilvl w:val="0"/>
          <w:numId w:val="1004"/>
        </w:numPr>
      </w:pPr>
      <w:r>
        <w:t xml:space="preserve">comercio, destinatario, cuenta receptora o descripción visible de la transacción;</w:t>
      </w:r>
    </w:p>
    <w:p>
      <w:pPr>
        <w:pStyle w:val="Compact"/>
        <w:numPr>
          <w:ilvl w:val="0"/>
          <w:numId w:val="1004"/>
        </w:numPr>
      </w:pPr>
      <w:r>
        <w:t xml:space="preserve">número de reclamo, ticket o caso abierto ante la institución;</w:t>
      </w:r>
    </w:p>
    <w:p>
      <w:pPr>
        <w:pStyle w:val="Compact"/>
        <w:numPr>
          <w:ilvl w:val="0"/>
          <w:numId w:val="1004"/>
        </w:numPr>
      </w:pPr>
      <w:r>
        <w:t xml:space="preserve">resultado o respuesta entregada por el banco;</w:t>
      </w:r>
    </w:p>
    <w:p>
      <w:pPr>
        <w:pStyle w:val="Compact"/>
        <w:numPr>
          <w:ilvl w:val="0"/>
          <w:numId w:val="1004"/>
        </w:numPr>
      </w:pPr>
      <w:r>
        <w:t xml:space="preserve">estado del bloqueo, denuncia o reclamo.</w:t>
      </w:r>
    </w:p>
    <w:p>
      <w:pPr>
        <w:pStyle w:val="FirstParagraph"/>
      </w:pPr>
      <w:r>
        <w:t xml:space="preserve">AlertaCuenta debe procurar no solicitar información financiera que no sea necesaria para el caso.</w:t>
      </w:r>
    </w:p>
    <w:p>
      <w:r>
        <w:pict>
          <v:rect style="width:0;height:1.5pt" o:hralign="center" o:hrstd="t" o:hr="t"/>
        </w:pict>
      </w:r>
    </w:p>
    <w:bookmarkEnd w:id="26"/>
    <w:bookmarkStart w:id="31" w:name="Xa6e14b0216a94a886578fc3c4313e622e7d75ee"/>
    <w:p>
      <w:pPr>
        <w:pStyle w:val="Heading1"/>
      </w:pPr>
      <w:r>
        <w:t xml:space="preserve">4. Cómo debes preparar documentos antes de subirlos</w:t>
      </w:r>
    </w:p>
    <w:p>
      <w:pPr>
        <w:pStyle w:val="FirstParagraph"/>
      </w:pPr>
      <w:r>
        <w:t xml:space="preserve">Cuando sea posible, antes de subir un documento o pantallazo, revisa si contiene información que no necesitamos.</w:t>
      </w:r>
    </w:p>
    <w:bookmarkStart w:id="27" w:name="recomendaciones-generales"/>
    <w:p>
      <w:pPr>
        <w:pStyle w:val="Heading2"/>
      </w:pPr>
      <w:r>
        <w:t xml:space="preserve">4.1 Recomendaciones generales</w:t>
      </w:r>
    </w:p>
    <w:p>
      <w:pPr>
        <w:pStyle w:val="FirstParagraph"/>
      </w:pPr>
      <w:r>
        <w:t xml:space="preserve">Antes de compartir evidencia:</w:t>
      </w:r>
    </w:p>
    <w:p>
      <w:pPr>
        <w:pStyle w:val="Compact"/>
        <w:numPr>
          <w:ilvl w:val="0"/>
          <w:numId w:val="1005"/>
        </w:numPr>
      </w:pPr>
      <w:r>
        <w:t xml:space="preserve">oculta claves, códigos, CVV o datos de autenticación;</w:t>
      </w:r>
    </w:p>
    <w:p>
      <w:pPr>
        <w:pStyle w:val="Compact"/>
        <w:numPr>
          <w:ilvl w:val="0"/>
          <w:numId w:val="1005"/>
        </w:numPr>
      </w:pPr>
      <w:r>
        <w:t xml:space="preserve">muestra solo los movimientos relacionados con el caso;</w:t>
      </w:r>
    </w:p>
    <w:p>
      <w:pPr>
        <w:pStyle w:val="Compact"/>
        <w:numPr>
          <w:ilvl w:val="0"/>
          <w:numId w:val="1005"/>
        </w:numPr>
      </w:pPr>
      <w:r>
        <w:t xml:space="preserve">evita subir cartolas completas si basta con el movimiento cuestionado;</w:t>
      </w:r>
    </w:p>
    <w:p>
      <w:pPr>
        <w:pStyle w:val="Compact"/>
        <w:numPr>
          <w:ilvl w:val="0"/>
          <w:numId w:val="1005"/>
        </w:numPr>
      </w:pPr>
      <w:r>
        <w:t xml:space="preserve">oculta saldos o movimientos no relacionados, si no son necesarios;</w:t>
      </w:r>
    </w:p>
    <w:p>
      <w:pPr>
        <w:pStyle w:val="Compact"/>
        <w:numPr>
          <w:ilvl w:val="0"/>
          <w:numId w:val="1005"/>
        </w:numPr>
      </w:pPr>
      <w:r>
        <w:t xml:space="preserve">conserva una copia original para ti;</w:t>
      </w:r>
    </w:p>
    <w:p>
      <w:pPr>
        <w:pStyle w:val="Compact"/>
        <w:numPr>
          <w:ilvl w:val="0"/>
          <w:numId w:val="1005"/>
        </w:numPr>
      </w:pPr>
      <w:r>
        <w:t xml:space="preserve">no edites la evidencia de forma que pierda valor o deje de entenderse;</w:t>
      </w:r>
    </w:p>
    <w:p>
      <w:pPr>
        <w:pStyle w:val="Compact"/>
        <w:numPr>
          <w:ilvl w:val="0"/>
          <w:numId w:val="1005"/>
        </w:numPr>
      </w:pPr>
      <w:r>
        <w:t xml:space="preserve">mantén visible fecha, hora, monto, banco, comercio o identificador relevante;</w:t>
      </w:r>
    </w:p>
    <w:p>
      <w:pPr>
        <w:pStyle w:val="Compact"/>
        <w:numPr>
          <w:ilvl w:val="0"/>
          <w:numId w:val="1005"/>
        </w:numPr>
      </w:pPr>
      <w:r>
        <w:t xml:space="preserve">no borres mensajes sospechosos antes de guardar pantallazo o respaldo.</w:t>
      </w:r>
    </w:p>
    <w:bookmarkEnd w:id="27"/>
    <w:bookmarkStart w:id="28" w:name="pantallazos-de-mensajes-o-correos"/>
    <w:p>
      <w:pPr>
        <w:pStyle w:val="Heading2"/>
      </w:pPr>
      <w:r>
        <w:t xml:space="preserve">4.2 Pantallazos de mensajes o correos</w:t>
      </w:r>
    </w:p>
    <w:p>
      <w:pPr>
        <w:pStyle w:val="FirstParagraph"/>
      </w:pPr>
      <w:r>
        <w:t xml:space="preserve">Procura que se vea:</w:t>
      </w:r>
    </w:p>
    <w:p>
      <w:pPr>
        <w:pStyle w:val="Compact"/>
        <w:numPr>
          <w:ilvl w:val="0"/>
          <w:numId w:val="1006"/>
        </w:numPr>
      </w:pPr>
      <w:r>
        <w:t xml:space="preserve">remitente o número de origen;</w:t>
      </w:r>
    </w:p>
    <w:p>
      <w:pPr>
        <w:pStyle w:val="Compact"/>
        <w:numPr>
          <w:ilvl w:val="0"/>
          <w:numId w:val="1006"/>
        </w:numPr>
      </w:pPr>
      <w:r>
        <w:t xml:space="preserve">fecha y hora;</w:t>
      </w:r>
    </w:p>
    <w:p>
      <w:pPr>
        <w:pStyle w:val="Compact"/>
        <w:numPr>
          <w:ilvl w:val="0"/>
          <w:numId w:val="1006"/>
        </w:numPr>
      </w:pPr>
      <w:r>
        <w:t xml:space="preserve">contenido completo del mensaje relevante;</w:t>
      </w:r>
    </w:p>
    <w:p>
      <w:pPr>
        <w:pStyle w:val="Compact"/>
        <w:numPr>
          <w:ilvl w:val="0"/>
          <w:numId w:val="1006"/>
        </w:numPr>
      </w:pPr>
      <w:r>
        <w:t xml:space="preserve">enlace sospechoso, si existe;</w:t>
      </w:r>
    </w:p>
    <w:p>
      <w:pPr>
        <w:pStyle w:val="Compact"/>
        <w:numPr>
          <w:ilvl w:val="0"/>
          <w:numId w:val="1006"/>
        </w:numPr>
      </w:pPr>
      <w:r>
        <w:t xml:space="preserve">nombre de la supuesta entidad que aparece en el mensaje;</w:t>
      </w:r>
    </w:p>
    <w:p>
      <w:pPr>
        <w:pStyle w:val="Compact"/>
        <w:numPr>
          <w:ilvl w:val="0"/>
          <w:numId w:val="1006"/>
        </w:numPr>
      </w:pPr>
      <w:r>
        <w:t xml:space="preserve">cualquier instrucción que te hayan dado.</w:t>
      </w:r>
    </w:p>
    <w:p>
      <w:pPr>
        <w:pStyle w:val="FirstParagraph"/>
      </w:pPr>
      <w:r>
        <w:t xml:space="preserve">No ingreses al enlace sospechoso para obtener más información.</w:t>
      </w:r>
    </w:p>
    <w:bookmarkEnd w:id="28"/>
    <w:bookmarkStart w:id="29" w:name="cartolas-o-movimientos-bancarios"/>
    <w:p>
      <w:pPr>
        <w:pStyle w:val="Heading2"/>
      </w:pPr>
      <w:r>
        <w:t xml:space="preserve">4.3 Cartolas o movimientos bancarios</w:t>
      </w:r>
    </w:p>
    <w:p>
      <w:pPr>
        <w:pStyle w:val="FirstParagraph"/>
      </w:pPr>
      <w:r>
        <w:t xml:space="preserve">Procura que se vea:</w:t>
      </w:r>
    </w:p>
    <w:p>
      <w:pPr>
        <w:pStyle w:val="Compact"/>
        <w:numPr>
          <w:ilvl w:val="0"/>
          <w:numId w:val="1007"/>
        </w:numPr>
      </w:pPr>
      <w:r>
        <w:t xml:space="preserve">institución financiera;</w:t>
      </w:r>
    </w:p>
    <w:p>
      <w:pPr>
        <w:pStyle w:val="Compact"/>
        <w:numPr>
          <w:ilvl w:val="0"/>
          <w:numId w:val="1007"/>
        </w:numPr>
      </w:pPr>
      <w:r>
        <w:t xml:space="preserve">fecha de la operación;</w:t>
      </w:r>
    </w:p>
    <w:p>
      <w:pPr>
        <w:pStyle w:val="Compact"/>
        <w:numPr>
          <w:ilvl w:val="0"/>
          <w:numId w:val="1007"/>
        </w:numPr>
      </w:pPr>
      <w:r>
        <w:t xml:space="preserve">monto;</w:t>
      </w:r>
    </w:p>
    <w:p>
      <w:pPr>
        <w:pStyle w:val="Compact"/>
        <w:numPr>
          <w:ilvl w:val="0"/>
          <w:numId w:val="1007"/>
        </w:numPr>
      </w:pPr>
      <w:r>
        <w:t xml:space="preserve">descripción de la operación;</w:t>
      </w:r>
    </w:p>
    <w:p>
      <w:pPr>
        <w:pStyle w:val="Compact"/>
        <w:numPr>
          <w:ilvl w:val="0"/>
          <w:numId w:val="1007"/>
        </w:numPr>
      </w:pPr>
      <w:r>
        <w:t xml:space="preserve">identificador visible de la transacción, si existe;</w:t>
      </w:r>
    </w:p>
    <w:p>
      <w:pPr>
        <w:pStyle w:val="Compact"/>
        <w:numPr>
          <w:ilvl w:val="0"/>
          <w:numId w:val="1007"/>
        </w:numPr>
      </w:pPr>
      <w:r>
        <w:t xml:space="preserve">últimos dígitos del producto afectado, si es necesario.</w:t>
      </w:r>
    </w:p>
    <w:p>
      <w:pPr>
        <w:pStyle w:val="FirstParagraph"/>
      </w:pPr>
      <w:r>
        <w:t xml:space="preserve">Procura ocultar:</w:t>
      </w:r>
    </w:p>
    <w:p>
      <w:pPr>
        <w:pStyle w:val="Compact"/>
        <w:numPr>
          <w:ilvl w:val="0"/>
          <w:numId w:val="1008"/>
        </w:numPr>
      </w:pPr>
      <w:r>
        <w:t xml:space="preserve">movimientos no relacionados;</w:t>
      </w:r>
    </w:p>
    <w:p>
      <w:pPr>
        <w:pStyle w:val="Compact"/>
        <w:numPr>
          <w:ilvl w:val="0"/>
          <w:numId w:val="1008"/>
        </w:numPr>
      </w:pPr>
      <w:r>
        <w:t xml:space="preserve">saldo total, cuando no sea necesario;</w:t>
      </w:r>
    </w:p>
    <w:p>
      <w:pPr>
        <w:pStyle w:val="Compact"/>
        <w:numPr>
          <w:ilvl w:val="0"/>
          <w:numId w:val="1008"/>
        </w:numPr>
      </w:pPr>
      <w:r>
        <w:t xml:space="preserve">datos de otros productos;</w:t>
      </w:r>
    </w:p>
    <w:p>
      <w:pPr>
        <w:pStyle w:val="Compact"/>
        <w:numPr>
          <w:ilvl w:val="0"/>
          <w:numId w:val="1008"/>
        </w:numPr>
      </w:pPr>
      <w:r>
        <w:t xml:space="preserve">información de terceros no relevante.</w:t>
      </w:r>
    </w:p>
    <w:bookmarkEnd w:id="29"/>
    <w:bookmarkStart w:id="30" w:name="comprobantes-de-transferencia-o-pago"/>
    <w:p>
      <w:pPr>
        <w:pStyle w:val="Heading2"/>
      </w:pPr>
      <w:r>
        <w:t xml:space="preserve">4.4 Comprobantes de transferencia o pago</w:t>
      </w:r>
    </w:p>
    <w:p>
      <w:pPr>
        <w:pStyle w:val="FirstParagraph"/>
      </w:pPr>
      <w:r>
        <w:t xml:space="preserve">Procura que se vea:</w:t>
      </w:r>
    </w:p>
    <w:p>
      <w:pPr>
        <w:pStyle w:val="Compact"/>
        <w:numPr>
          <w:ilvl w:val="0"/>
          <w:numId w:val="1009"/>
        </w:numPr>
      </w:pPr>
      <w:r>
        <w:t xml:space="preserve">fecha y hora;</w:t>
      </w:r>
    </w:p>
    <w:p>
      <w:pPr>
        <w:pStyle w:val="Compact"/>
        <w:numPr>
          <w:ilvl w:val="0"/>
          <w:numId w:val="1009"/>
        </w:numPr>
      </w:pPr>
      <w:r>
        <w:t xml:space="preserve">monto;</w:t>
      </w:r>
    </w:p>
    <w:p>
      <w:pPr>
        <w:pStyle w:val="Compact"/>
        <w:numPr>
          <w:ilvl w:val="0"/>
          <w:numId w:val="1009"/>
        </w:numPr>
      </w:pPr>
      <w:r>
        <w:t xml:space="preserve">banco o plataforma;</w:t>
      </w:r>
    </w:p>
    <w:p>
      <w:pPr>
        <w:pStyle w:val="Compact"/>
        <w:numPr>
          <w:ilvl w:val="0"/>
          <w:numId w:val="1009"/>
        </w:numPr>
      </w:pPr>
      <w:r>
        <w:t xml:space="preserve">destinatario o comercio;</w:t>
      </w:r>
    </w:p>
    <w:p>
      <w:pPr>
        <w:pStyle w:val="Compact"/>
        <w:numPr>
          <w:ilvl w:val="0"/>
          <w:numId w:val="1009"/>
        </w:numPr>
      </w:pPr>
      <w:r>
        <w:t xml:space="preserve">identificador de operación;</w:t>
      </w:r>
    </w:p>
    <w:p>
      <w:pPr>
        <w:pStyle w:val="Compact"/>
        <w:numPr>
          <w:ilvl w:val="0"/>
          <w:numId w:val="1009"/>
        </w:numPr>
      </w:pPr>
      <w:r>
        <w:t xml:space="preserve">estado de la operación.</w:t>
      </w:r>
    </w:p>
    <w:p>
      <w:pPr>
        <w:pStyle w:val="FirstParagraph"/>
      </w:pPr>
      <w:r>
        <w:t xml:space="preserve">Evita subir imágenes que contengan claves, códigos, coordenadas, CVV o información de autenticación.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relato-de-los-hechos-texto-o-audio"/>
    <w:p>
      <w:pPr>
        <w:pStyle w:val="Heading1"/>
      </w:pPr>
      <w:r>
        <w:t xml:space="preserve">5. Relato de los hechos: texto o audio</w:t>
      </w:r>
    </w:p>
    <w:p>
      <w:pPr>
        <w:pStyle w:val="FirstParagraph"/>
      </w:pPr>
      <w:r>
        <w:t xml:space="preserve">AlertaCuenta puede permitir que el usuario relate lo ocurrido por escrito o mediante audio, especialmente para facilitar el acceso a personas con baja literacidad digital, dificultades para escribir o situaciones de urgencia.</w:t>
      </w:r>
    </w:p>
    <w:bookmarkStart w:id="32" w:name="qué-debería-incluir-tu-relato"/>
    <w:p>
      <w:pPr>
        <w:pStyle w:val="Heading2"/>
      </w:pPr>
      <w:r>
        <w:t xml:space="preserve">5.1 Qué debería incluir tu relato</w:t>
      </w:r>
    </w:p>
    <w:p>
      <w:pPr>
        <w:pStyle w:val="FirstParagraph"/>
      </w:pPr>
      <w:r>
        <w:t xml:space="preserve">Intenta responder, en palabras simples:</w:t>
      </w:r>
    </w:p>
    <w:p>
      <w:pPr>
        <w:pStyle w:val="Compact"/>
        <w:numPr>
          <w:ilvl w:val="0"/>
          <w:numId w:val="1010"/>
        </w:numPr>
      </w:pPr>
      <w:r>
        <w:t xml:space="preserve">¿Qué ocurrió?</w:t>
      </w:r>
    </w:p>
    <w:p>
      <w:pPr>
        <w:pStyle w:val="Compact"/>
        <w:numPr>
          <w:ilvl w:val="0"/>
          <w:numId w:val="1010"/>
        </w:numPr>
      </w:pPr>
      <w:r>
        <w:t xml:space="preserve">¿Cuándo ocurrió?</w:t>
      </w:r>
    </w:p>
    <w:p>
      <w:pPr>
        <w:pStyle w:val="Compact"/>
        <w:numPr>
          <w:ilvl w:val="0"/>
          <w:numId w:val="1010"/>
        </w:numPr>
      </w:pPr>
      <w:r>
        <w:t xml:space="preserve">¿Cómo te contactaron o cómo detectaste el problema?</w:t>
      </w:r>
    </w:p>
    <w:p>
      <w:pPr>
        <w:pStyle w:val="Compact"/>
        <w:numPr>
          <w:ilvl w:val="0"/>
          <w:numId w:val="1010"/>
        </w:numPr>
      </w:pPr>
      <w:r>
        <w:t xml:space="preserve">¿Qué banco, cuenta, tarjeta o producto está involucrado?</w:t>
      </w:r>
    </w:p>
    <w:p>
      <w:pPr>
        <w:pStyle w:val="Compact"/>
        <w:numPr>
          <w:ilvl w:val="0"/>
          <w:numId w:val="1010"/>
        </w:numPr>
      </w:pPr>
      <w:r>
        <w:t xml:space="preserve">¿Qué monto fue afectado?</w:t>
      </w:r>
    </w:p>
    <w:p>
      <w:pPr>
        <w:pStyle w:val="Compact"/>
        <w:numPr>
          <w:ilvl w:val="0"/>
          <w:numId w:val="1010"/>
        </w:numPr>
      </w:pPr>
      <w:r>
        <w:t xml:space="preserve">¿Entregaste alguna información?</w:t>
      </w:r>
    </w:p>
    <w:p>
      <w:pPr>
        <w:pStyle w:val="Compact"/>
        <w:numPr>
          <w:ilvl w:val="0"/>
          <w:numId w:val="1010"/>
        </w:numPr>
      </w:pPr>
      <w:r>
        <w:t xml:space="preserve">¿Bloqueaste la tarjeta, cuenta o producto?</w:t>
      </w:r>
    </w:p>
    <w:p>
      <w:pPr>
        <w:pStyle w:val="Compact"/>
        <w:numPr>
          <w:ilvl w:val="0"/>
          <w:numId w:val="1010"/>
        </w:numPr>
      </w:pPr>
      <w:r>
        <w:t xml:space="preserve">¿Avisaste al banco?</w:t>
      </w:r>
    </w:p>
    <w:p>
      <w:pPr>
        <w:pStyle w:val="Compact"/>
        <w:numPr>
          <w:ilvl w:val="0"/>
          <w:numId w:val="1010"/>
        </w:numPr>
      </w:pPr>
      <w:r>
        <w:t xml:space="preserve">¿Presentaste reclamo, denuncia o constancia?</w:t>
      </w:r>
    </w:p>
    <w:p>
      <w:pPr>
        <w:pStyle w:val="Compact"/>
        <w:numPr>
          <w:ilvl w:val="0"/>
          <w:numId w:val="1010"/>
        </w:numPr>
      </w:pPr>
      <w:r>
        <w:t xml:space="preserve">¿Tienes pantallazos, comprobantes o correos?</w:t>
      </w:r>
    </w:p>
    <w:bookmarkEnd w:id="32"/>
    <w:bookmarkStart w:id="33" w:name="qué-no-debes-decir-en-el-audio-o-texto"/>
    <w:p>
      <w:pPr>
        <w:pStyle w:val="Heading2"/>
      </w:pPr>
      <w:r>
        <w:t xml:space="preserve">5.2 Qué no debes decir en el audio o texto</w:t>
      </w:r>
    </w:p>
    <w:p>
      <w:pPr>
        <w:pStyle w:val="FirstParagraph"/>
      </w:pPr>
      <w:r>
        <w:t xml:space="preserve">No incluyas:</w:t>
      </w:r>
    </w:p>
    <w:p>
      <w:pPr>
        <w:pStyle w:val="Compact"/>
        <w:numPr>
          <w:ilvl w:val="0"/>
          <w:numId w:val="1011"/>
        </w:numPr>
      </w:pPr>
      <w:r>
        <w:t xml:space="preserve">claves;</w:t>
      </w:r>
    </w:p>
    <w:p>
      <w:pPr>
        <w:pStyle w:val="Compact"/>
        <w:numPr>
          <w:ilvl w:val="0"/>
          <w:numId w:val="1011"/>
        </w:numPr>
      </w:pPr>
      <w:r>
        <w:t xml:space="preserve">contraseñas;</w:t>
      </w:r>
    </w:p>
    <w:p>
      <w:pPr>
        <w:pStyle w:val="Compact"/>
        <w:numPr>
          <w:ilvl w:val="0"/>
          <w:numId w:val="1011"/>
        </w:numPr>
      </w:pPr>
      <w:r>
        <w:t xml:space="preserve">PIN;</w:t>
      </w:r>
    </w:p>
    <w:p>
      <w:pPr>
        <w:pStyle w:val="Compact"/>
        <w:numPr>
          <w:ilvl w:val="0"/>
          <w:numId w:val="1011"/>
        </w:numPr>
      </w:pPr>
      <w:r>
        <w:t xml:space="preserve">códigos SMS;</w:t>
      </w:r>
    </w:p>
    <w:p>
      <w:pPr>
        <w:pStyle w:val="Compact"/>
        <w:numPr>
          <w:ilvl w:val="0"/>
          <w:numId w:val="1011"/>
        </w:numPr>
      </w:pPr>
      <w:r>
        <w:t xml:space="preserve">coordenadas;</w:t>
      </w:r>
    </w:p>
    <w:p>
      <w:pPr>
        <w:pStyle w:val="Compact"/>
        <w:numPr>
          <w:ilvl w:val="0"/>
          <w:numId w:val="1011"/>
        </w:numPr>
      </w:pPr>
      <w:r>
        <w:t xml:space="preserve">token completo;</w:t>
      </w:r>
    </w:p>
    <w:p>
      <w:pPr>
        <w:pStyle w:val="Compact"/>
        <w:numPr>
          <w:ilvl w:val="0"/>
          <w:numId w:val="1011"/>
        </w:numPr>
      </w:pPr>
      <w:r>
        <w:t xml:space="preserve">CVV;</w:t>
      </w:r>
    </w:p>
    <w:p>
      <w:pPr>
        <w:pStyle w:val="Compact"/>
        <w:numPr>
          <w:ilvl w:val="0"/>
          <w:numId w:val="1011"/>
        </w:numPr>
      </w:pPr>
      <w:r>
        <w:t xml:space="preserve">datos completos de tarjeta;</w:t>
      </w:r>
    </w:p>
    <w:p>
      <w:pPr>
        <w:pStyle w:val="Compact"/>
        <w:numPr>
          <w:ilvl w:val="0"/>
          <w:numId w:val="1011"/>
        </w:numPr>
      </w:pPr>
      <w:r>
        <w:t xml:space="preserve">instrucciones de acceso a tus cuentas.</w:t>
      </w:r>
    </w:p>
    <w:p>
      <w:pPr>
        <w:pStyle w:val="FirstParagraph"/>
      </w:pPr>
      <w:r>
        <w:t xml:space="preserve">Si por error incluyes información de ese tipo, AlertaCuenta debe procurar aplicar un protocolo reforzado de minimización, bloqueo, eliminación o restricción de acceso.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clasificación-de-la-evidencia"/>
    <w:p>
      <w:pPr>
        <w:pStyle w:val="Heading1"/>
      </w:pPr>
      <w:r>
        <w:t xml:space="preserve">6. Clasificación de la evidencia</w:t>
      </w:r>
    </w:p>
    <w:p>
      <w:pPr>
        <w:pStyle w:val="FirstParagraph"/>
      </w:pPr>
      <w:r>
        <w:t xml:space="preserve">Para ordenar mejor el caso, AlertaCuenta puede clasificar la evidencia en categorías.</w:t>
      </w:r>
    </w:p>
    <w:bookmarkStart w:id="35" w:name="evidencia-de-contacto-fraudulento"/>
    <w:p>
      <w:pPr>
        <w:pStyle w:val="Heading2"/>
      </w:pPr>
      <w:r>
        <w:t xml:space="preserve">6.1 Evidencia de contacto fraudulento</w:t>
      </w:r>
    </w:p>
    <w:p>
      <w:pPr>
        <w:pStyle w:val="FirstParagraph"/>
      </w:pPr>
      <w:r>
        <w:t xml:space="preserve">Incluye llamadas, mensajes, correos, enlaces, sitios web, perfiles o cuentas desde las cuales se habría producido el engaño.</w:t>
      </w:r>
    </w:p>
    <w:bookmarkEnd w:id="35"/>
    <w:bookmarkStart w:id="36" w:name="evidencia-de-operación-financiera"/>
    <w:p>
      <w:pPr>
        <w:pStyle w:val="Heading2"/>
      </w:pPr>
      <w:r>
        <w:t xml:space="preserve">6.2 Evidencia de operación financiera</w:t>
      </w:r>
    </w:p>
    <w:p>
      <w:pPr>
        <w:pStyle w:val="FirstParagraph"/>
      </w:pPr>
      <w:r>
        <w:t xml:space="preserve">Incluye transferencias, cargos, compras, giros, avances, pagos, cartolas o movimientos cuestionados.</w:t>
      </w:r>
    </w:p>
    <w:bookmarkEnd w:id="36"/>
    <w:bookmarkStart w:id="37" w:name="evidencia-de-reacción-del-usuario"/>
    <w:p>
      <w:pPr>
        <w:pStyle w:val="Heading2"/>
      </w:pPr>
      <w:r>
        <w:t xml:space="preserve">6.3 Evidencia de reacción del usuario</w:t>
      </w:r>
    </w:p>
    <w:p>
      <w:pPr>
        <w:pStyle w:val="FirstParagraph"/>
      </w:pPr>
      <w:r>
        <w:t xml:space="preserve">Incluye bloqueo de productos, llamados al banco, reclamos, correos enviados, denuncias, constancias o comunicaciones posteriores.</w:t>
      </w:r>
    </w:p>
    <w:bookmarkEnd w:id="37"/>
    <w:bookmarkStart w:id="38" w:name="evidencia-de-respuesta-institucional"/>
    <w:p>
      <w:pPr>
        <w:pStyle w:val="Heading2"/>
      </w:pPr>
      <w:r>
        <w:t xml:space="preserve">6.4 Evidencia de respuesta institucional</w:t>
      </w:r>
    </w:p>
    <w:p>
      <w:pPr>
        <w:pStyle w:val="FirstParagraph"/>
      </w:pPr>
      <w:r>
        <w:t xml:space="preserve">Incluye respuestas del banco, rechazos, números de caso, cierres de reclamo, solicitudes de antecedentes, comunicaciones de SERNAC u otros organismos.</w:t>
      </w:r>
    </w:p>
    <w:bookmarkEnd w:id="38"/>
    <w:bookmarkStart w:id="39" w:name="evidencia-complementaria"/>
    <w:p>
      <w:pPr>
        <w:pStyle w:val="Heading2"/>
      </w:pPr>
      <w:r>
        <w:t xml:space="preserve">6.5 Evidencia complementaria</w:t>
      </w:r>
    </w:p>
    <w:p>
      <w:pPr>
        <w:pStyle w:val="FirstParagraph"/>
      </w:pPr>
      <w:r>
        <w:t xml:space="preserve">Incluye antecedentes adicionales que ayuden a comprender el contexto, como ubicación aproximada, imposibilidad de realizar la operación, comunicaciones con terceros, comprobantes o circunstancias particulares.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9c64a1308e0b866d51468b53c8f894abec0ee33"/>
    <w:p>
      <w:pPr>
        <w:pStyle w:val="Heading1"/>
      </w:pPr>
      <w:r>
        <w:t xml:space="preserve">7. Cómo puede usar AlertaCuenta esta evidencia</w:t>
      </w:r>
    </w:p>
    <w:p>
      <w:pPr>
        <w:pStyle w:val="FirstParagraph"/>
      </w:pPr>
      <w:r>
        <w:t xml:space="preserve">AlertaCuenta puede usar la evidencia para:</w:t>
      </w:r>
    </w:p>
    <w:p>
      <w:pPr>
        <w:pStyle w:val="Compact"/>
        <w:numPr>
          <w:ilvl w:val="0"/>
          <w:numId w:val="1012"/>
        </w:numPr>
      </w:pPr>
      <w:r>
        <w:t xml:space="preserve">reconstruir la cronología del caso;</w:t>
      </w:r>
    </w:p>
    <w:p>
      <w:pPr>
        <w:pStyle w:val="Compact"/>
        <w:numPr>
          <w:ilvl w:val="0"/>
          <w:numId w:val="1012"/>
        </w:numPr>
      </w:pPr>
      <w:r>
        <w:t xml:space="preserve">identificar información faltante;</w:t>
      </w:r>
    </w:p>
    <w:p>
      <w:pPr>
        <w:pStyle w:val="Compact"/>
        <w:numPr>
          <w:ilvl w:val="0"/>
          <w:numId w:val="1012"/>
        </w:numPr>
      </w:pPr>
      <w:r>
        <w:t xml:space="preserve">detectar medidas urgentes pendientes;</w:t>
      </w:r>
    </w:p>
    <w:p>
      <w:pPr>
        <w:pStyle w:val="Compact"/>
        <w:numPr>
          <w:ilvl w:val="0"/>
          <w:numId w:val="1012"/>
        </w:numPr>
      </w:pPr>
      <w:r>
        <w:t xml:space="preserve">clasificar preliminarmente el tipo de fraude;</w:t>
      </w:r>
    </w:p>
    <w:p>
      <w:pPr>
        <w:pStyle w:val="Compact"/>
        <w:numPr>
          <w:ilvl w:val="0"/>
          <w:numId w:val="1012"/>
        </w:numPr>
      </w:pPr>
      <w:r>
        <w:t xml:space="preserve">preparar un resumen estructurado;</w:t>
      </w:r>
    </w:p>
    <w:p>
      <w:pPr>
        <w:pStyle w:val="Compact"/>
        <w:numPr>
          <w:ilvl w:val="0"/>
          <w:numId w:val="1012"/>
        </w:numPr>
      </w:pPr>
      <w:r>
        <w:t xml:space="preserve">generar checklists;</w:t>
      </w:r>
    </w:p>
    <w:p>
      <w:pPr>
        <w:pStyle w:val="Compact"/>
        <w:numPr>
          <w:ilvl w:val="0"/>
          <w:numId w:val="1012"/>
        </w:numPr>
      </w:pPr>
      <w:r>
        <w:t xml:space="preserve">preparar borradores de reclamo o comunicaciones;</w:t>
      </w:r>
    </w:p>
    <w:p>
      <w:pPr>
        <w:pStyle w:val="Compact"/>
        <w:numPr>
          <w:ilvl w:val="0"/>
          <w:numId w:val="1012"/>
        </w:numPr>
      </w:pPr>
      <w:r>
        <w:t xml:space="preserve">sugerir rutas de acción;</w:t>
      </w:r>
    </w:p>
    <w:p>
      <w:pPr>
        <w:pStyle w:val="Compact"/>
        <w:numPr>
          <w:ilvl w:val="0"/>
          <w:numId w:val="1012"/>
        </w:numPr>
      </w:pPr>
      <w:r>
        <w:t xml:space="preserve">facilitar una revisión humana proporcional;</w:t>
      </w:r>
    </w:p>
    <w:p>
      <w:pPr>
        <w:pStyle w:val="Compact"/>
        <w:numPr>
          <w:ilvl w:val="0"/>
          <w:numId w:val="1012"/>
        </w:numPr>
      </w:pPr>
      <w:r>
        <w:t xml:space="preserve">mejorar la trazabilidad del caso;</w:t>
      </w:r>
    </w:p>
    <w:p>
      <w:pPr>
        <w:pStyle w:val="Compact"/>
        <w:numPr>
          <w:ilvl w:val="0"/>
          <w:numId w:val="1012"/>
        </w:numPr>
      </w:pPr>
      <w:r>
        <w:t xml:space="preserve">prevenir errores en documentos.</w:t>
      </w:r>
    </w:p>
    <w:p>
      <w:pPr>
        <w:pStyle w:val="FirstParagraph"/>
      </w:pPr>
      <w:r>
        <w:t xml:space="preserve">Cuando se utilicen sistemas de inteligencia artificial, estos pueden apoyar el ordenamiento, resumen o clasificación de la evidencia. Sin embargo, la IA no debe decidir por sí sola cuestiones críticas ni reemplazar revisión humana cuando corresponda.</w:t>
      </w:r>
    </w:p>
    <w:p>
      <w:r>
        <w:pict>
          <v:rect style="width:0;height:1.5pt" o:hralign="center" o:hrstd="t" o:hr="t"/>
        </w:pict>
      </w:r>
    </w:p>
    <w:bookmarkEnd w:id="41"/>
    <w:bookmarkStart w:id="45" w:name="Xf5a9d0bcac6a66cb725b63a5c24d367661a1cac"/>
    <w:p>
      <w:pPr>
        <w:pStyle w:val="Heading1"/>
      </w:pPr>
      <w:r>
        <w:t xml:space="preserve">8. Tratamiento reforzado de datos financieros y evidencia</w:t>
      </w:r>
    </w:p>
    <w:p>
      <w:pPr>
        <w:pStyle w:val="FirstParagraph"/>
      </w:pPr>
      <w:r>
        <w:t xml:space="preserve">Aunque ciertos datos financieros no siempre sean jurídicamente equivalentes a datos sensibles, en AlertaCuenta deben tratarse como información de protección reforzada por su impacto patrimonial, reputacional y de seguridad.</w:t>
      </w:r>
    </w:p>
    <w:bookmarkStart w:id="42" w:name="medidas-recomendadas"/>
    <w:p>
      <w:pPr>
        <w:pStyle w:val="Heading2"/>
      </w:pPr>
      <w:r>
        <w:t xml:space="preserve">8.1 Medidas recomendadas</w:t>
      </w:r>
    </w:p>
    <w:p>
      <w:pPr>
        <w:pStyle w:val="FirstParagraph"/>
      </w:pPr>
      <w:r>
        <w:t xml:space="preserve">AlertaCuenta debe procurar aplicar:</w:t>
      </w:r>
    </w:p>
    <w:p>
      <w:pPr>
        <w:pStyle w:val="Compact"/>
        <w:numPr>
          <w:ilvl w:val="0"/>
          <w:numId w:val="1013"/>
        </w:numPr>
      </w:pPr>
      <w:r>
        <w:t xml:space="preserve">minimización de datos;</w:t>
      </w:r>
    </w:p>
    <w:p>
      <w:pPr>
        <w:pStyle w:val="Compact"/>
        <w:numPr>
          <w:ilvl w:val="0"/>
          <w:numId w:val="1013"/>
        </w:numPr>
      </w:pPr>
      <w:r>
        <w:t xml:space="preserve">acceso restringido por rol;</w:t>
      </w:r>
    </w:p>
    <w:p>
      <w:pPr>
        <w:pStyle w:val="Compact"/>
        <w:numPr>
          <w:ilvl w:val="0"/>
          <w:numId w:val="1013"/>
        </w:numPr>
      </w:pPr>
      <w:r>
        <w:t xml:space="preserve">principio de mínimo privilegio;</w:t>
      </w:r>
    </w:p>
    <w:p>
      <w:pPr>
        <w:pStyle w:val="Compact"/>
        <w:numPr>
          <w:ilvl w:val="0"/>
          <w:numId w:val="1013"/>
        </w:numPr>
      </w:pPr>
      <w:r>
        <w:t xml:space="preserve">trazabilidad de accesos relevantes;</w:t>
      </w:r>
    </w:p>
    <w:p>
      <w:pPr>
        <w:pStyle w:val="Compact"/>
        <w:numPr>
          <w:ilvl w:val="0"/>
          <w:numId w:val="1013"/>
        </w:numPr>
      </w:pPr>
      <w:r>
        <w:t xml:space="preserve">cifrado en tránsito;</w:t>
      </w:r>
    </w:p>
    <w:p>
      <w:pPr>
        <w:pStyle w:val="Compact"/>
        <w:numPr>
          <w:ilvl w:val="0"/>
          <w:numId w:val="1013"/>
        </w:numPr>
      </w:pPr>
      <w:r>
        <w:t xml:space="preserve">cifrado en reposo cuando corresponda;</w:t>
      </w:r>
    </w:p>
    <w:p>
      <w:pPr>
        <w:pStyle w:val="Compact"/>
        <w:numPr>
          <w:ilvl w:val="0"/>
          <w:numId w:val="1013"/>
        </w:numPr>
      </w:pPr>
      <w:r>
        <w:t xml:space="preserve">almacenamiento seguro;</w:t>
      </w:r>
    </w:p>
    <w:p>
      <w:pPr>
        <w:pStyle w:val="Compact"/>
        <w:numPr>
          <w:ilvl w:val="0"/>
          <w:numId w:val="1013"/>
        </w:numPr>
      </w:pPr>
      <w:r>
        <w:t xml:space="preserve">eliminación o anonimización de datos no necesarios;</w:t>
      </w:r>
    </w:p>
    <w:p>
      <w:pPr>
        <w:pStyle w:val="Compact"/>
        <w:numPr>
          <w:ilvl w:val="0"/>
          <w:numId w:val="1013"/>
        </w:numPr>
      </w:pPr>
      <w:r>
        <w:t xml:space="preserve">control sobre proveedores;</w:t>
      </w:r>
    </w:p>
    <w:p>
      <w:pPr>
        <w:pStyle w:val="Compact"/>
        <w:numPr>
          <w:ilvl w:val="0"/>
          <w:numId w:val="1013"/>
        </w:numPr>
      </w:pPr>
      <w:r>
        <w:t xml:space="preserve">revisión humana proporcional en casos críticos;</w:t>
      </w:r>
    </w:p>
    <w:p>
      <w:pPr>
        <w:pStyle w:val="Compact"/>
        <w:numPr>
          <w:ilvl w:val="0"/>
          <w:numId w:val="1013"/>
        </w:numPr>
      </w:pPr>
      <w:r>
        <w:t xml:space="preserve">protocolos de incidente;</w:t>
      </w:r>
    </w:p>
    <w:p>
      <w:pPr>
        <w:pStyle w:val="Compact"/>
        <w:numPr>
          <w:ilvl w:val="0"/>
          <w:numId w:val="1013"/>
        </w:numPr>
      </w:pPr>
      <w:r>
        <w:t xml:space="preserve">separación entre entornos de prueba y producción.</w:t>
      </w:r>
    </w:p>
    <w:bookmarkEnd w:id="42"/>
    <w:bookmarkStart w:id="43" w:name="acceso-interno"/>
    <w:p>
      <w:pPr>
        <w:pStyle w:val="Heading2"/>
      </w:pPr>
      <w:r>
        <w:t xml:space="preserve">8.2 Acceso interno</w:t>
      </w:r>
    </w:p>
    <w:p>
      <w:pPr>
        <w:pStyle w:val="FirstParagraph"/>
      </w:pPr>
      <w:r>
        <w:t xml:space="preserve">Solo deben acceder al caso las personas o sistemas que necesiten conocer la información para operar, revisar, asistir, generar documentos, resolver problemas técnicos, cumplir obligaciones o proteger la seguridad de la plataforma.</w:t>
      </w:r>
    </w:p>
    <w:bookmarkEnd w:id="43"/>
    <w:bookmarkStart w:id="44" w:name="prohibición-de-uso-indebido"/>
    <w:p>
      <w:pPr>
        <w:pStyle w:val="Heading2"/>
      </w:pPr>
      <w:r>
        <w:t xml:space="preserve">8.3 Prohibición de uso indebido</w:t>
      </w:r>
    </w:p>
    <w:p>
      <w:pPr>
        <w:pStyle w:val="FirstParagraph"/>
      </w:pPr>
      <w:r>
        <w:t xml:space="preserve">La evidencia y los datos financieros no deben utilizarse para finalidades incompatibles con el caso, ni para entrenar modelos generales de propósito amplio con información identificable sin autorización expresa o base jurídica suficiente.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Xeacce0c59daeb694a2dd641a216e5d91f48a2f5"/>
    <w:p>
      <w:pPr>
        <w:pStyle w:val="Heading1"/>
      </w:pPr>
      <w:r>
        <w:t xml:space="preserve">9. Qué hacer si estás frente a una urgencia activa</w:t>
      </w:r>
    </w:p>
    <w:p>
      <w:pPr>
        <w:pStyle w:val="FirstParagraph"/>
      </w:pPr>
      <w:r>
        <w:t xml:space="preserve">Si crees que el fraude está ocurriendo ahora o que tu cuenta sigue en riesgo, prioriza medidas inmediatas.</w:t>
      </w:r>
    </w:p>
    <w:bookmarkStart w:id="46" w:name="pasos-urgentes-recomendados"/>
    <w:p>
      <w:pPr>
        <w:pStyle w:val="Heading2"/>
      </w:pPr>
      <w:r>
        <w:t xml:space="preserve">9.1 Pasos urgentes recomendados</w:t>
      </w:r>
    </w:p>
    <w:p>
      <w:pPr>
        <w:pStyle w:val="Compact"/>
        <w:numPr>
          <w:ilvl w:val="0"/>
          <w:numId w:val="1014"/>
        </w:numPr>
      </w:pPr>
      <w:r>
        <w:t xml:space="preserve">Corta la llamada o comunicación sospechosa.</w:t>
      </w:r>
    </w:p>
    <w:p>
      <w:pPr>
        <w:pStyle w:val="Compact"/>
        <w:numPr>
          <w:ilvl w:val="0"/>
          <w:numId w:val="1014"/>
        </w:numPr>
      </w:pPr>
      <w:r>
        <w:t xml:space="preserve">No entregues claves, códigos ni coordenadas.</w:t>
      </w:r>
    </w:p>
    <w:p>
      <w:pPr>
        <w:pStyle w:val="Compact"/>
        <w:numPr>
          <w:ilvl w:val="0"/>
          <w:numId w:val="1014"/>
        </w:numPr>
      </w:pPr>
      <w:r>
        <w:t xml:space="preserve">No hagas clic en enlaces sospechosos.</w:t>
      </w:r>
    </w:p>
    <w:p>
      <w:pPr>
        <w:pStyle w:val="Compact"/>
        <w:numPr>
          <w:ilvl w:val="0"/>
          <w:numId w:val="1014"/>
        </w:numPr>
      </w:pPr>
      <w:r>
        <w:t xml:space="preserve">No instales aplicaciones indicadas por desconocidos.</w:t>
      </w:r>
    </w:p>
    <w:p>
      <w:pPr>
        <w:pStyle w:val="Compact"/>
        <w:numPr>
          <w:ilvl w:val="0"/>
          <w:numId w:val="1014"/>
        </w:numPr>
      </w:pPr>
      <w:r>
        <w:t xml:space="preserve">Contacta a tu banco por canales oficiales.</w:t>
      </w:r>
    </w:p>
    <w:p>
      <w:pPr>
        <w:pStyle w:val="Compact"/>
        <w:numPr>
          <w:ilvl w:val="0"/>
          <w:numId w:val="1014"/>
        </w:numPr>
      </w:pPr>
      <w:r>
        <w:t xml:space="preserve">Bloquea la tarjeta, cuenta o producto si corresponde.</w:t>
      </w:r>
    </w:p>
    <w:p>
      <w:pPr>
        <w:pStyle w:val="Compact"/>
        <w:numPr>
          <w:ilvl w:val="0"/>
          <w:numId w:val="1014"/>
        </w:numPr>
      </w:pPr>
      <w:r>
        <w:t xml:space="preserve">Cambia claves desde el sitio o app oficial del banco, no desde enlaces recibidos.</w:t>
      </w:r>
    </w:p>
    <w:p>
      <w:pPr>
        <w:pStyle w:val="Compact"/>
        <w:numPr>
          <w:ilvl w:val="0"/>
          <w:numId w:val="1014"/>
        </w:numPr>
      </w:pPr>
      <w:r>
        <w:t xml:space="preserve">Guarda pantallazos, correos, mensajes y comprobantes.</w:t>
      </w:r>
    </w:p>
    <w:p>
      <w:pPr>
        <w:pStyle w:val="Compact"/>
        <w:numPr>
          <w:ilvl w:val="0"/>
          <w:numId w:val="1014"/>
        </w:numPr>
      </w:pPr>
      <w:r>
        <w:t xml:space="preserve">Anota fecha, hora, número de teléfono y relato breve.</w:t>
      </w:r>
    </w:p>
    <w:p>
      <w:pPr>
        <w:pStyle w:val="Compact"/>
        <w:numPr>
          <w:ilvl w:val="0"/>
          <w:numId w:val="1014"/>
        </w:numPr>
      </w:pPr>
      <w:r>
        <w:t xml:space="preserve">Presenta reclamo o denuncia cuando corresponda.</w:t>
      </w:r>
    </w:p>
    <w:bookmarkEnd w:id="46"/>
    <w:bookmarkStart w:id="47" w:name="qué-no-hacer"/>
    <w:p>
      <w:pPr>
        <w:pStyle w:val="Heading2"/>
      </w:pPr>
      <w:r>
        <w:t xml:space="preserve">9.2 Qué no hacer</w:t>
      </w:r>
    </w:p>
    <w:p>
      <w:pPr>
        <w:pStyle w:val="FirstParagraph"/>
      </w:pPr>
      <w:r>
        <w:t xml:space="preserve">No debes:</w:t>
      </w:r>
    </w:p>
    <w:p>
      <w:pPr>
        <w:pStyle w:val="Compact"/>
        <w:numPr>
          <w:ilvl w:val="0"/>
          <w:numId w:val="1015"/>
        </w:numPr>
      </w:pPr>
      <w:r>
        <w:t xml:space="preserve">devolver llamados a números sospechosos;</w:t>
      </w:r>
    </w:p>
    <w:p>
      <w:pPr>
        <w:pStyle w:val="Compact"/>
        <w:numPr>
          <w:ilvl w:val="0"/>
          <w:numId w:val="1015"/>
        </w:numPr>
      </w:pPr>
      <w:r>
        <w:t xml:space="preserve">confiar en enlaces enviados por SMS o WhatsApp;</w:t>
      </w:r>
    </w:p>
    <w:p>
      <w:pPr>
        <w:pStyle w:val="Compact"/>
        <w:numPr>
          <w:ilvl w:val="0"/>
          <w:numId w:val="1015"/>
        </w:numPr>
      </w:pPr>
      <w:r>
        <w:t xml:space="preserve">compartir pantalla con desconocidos;</w:t>
      </w:r>
    </w:p>
    <w:p>
      <w:pPr>
        <w:pStyle w:val="Compact"/>
        <w:numPr>
          <w:ilvl w:val="0"/>
          <w:numId w:val="1015"/>
        </w:numPr>
      </w:pPr>
      <w:r>
        <w:t xml:space="preserve">instalar aplicaciones de acceso remoto;</w:t>
      </w:r>
    </w:p>
    <w:p>
      <w:pPr>
        <w:pStyle w:val="Compact"/>
        <w:numPr>
          <w:ilvl w:val="0"/>
          <w:numId w:val="1015"/>
        </w:numPr>
      </w:pPr>
      <w:r>
        <w:t xml:space="preserve">entregar códigos recibidos por SMS;</w:t>
      </w:r>
    </w:p>
    <w:p>
      <w:pPr>
        <w:pStyle w:val="Compact"/>
        <w:numPr>
          <w:ilvl w:val="0"/>
          <w:numId w:val="1015"/>
        </w:numPr>
      </w:pPr>
      <w:r>
        <w:t xml:space="preserve">asumir que un mensaje es real solo porque menciona tu banco;</w:t>
      </w:r>
    </w:p>
    <w:p>
      <w:pPr>
        <w:pStyle w:val="Compact"/>
        <w:numPr>
          <w:ilvl w:val="0"/>
          <w:numId w:val="1015"/>
        </w:numPr>
      </w:pPr>
      <w:r>
        <w:t xml:space="preserve">borrar evidencia antes de guardarla.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Xf96214e2c1c5efa8299710dd16c0b4181e44852"/>
    <w:p>
      <w:pPr>
        <w:pStyle w:val="Heading1"/>
      </w:pPr>
      <w:r>
        <w:t xml:space="preserve">10. Qué pasa si subes información peligrosa por error</w:t>
      </w:r>
    </w:p>
    <w:p>
      <w:pPr>
        <w:pStyle w:val="FirstParagraph"/>
      </w:pPr>
      <w:r>
        <w:t xml:space="preserve">Si subes accidentalmente claves, códigos, CVV, coordenadas, contraseñas o datos excesivos, AlertaCuenta debe procurar aplicar medidas proporcionales.</w:t>
      </w:r>
    </w:p>
    <w:p>
      <w:pPr>
        <w:pStyle w:val="BodyText"/>
      </w:pPr>
      <w:r>
        <w:t xml:space="preserve">Estas medidas pueden incluir:</w:t>
      </w:r>
    </w:p>
    <w:p>
      <w:pPr>
        <w:pStyle w:val="Compact"/>
        <w:numPr>
          <w:ilvl w:val="0"/>
          <w:numId w:val="1016"/>
        </w:numPr>
      </w:pPr>
      <w:r>
        <w:t xml:space="preserve">bloqueo de acceso al archivo;</w:t>
      </w:r>
    </w:p>
    <w:p>
      <w:pPr>
        <w:pStyle w:val="Compact"/>
        <w:numPr>
          <w:ilvl w:val="0"/>
          <w:numId w:val="1016"/>
        </w:numPr>
      </w:pPr>
      <w:r>
        <w:t xml:space="preserve">eliminación segura;</w:t>
      </w:r>
    </w:p>
    <w:p>
      <w:pPr>
        <w:pStyle w:val="Compact"/>
        <w:numPr>
          <w:ilvl w:val="0"/>
          <w:numId w:val="1016"/>
        </w:numPr>
      </w:pPr>
      <w:r>
        <w:t xml:space="preserve">anonimización o enmascaramiento;</w:t>
      </w:r>
    </w:p>
    <w:p>
      <w:pPr>
        <w:pStyle w:val="Compact"/>
        <w:numPr>
          <w:ilvl w:val="0"/>
          <w:numId w:val="1016"/>
        </w:numPr>
      </w:pPr>
      <w:r>
        <w:t xml:space="preserve">restricción de acceso interno;</w:t>
      </w:r>
    </w:p>
    <w:p>
      <w:pPr>
        <w:pStyle w:val="Compact"/>
        <w:numPr>
          <w:ilvl w:val="0"/>
          <w:numId w:val="1016"/>
        </w:numPr>
      </w:pPr>
      <w:r>
        <w:t xml:space="preserve">registro del incidente interno;</w:t>
      </w:r>
    </w:p>
    <w:p>
      <w:pPr>
        <w:pStyle w:val="Compact"/>
        <w:numPr>
          <w:ilvl w:val="0"/>
          <w:numId w:val="1016"/>
        </w:numPr>
      </w:pPr>
      <w:r>
        <w:t xml:space="preserve">aviso al usuario cuando corresponda;</w:t>
      </w:r>
    </w:p>
    <w:p>
      <w:pPr>
        <w:pStyle w:val="Compact"/>
        <w:numPr>
          <w:ilvl w:val="0"/>
          <w:numId w:val="1016"/>
        </w:numPr>
      </w:pPr>
      <w:r>
        <w:t xml:space="preserve">recomendación de cambiar claves o contactar al banco;</w:t>
      </w:r>
    </w:p>
    <w:p>
      <w:pPr>
        <w:pStyle w:val="Compact"/>
        <w:numPr>
          <w:ilvl w:val="0"/>
          <w:numId w:val="1016"/>
        </w:numPr>
      </w:pPr>
      <w:r>
        <w:t xml:space="preserve">revisión de si se requiere activar un protocolo de seguridad.</w:t>
      </w:r>
    </w:p>
    <w:p>
      <w:pPr>
        <w:pStyle w:val="BlockText"/>
      </w:pPr>
      <w:r>
        <w:rPr>
          <w:b/>
          <w:bCs/>
        </w:rPr>
        <w:t xml:space="preserve">Importante:</w:t>
      </w:r>
      <w:r>
        <w:t xml:space="preserve"> </w:t>
      </w:r>
      <w:r>
        <w:t xml:space="preserve">si compartiste claves o códigos por error, contacta inmediatamente a tu banco por canales oficiales y cambia tus credenciales.</w:t>
      </w:r>
    </w:p>
    <w:p>
      <w:r>
        <w:pict>
          <v:rect style="width:0;height:1.5pt" o:hralign="center" o:hrstd="t" o:hr="t"/>
        </w:pict>
      </w:r>
    </w:p>
    <w:bookmarkEnd w:id="49"/>
    <w:bookmarkStart w:id="53" w:name="conservación-de-evidencia"/>
    <w:p>
      <w:pPr>
        <w:pStyle w:val="Heading1"/>
      </w:pPr>
      <w:r>
        <w:t xml:space="preserve">11. Conservación de evidencia</w:t>
      </w:r>
    </w:p>
    <w:p>
      <w:pPr>
        <w:pStyle w:val="FirstParagraph"/>
      </w:pPr>
      <w:r>
        <w:t xml:space="preserve">AlertaCuenta debe conservar la evidencia solo durante el tiempo necesario para cumplir las finalidades del caso, prestar el servicio, generar documentos, mantener trazabilidad razonable, cumplir obligaciones legales o proteger derechos.</w:t>
      </w:r>
    </w:p>
    <w:bookmarkStart w:id="50" w:name="criterios-de-conservación"/>
    <w:p>
      <w:pPr>
        <w:pStyle w:val="Heading2"/>
      </w:pPr>
      <w:r>
        <w:t xml:space="preserve">11.1 Criterios de conservación</w:t>
      </w:r>
    </w:p>
    <w:p>
      <w:pPr>
        <w:pStyle w:val="FirstParagraph"/>
      </w:pPr>
      <w:r>
        <w:t xml:space="preserve">La duración puede depender de:</w:t>
      </w:r>
    </w:p>
    <w:p>
      <w:pPr>
        <w:pStyle w:val="Compact"/>
        <w:numPr>
          <w:ilvl w:val="0"/>
          <w:numId w:val="1017"/>
        </w:numPr>
      </w:pPr>
      <w:r>
        <w:t xml:space="preserve">etapa del caso;</w:t>
      </w:r>
    </w:p>
    <w:p>
      <w:pPr>
        <w:pStyle w:val="Compact"/>
        <w:numPr>
          <w:ilvl w:val="0"/>
          <w:numId w:val="1017"/>
        </w:numPr>
      </w:pPr>
      <w:r>
        <w:t xml:space="preserve">tipo de documento;</w:t>
      </w:r>
    </w:p>
    <w:p>
      <w:pPr>
        <w:pStyle w:val="Compact"/>
        <w:numPr>
          <w:ilvl w:val="0"/>
          <w:numId w:val="1017"/>
        </w:numPr>
      </w:pPr>
      <w:r>
        <w:t xml:space="preserve">riesgo asociado;</w:t>
      </w:r>
    </w:p>
    <w:p>
      <w:pPr>
        <w:pStyle w:val="Compact"/>
        <w:numPr>
          <w:ilvl w:val="0"/>
          <w:numId w:val="1017"/>
        </w:numPr>
      </w:pPr>
      <w:r>
        <w:t xml:space="preserve">solicitud del usuario;</w:t>
      </w:r>
    </w:p>
    <w:p>
      <w:pPr>
        <w:pStyle w:val="Compact"/>
        <w:numPr>
          <w:ilvl w:val="0"/>
          <w:numId w:val="1017"/>
        </w:numPr>
      </w:pPr>
      <w:r>
        <w:t xml:space="preserve">obligaciones legales o contractuales;</w:t>
      </w:r>
    </w:p>
    <w:p>
      <w:pPr>
        <w:pStyle w:val="Compact"/>
        <w:numPr>
          <w:ilvl w:val="0"/>
          <w:numId w:val="1017"/>
        </w:numPr>
      </w:pPr>
      <w:r>
        <w:t xml:space="preserve">existencia de reclamos, denuncias o controversias;</w:t>
      </w:r>
    </w:p>
    <w:p>
      <w:pPr>
        <w:pStyle w:val="Compact"/>
        <w:numPr>
          <w:ilvl w:val="0"/>
          <w:numId w:val="1017"/>
        </w:numPr>
      </w:pPr>
      <w:r>
        <w:t xml:space="preserve">necesidad de auditoría o seguridad.</w:t>
      </w:r>
    </w:p>
    <w:bookmarkEnd w:id="50"/>
    <w:bookmarkStart w:id="51" w:name="eliminación-o-anonimización"/>
    <w:p>
      <w:pPr>
        <w:pStyle w:val="Heading2"/>
      </w:pPr>
      <w:r>
        <w:t xml:space="preserve">11.2 Eliminación o anonimización</w:t>
      </w:r>
    </w:p>
    <w:p>
      <w:pPr>
        <w:pStyle w:val="FirstParagraph"/>
      </w:pPr>
      <w:r>
        <w:t xml:space="preserve">Cuando la evidencia ya no sea necesaria, AlertaCuenta debe procurar eliminarla, anonimizarla, bloquearla o conservarla de forma restringida, según corresponda.</w:t>
      </w:r>
    </w:p>
    <w:bookmarkEnd w:id="51"/>
    <w:bookmarkStart w:id="52" w:name="copia-del-usuario"/>
    <w:p>
      <w:pPr>
        <w:pStyle w:val="Heading2"/>
      </w:pPr>
      <w:r>
        <w:t xml:space="preserve">11.3 Copia del usuario</w:t>
      </w:r>
    </w:p>
    <w:p>
      <w:pPr>
        <w:pStyle w:val="FirstParagraph"/>
      </w:pPr>
      <w:r>
        <w:t xml:space="preserve">El usuario debe conservar sus propios respaldos. AlertaCuenta puede ayudar a ordenar evidencia, pero no debe ser el único lugar donde exista la copia de antecedentes importantes.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compartición-de-evidencia-con-terceros"/>
    <w:p>
      <w:pPr>
        <w:pStyle w:val="Heading1"/>
      </w:pPr>
      <w:r>
        <w:t xml:space="preserve">12. Compartición de evidencia con terceros</w:t>
      </w:r>
    </w:p>
    <w:p>
      <w:pPr>
        <w:pStyle w:val="FirstParagraph"/>
      </w:pPr>
      <w:r>
        <w:t xml:space="preserve">AlertaCuenta no debe compartir evidencia con terceros salvo que exista una finalidad legítima y base suficiente.</w:t>
      </w:r>
    </w:p>
    <w:bookmarkStart w:id="54" w:name="terceros-posibles"/>
    <w:p>
      <w:pPr>
        <w:pStyle w:val="Heading2"/>
      </w:pPr>
      <w:r>
        <w:t xml:space="preserve">12.1 Terceros posibles</w:t>
      </w:r>
    </w:p>
    <w:p>
      <w:pPr>
        <w:pStyle w:val="FirstParagraph"/>
      </w:pPr>
      <w:r>
        <w:t xml:space="preserve">La evidencia podría compartirse o prepararse para ser enviada a:</w:t>
      </w:r>
    </w:p>
    <w:p>
      <w:pPr>
        <w:pStyle w:val="Compact"/>
        <w:numPr>
          <w:ilvl w:val="0"/>
          <w:numId w:val="1018"/>
        </w:numPr>
      </w:pPr>
      <w:r>
        <w:t xml:space="preserve">banco o institución financiera;</w:t>
      </w:r>
    </w:p>
    <w:p>
      <w:pPr>
        <w:pStyle w:val="Compact"/>
        <w:numPr>
          <w:ilvl w:val="0"/>
          <w:numId w:val="1018"/>
        </w:numPr>
      </w:pPr>
      <w:r>
        <w:t xml:space="preserve">comercio o plataforma involucrada;</w:t>
      </w:r>
    </w:p>
    <w:p>
      <w:pPr>
        <w:pStyle w:val="Compact"/>
        <w:numPr>
          <w:ilvl w:val="0"/>
          <w:numId w:val="1018"/>
        </w:numPr>
      </w:pPr>
      <w:r>
        <w:t xml:space="preserve">SERNAC;</w:t>
      </w:r>
    </w:p>
    <w:p>
      <w:pPr>
        <w:pStyle w:val="Compact"/>
        <w:numPr>
          <w:ilvl w:val="0"/>
          <w:numId w:val="1018"/>
        </w:numPr>
      </w:pPr>
      <w:r>
        <w:t xml:space="preserve">policías o Ministerio Público, si corresponde;</w:t>
      </w:r>
    </w:p>
    <w:p>
      <w:pPr>
        <w:pStyle w:val="Compact"/>
        <w:numPr>
          <w:ilvl w:val="0"/>
          <w:numId w:val="1018"/>
        </w:numPr>
      </w:pPr>
      <w:r>
        <w:t xml:space="preserve">tribunales o autoridades competentes;</w:t>
      </w:r>
    </w:p>
    <w:p>
      <w:pPr>
        <w:pStyle w:val="Compact"/>
        <w:numPr>
          <w:ilvl w:val="0"/>
          <w:numId w:val="1018"/>
        </w:numPr>
      </w:pPr>
      <w:r>
        <w:t xml:space="preserve">abogados o revisores autorizados;</w:t>
      </w:r>
    </w:p>
    <w:p>
      <w:pPr>
        <w:pStyle w:val="Compact"/>
        <w:numPr>
          <w:ilvl w:val="0"/>
          <w:numId w:val="1018"/>
        </w:numPr>
      </w:pPr>
      <w:r>
        <w:t xml:space="preserve">proveedores técnicos necesarios para operar la plataforma;</w:t>
      </w:r>
    </w:p>
    <w:p>
      <w:pPr>
        <w:pStyle w:val="Compact"/>
        <w:numPr>
          <w:ilvl w:val="0"/>
          <w:numId w:val="1018"/>
        </w:numPr>
      </w:pPr>
      <w:r>
        <w:t xml:space="preserve">aliados institucionales autorizados en pilotos o integraciones.</w:t>
      </w:r>
    </w:p>
    <w:bookmarkEnd w:id="54"/>
    <w:bookmarkStart w:id="55" w:name="regla-de-autorización"/>
    <w:p>
      <w:pPr>
        <w:pStyle w:val="Heading2"/>
      </w:pPr>
      <w:r>
        <w:t xml:space="preserve">12.2 Regla de autorización</w:t>
      </w:r>
    </w:p>
    <w:p>
      <w:pPr>
        <w:pStyle w:val="FirstParagraph"/>
      </w:pPr>
      <w:r>
        <w:t xml:space="preserve">Cuando el envío dependa de la decisión del usuario, AlertaCuenta debe procurar que el usuario revise y autorice el contenido antes de su presentación o envío.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uso-de-evidencia-para-mejora-del-sistema"/>
    <w:p>
      <w:pPr>
        <w:pStyle w:val="Heading1"/>
      </w:pPr>
      <w:r>
        <w:t xml:space="preserve">13. Uso de evidencia para mejora del sistema</w:t>
      </w:r>
    </w:p>
    <w:p>
      <w:pPr>
        <w:pStyle w:val="FirstParagraph"/>
      </w:pPr>
      <w:r>
        <w:t xml:space="preserve">AlertaCuenta puede analizar información del uso de la plataforma para mejorar flujos, calidad, seguridad y experiencia de usuario.</w:t>
      </w:r>
    </w:p>
    <w:p>
      <w:pPr>
        <w:pStyle w:val="BodyText"/>
      </w:pPr>
      <w:r>
        <w:t xml:space="preserve">Cuando sea posible, ese análisis debe realizarse con datos:</w:t>
      </w:r>
    </w:p>
    <w:p>
      <w:pPr>
        <w:pStyle w:val="Compact"/>
        <w:numPr>
          <w:ilvl w:val="0"/>
          <w:numId w:val="1019"/>
        </w:numPr>
      </w:pPr>
      <w:r>
        <w:t xml:space="preserve">agregados;</w:t>
      </w:r>
    </w:p>
    <w:p>
      <w:pPr>
        <w:pStyle w:val="Compact"/>
        <w:numPr>
          <w:ilvl w:val="0"/>
          <w:numId w:val="1019"/>
        </w:numPr>
      </w:pPr>
      <w:r>
        <w:t xml:space="preserve">anonimizados;</w:t>
      </w:r>
    </w:p>
    <w:p>
      <w:pPr>
        <w:pStyle w:val="Compact"/>
        <w:numPr>
          <w:ilvl w:val="0"/>
          <w:numId w:val="1019"/>
        </w:numPr>
      </w:pPr>
      <w:r>
        <w:t xml:space="preserve">minimizados;</w:t>
      </w:r>
    </w:p>
    <w:p>
      <w:pPr>
        <w:pStyle w:val="Compact"/>
        <w:numPr>
          <w:ilvl w:val="0"/>
          <w:numId w:val="1019"/>
        </w:numPr>
      </w:pPr>
      <w:r>
        <w:t xml:space="preserve">seudonimizados;</w:t>
      </w:r>
    </w:p>
    <w:p>
      <w:pPr>
        <w:pStyle w:val="Compact"/>
        <w:numPr>
          <w:ilvl w:val="0"/>
          <w:numId w:val="1019"/>
        </w:numPr>
      </w:pPr>
      <w:r>
        <w:t xml:space="preserve">sintéticos;</w:t>
      </w:r>
    </w:p>
    <w:p>
      <w:pPr>
        <w:pStyle w:val="Compact"/>
        <w:numPr>
          <w:ilvl w:val="0"/>
          <w:numId w:val="1019"/>
        </w:numPr>
      </w:pPr>
      <w:r>
        <w:t xml:space="preserve">o expresamente autorizados.</w:t>
      </w:r>
    </w:p>
    <w:p>
      <w:pPr>
        <w:pStyle w:val="FirstParagraph"/>
      </w:pPr>
      <w:r>
        <w:t xml:space="preserve">La evidencia identificable de un usuario no debe usarse para finalidades incompatibles con el caso ni para entrenamiento general de modelos de IA sin autorización expresa o base jurídica suficiente.</w:t>
      </w:r>
    </w:p>
    <w:p>
      <w:r>
        <w:pict>
          <v:rect style="width:0;height:1.5pt" o:hralign="center" o:hrstd="t" o:hr="t"/>
        </w:pict>
      </w:r>
    </w:p>
    <w:bookmarkEnd w:id="57"/>
    <w:bookmarkStart w:id="58" w:name="señales-de-alerta-para-el-usuario"/>
    <w:p>
      <w:pPr>
        <w:pStyle w:val="Heading1"/>
      </w:pPr>
      <w:r>
        <w:t xml:space="preserve">14. Señales de alerta para el usuario</w:t>
      </w:r>
    </w:p>
    <w:p>
      <w:pPr>
        <w:pStyle w:val="FirstParagraph"/>
      </w:pPr>
      <w:r>
        <w:t xml:space="preserve">Trata como sospechosa cualquier comunicación que:</w:t>
      </w:r>
    </w:p>
    <w:p>
      <w:pPr>
        <w:pStyle w:val="Compact"/>
        <w:numPr>
          <w:ilvl w:val="0"/>
          <w:numId w:val="1020"/>
        </w:numPr>
      </w:pPr>
      <w:r>
        <w:t xml:space="preserve">te pida claves o códigos;</w:t>
      </w:r>
    </w:p>
    <w:p>
      <w:pPr>
        <w:pStyle w:val="Compact"/>
        <w:numPr>
          <w:ilvl w:val="0"/>
          <w:numId w:val="1020"/>
        </w:numPr>
      </w:pPr>
      <w:r>
        <w:t xml:space="preserve">te presione con urgencia extrema;</w:t>
      </w:r>
    </w:p>
    <w:p>
      <w:pPr>
        <w:pStyle w:val="Compact"/>
        <w:numPr>
          <w:ilvl w:val="0"/>
          <w:numId w:val="1020"/>
        </w:numPr>
      </w:pPr>
      <w:r>
        <w:t xml:space="preserve">te diga que no contactes al banco;</w:t>
      </w:r>
    </w:p>
    <w:p>
      <w:pPr>
        <w:pStyle w:val="Compact"/>
        <w:numPr>
          <w:ilvl w:val="0"/>
          <w:numId w:val="1020"/>
        </w:numPr>
      </w:pPr>
      <w:r>
        <w:t xml:space="preserve">te solicite instalar una aplicación;</w:t>
      </w:r>
    </w:p>
    <w:p>
      <w:pPr>
        <w:pStyle w:val="Compact"/>
        <w:numPr>
          <w:ilvl w:val="0"/>
          <w:numId w:val="1020"/>
        </w:numPr>
      </w:pPr>
      <w:r>
        <w:t xml:space="preserve">te pida compartir pantalla;</w:t>
      </w:r>
    </w:p>
    <w:p>
      <w:pPr>
        <w:pStyle w:val="Compact"/>
        <w:numPr>
          <w:ilvl w:val="0"/>
          <w:numId w:val="1020"/>
        </w:numPr>
      </w:pPr>
      <w:r>
        <w:t xml:space="preserve">te envíe enlaces acortados o extraños;</w:t>
      </w:r>
    </w:p>
    <w:p>
      <w:pPr>
        <w:pStyle w:val="Compact"/>
        <w:numPr>
          <w:ilvl w:val="0"/>
          <w:numId w:val="1020"/>
        </w:numPr>
      </w:pPr>
      <w:r>
        <w:t xml:space="preserve">tenga errores de redacción o dominios sospechosos;</w:t>
      </w:r>
    </w:p>
    <w:p>
      <w:pPr>
        <w:pStyle w:val="Compact"/>
        <w:numPr>
          <w:ilvl w:val="0"/>
          <w:numId w:val="1020"/>
        </w:numPr>
      </w:pPr>
      <w:r>
        <w:t xml:space="preserve">te pida transferir dinero para</w:t>
      </w:r>
      <w:r>
        <w:t xml:space="preserve"> </w:t>
      </w:r>
      <w:r>
        <w:t xml:space="preserve">“recuperar”</w:t>
      </w:r>
      <w:r>
        <w:t xml:space="preserve"> </w:t>
      </w:r>
      <w:r>
        <w:t xml:space="preserve">tu dinero;</w:t>
      </w:r>
    </w:p>
    <w:p>
      <w:pPr>
        <w:pStyle w:val="Compact"/>
        <w:numPr>
          <w:ilvl w:val="0"/>
          <w:numId w:val="1020"/>
        </w:numPr>
      </w:pPr>
      <w:r>
        <w:t xml:space="preserve">prometa devolución garantizada;</w:t>
      </w:r>
    </w:p>
    <w:p>
      <w:pPr>
        <w:pStyle w:val="Compact"/>
        <w:numPr>
          <w:ilvl w:val="0"/>
          <w:numId w:val="1020"/>
        </w:numPr>
      </w:pPr>
      <w:r>
        <w:t xml:space="preserve">use amenazas para forzarte a actuar.</w:t>
      </w:r>
    </w:p>
    <w:p>
      <w:pPr>
        <w:pStyle w:val="FirstParagraph"/>
      </w:pPr>
      <w:r>
        <w:t xml:space="preserve">AlertaCuenta debe comunicar sus canales oficiales para que el usuario pueda verificar cualquier contacto.</w:t>
      </w:r>
    </w:p>
    <w:p>
      <w:r>
        <w:pict>
          <v:rect style="width:0;height:1.5pt" o:hralign="center" o:hrstd="t" o:hr="t"/>
        </w:pict>
      </w:r>
    </w:p>
    <w:bookmarkEnd w:id="58"/>
    <w:bookmarkStart w:id="59" w:name="canales-oficiales"/>
    <w:p>
      <w:pPr>
        <w:pStyle w:val="Heading1"/>
      </w:pPr>
      <w:r>
        <w:t xml:space="preserve">15. Canales oficiales</w:t>
      </w:r>
    </w:p>
    <w:p>
      <w:pPr>
        <w:pStyle w:val="FirstParagraph"/>
      </w:pPr>
      <w:r>
        <w:t xml:space="preserve">Los canales oficiales de AlertaCuenta son:</w:t>
      </w:r>
    </w:p>
    <w:p>
      <w:pPr>
        <w:pStyle w:val="BodyText"/>
      </w:pPr>
      <w:r>
        <w:rPr>
          <w:b/>
          <w:bCs/>
        </w:rPr>
        <w:t xml:space="preserve">Sitio web:</w:t>
      </w:r>
      <w:r>
        <w:t xml:space="preserve"> </w:t>
      </w:r>
      <w:r>
        <w:t xml:space="preserve">[●]</w:t>
      </w:r>
      <w:r>
        <w:br/>
      </w:r>
      <w:r>
        <w:rPr>
          <w:b/>
          <w:bCs/>
        </w:rPr>
        <w:t xml:space="preserve">Correo de privacidad:</w:t>
      </w:r>
      <w:r>
        <w:t xml:space="preserve"> </w:t>
      </w:r>
      <w:r>
        <w:t xml:space="preserve">[privacidad@alertacuenta.cl]</w:t>
      </w:r>
      <w:r>
        <w:br/>
      </w:r>
      <w:r>
        <w:rPr>
          <w:b/>
          <w:bCs/>
        </w:rPr>
        <w:t xml:space="preserve">Correo de soporte:</w:t>
      </w:r>
      <w:r>
        <w:t xml:space="preserve"> </w:t>
      </w:r>
      <w:r>
        <w:t xml:space="preserve">[soporte@alertacuenta.cl]</w:t>
      </w:r>
      <w:r>
        <w:br/>
      </w:r>
      <w:r>
        <w:rPr>
          <w:b/>
          <w:bCs/>
        </w:rPr>
        <w:t xml:space="preserve">WhatsApp o teléfono oficial:</w:t>
      </w:r>
      <w:r>
        <w:t xml:space="preserve"> </w:t>
      </w:r>
      <w:r>
        <w:t xml:space="preserve">[●]</w:t>
      </w:r>
      <w:r>
        <w:br/>
      </w:r>
      <w:r>
        <w:rPr>
          <w:b/>
          <w:bCs/>
        </w:rPr>
        <w:t xml:space="preserve">Formulario de reporte:</w:t>
      </w:r>
      <w:r>
        <w:t xml:space="preserve"> </w:t>
      </w:r>
      <w:r>
        <w:t xml:space="preserve">[●]</w:t>
      </w:r>
    </w:p>
    <w:p>
      <w:pPr>
        <w:pStyle w:val="BodyText"/>
      </w:pPr>
      <w:r>
        <w:t xml:space="preserve">AlertaCuenta no debe solicitar claves, códigos ni acceso remoto por ninguno de estos canales.</w:t>
      </w:r>
    </w:p>
    <w:p>
      <w:r>
        <w:pict>
          <v:rect style="width:0;height:1.5pt" o:hralign="center" o:hrstd="t" o:hr="t"/>
        </w:pict>
      </w:r>
    </w:p>
    <w:bookmarkEnd w:id="59"/>
    <w:bookmarkStart w:id="60" w:name="relación-con-otros-documentos"/>
    <w:p>
      <w:pPr>
        <w:pStyle w:val="Heading1"/>
      </w:pPr>
      <w:r>
        <w:t xml:space="preserve">16. Relación con otros documentos</w:t>
      </w:r>
    </w:p>
    <w:p>
      <w:pPr>
        <w:pStyle w:val="FirstParagraph"/>
      </w:pPr>
      <w:r>
        <w:t xml:space="preserve">Este Aviso debe leerse junto con:</w:t>
      </w:r>
    </w:p>
    <w:p>
      <w:pPr>
        <w:pStyle w:val="Compact"/>
        <w:numPr>
          <w:ilvl w:val="0"/>
          <w:numId w:val="1021"/>
        </w:numPr>
      </w:pPr>
      <w:r>
        <w:t xml:space="preserve">Centro de Confianza AlertaCuenta;</w:t>
      </w:r>
    </w:p>
    <w:p>
      <w:pPr>
        <w:pStyle w:val="Compact"/>
        <w:numPr>
          <w:ilvl w:val="0"/>
          <w:numId w:val="1021"/>
        </w:numPr>
      </w:pPr>
      <w:r>
        <w:t xml:space="preserve">Política de Privacidad;</w:t>
      </w:r>
    </w:p>
    <w:p>
      <w:pPr>
        <w:pStyle w:val="Compact"/>
        <w:numPr>
          <w:ilvl w:val="0"/>
          <w:numId w:val="1021"/>
        </w:numPr>
      </w:pPr>
      <w:r>
        <w:t xml:space="preserve">Términos de Uso;</w:t>
      </w:r>
    </w:p>
    <w:p>
      <w:pPr>
        <w:pStyle w:val="Compact"/>
        <w:numPr>
          <w:ilvl w:val="0"/>
          <w:numId w:val="1021"/>
        </w:numPr>
      </w:pPr>
      <w:r>
        <w:t xml:space="preserve">Política de Gobernanza de IA;</w:t>
      </w:r>
    </w:p>
    <w:p>
      <w:pPr>
        <w:pStyle w:val="Compact"/>
        <w:numPr>
          <w:ilvl w:val="0"/>
          <w:numId w:val="1021"/>
        </w:numPr>
      </w:pPr>
      <w:r>
        <w:t xml:space="preserve">Declaración de Seguridad de la Información;</w:t>
      </w:r>
    </w:p>
    <w:p>
      <w:pPr>
        <w:pStyle w:val="Compact"/>
        <w:numPr>
          <w:ilvl w:val="0"/>
          <w:numId w:val="1021"/>
        </w:numPr>
      </w:pPr>
      <w:r>
        <w:t xml:space="preserve">Política de Gobierno de Datos;</w:t>
      </w:r>
    </w:p>
    <w:p>
      <w:pPr>
        <w:pStyle w:val="Compact"/>
        <w:numPr>
          <w:ilvl w:val="0"/>
          <w:numId w:val="1021"/>
        </w:numPr>
      </w:pPr>
      <w:r>
        <w:t xml:space="preserve">Política de Cookies;</w:t>
      </w:r>
    </w:p>
    <w:p>
      <w:pPr>
        <w:pStyle w:val="Compact"/>
        <w:numPr>
          <w:ilvl w:val="0"/>
          <w:numId w:val="1021"/>
        </w:numPr>
      </w:pPr>
      <w:r>
        <w:t xml:space="preserve">DPA o Acuerdo de Tratamiento de Datos, cuando corresponda.</w:t>
      </w:r>
    </w:p>
    <w:p>
      <w:pPr>
        <w:pStyle w:val="FirstParagraph"/>
      </w:pPr>
      <w:r>
        <w:t xml:space="preserve">En caso de contradicción, prevalecerá el documento más específico respecto del tratamiento de datos financieros y evidencia de fraude, salvo que un contrato, ley o instrumento especial disponga otra cosa.</w:t>
      </w:r>
    </w:p>
    <w:p>
      <w:r>
        <w:pict>
          <v:rect style="width:0;height:1.5pt" o:hralign="center" o:hrstd="t" o:hr="t"/>
        </w:pict>
      </w:r>
    </w:p>
    <w:bookmarkEnd w:id="60"/>
    <w:bookmarkStart w:id="61" w:name="X5f03677c6d6d56e0163ae0857c555d24ff4e542"/>
    <w:p>
      <w:pPr>
        <w:pStyle w:val="Heading1"/>
      </w:pPr>
      <w:r>
        <w:t xml:space="preserve">17. Checklist rápido antes de enviar información</w:t>
      </w:r>
    </w:p>
    <w:p>
      <w:pPr>
        <w:pStyle w:val="FirstParagraph"/>
      </w:pPr>
      <w:r>
        <w:t xml:space="preserve">Antes de enviar antecedentes a AlertaCuenta, revisa:</w:t>
      </w:r>
    </w:p>
    <w:p>
      <w:pPr>
        <w:pStyle w:val="Compact"/>
        <w:numPr>
          <w:ilvl w:val="0"/>
          <w:numId w:val="1022"/>
        </w:numPr>
      </w:pPr>
      <w:r>
        <w:t xml:space="preserve">¿El documento sirve para explicar el fraude?</w:t>
      </w:r>
    </w:p>
    <w:p>
      <w:pPr>
        <w:pStyle w:val="Compact"/>
        <w:numPr>
          <w:ilvl w:val="0"/>
          <w:numId w:val="1022"/>
        </w:numPr>
      </w:pPr>
      <w:r>
        <w:t xml:space="preserve">¿Oculté claves, códigos, CVV o coordenadas?</w:t>
      </w:r>
    </w:p>
    <w:p>
      <w:pPr>
        <w:pStyle w:val="Compact"/>
        <w:numPr>
          <w:ilvl w:val="0"/>
          <w:numId w:val="1022"/>
        </w:numPr>
      </w:pPr>
      <w:r>
        <w:t xml:space="preserve">¿Estoy compartiendo solo movimientos relacionados?</w:t>
      </w:r>
    </w:p>
    <w:p>
      <w:pPr>
        <w:pStyle w:val="Compact"/>
        <w:numPr>
          <w:ilvl w:val="0"/>
          <w:numId w:val="1022"/>
        </w:numPr>
      </w:pPr>
      <w:r>
        <w:t xml:space="preserve">¿Se ve la fecha, monto y entidad involucrada?</w:t>
      </w:r>
    </w:p>
    <w:p>
      <w:pPr>
        <w:pStyle w:val="Compact"/>
        <w:numPr>
          <w:ilvl w:val="0"/>
          <w:numId w:val="1022"/>
        </w:numPr>
      </w:pPr>
      <w:r>
        <w:t xml:space="preserve">¿Conservé una copia original?</w:t>
      </w:r>
    </w:p>
    <w:p>
      <w:pPr>
        <w:pStyle w:val="Compact"/>
        <w:numPr>
          <w:ilvl w:val="0"/>
          <w:numId w:val="1022"/>
        </w:numPr>
      </w:pPr>
      <w:r>
        <w:t xml:space="preserve">¿Estoy usando un canal oficial de AlertaCuenta?</w:t>
      </w:r>
    </w:p>
    <w:p>
      <w:pPr>
        <w:pStyle w:val="Compact"/>
        <w:numPr>
          <w:ilvl w:val="0"/>
          <w:numId w:val="1022"/>
        </w:numPr>
      </w:pPr>
      <w:r>
        <w:t xml:space="preserve">¿La información que comparto es necesaria para mi caso?</w:t>
      </w:r>
    </w:p>
    <w:p>
      <w:pPr>
        <w:pStyle w:val="FirstParagraph"/>
      </w:pPr>
      <w:r>
        <w:t xml:space="preserve">Si la respuesta a alguna de estas preguntas te genera duda, comparte menos información y solicita orientación.</w:t>
      </w:r>
    </w:p>
    <w:p>
      <w:r>
        <w:pict>
          <v:rect style="width:0;height:1.5pt" o:hralign="center" o:hrstd="t" o:hr="t"/>
        </w:pict>
      </w:r>
    </w:p>
    <w:bookmarkEnd w:id="61"/>
    <w:bookmarkStart w:id="62" w:name="mensaje-final"/>
    <w:p>
      <w:pPr>
        <w:pStyle w:val="Heading1"/>
      </w:pPr>
      <w:r>
        <w:t xml:space="preserve">18. Mensaje final</w:t>
      </w:r>
    </w:p>
    <w:p>
      <w:pPr>
        <w:pStyle w:val="FirstParagraph"/>
      </w:pPr>
      <w:r>
        <w:t xml:space="preserve">En un fraude financiero, la evidencia puede ayudarte; las claves pueden hundirte.</w:t>
      </w:r>
    </w:p>
    <w:p>
      <w:pPr>
        <w:pStyle w:val="BodyText"/>
      </w:pPr>
      <w:r>
        <w:t xml:space="preserve">AlertaCuenta está diseñada para acompañarte a ordenar el caso, conservar antecedentes útiles y actuar con mayor claridad. Pero la primera regla de protección siempre será la misma:</w:t>
      </w:r>
    </w:p>
    <w:p>
      <w:pPr>
        <w:pStyle w:val="BodyText"/>
      </w:pPr>
      <w:r>
        <w:rPr>
          <w:b/>
          <w:bCs/>
        </w:rPr>
        <w:t xml:space="preserve">No entregues claves. No entregues códigos. No compartas acceso remoto. Guarda evidencia. Usa canales oficiales. Actúa rápido, pero con cuidado.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2026-05-07T03:29:26Z</dcterms:created>
  <dcterms:modified xsi:type="dcterms:W3CDTF">2026-05-07T03:29:26Z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