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entro-de-confianza-alertacuenta"/>
    <w:p>
      <w:pPr>
        <w:pStyle w:val="Heading1"/>
      </w:pPr>
      <w:r>
        <w:t xml:space="preserve">Centro de Confianza AlertaCuenta</w:t>
      </w:r>
    </w:p>
    <w:bookmarkStart w:id="20" w:name="X82ff0a71095172fd961567964be92159a5a06d4"/>
    <w:p>
      <w:pPr>
        <w:pStyle w:val="Heading2"/>
      </w:pPr>
      <w:r>
        <w:t xml:space="preserve">Transparencia, seguridad y uso responsable de datos para ayudarte frente a fraudes financieros</w:t>
      </w:r>
    </w:p>
    <w:p>
      <w:pPr>
        <w:pStyle w:val="FirstParagraph"/>
      </w:pPr>
      <w:r>
        <w:t xml:space="preserve">AlertaCuenta nace para acompañar a personas que enfrentan una urgencia, sospecha o experiencia de fraude financiero. Sabemos que en ese momento la prioridad es actuar rápido, pero también actuar con cuidado: proteger la cuenta, ordenar la evidencia, entender los pasos disponibles y evitar entregar información sensible a quien no corresponde.</w:t>
      </w:r>
    </w:p>
    <w:p>
      <w:pPr>
        <w:pStyle w:val="BodyText"/>
      </w:pPr>
      <w:r>
        <w:t xml:space="preserve">Este Centro de Confianza explica, en lenguaje claro, cómo AlertaCuenta busca proteger la información de las personas usuarias, cómo utiliza tecnología e inteligencia artificial, qué datos puede solicitar, qué datos nunca debe pedir y cuáles son los principios que orientan su operación.</w:t>
      </w:r>
    </w:p>
    <w:p>
      <w:pPr>
        <w:pStyle w:val="BlockText"/>
      </w:pPr>
      <w:r>
        <w:rPr>
          <w:b/>
          <w:bCs/>
        </w:rPr>
        <w:t xml:space="preserve">Mensaje esencial:</w:t>
      </w:r>
      <w:r>
        <w:t xml:space="preserve"> </w:t>
      </w:r>
      <w:r>
        <w:t xml:space="preserve">AlertaCuenta busca ayudarte a actuar frente al fraude sin exponerte a una segunda vulneración.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nuestro-compromiso-de-confianza"/>
    <w:p>
      <w:pPr>
        <w:pStyle w:val="Heading1"/>
      </w:pPr>
      <w:r>
        <w:t xml:space="preserve">1. Nuestro compromiso de confianza</w:t>
      </w:r>
    </w:p>
    <w:p>
      <w:pPr>
        <w:pStyle w:val="FirstParagraph"/>
      </w:pPr>
      <w:r>
        <w:t xml:space="preserve">AlertaCuenta se construye sobre cinco compromisos básicos:</w:t>
      </w:r>
    </w:p>
    <w:bookmarkStart w:id="22" w:name="Xbb66402fcced35e62e71c8c83ea8bf7a7704a81"/>
    <w:p>
      <w:pPr>
        <w:pStyle w:val="Heading2"/>
      </w:pPr>
      <w:r>
        <w:t xml:space="preserve">1.1 Actuar con urgencia, sin sacrificar seguridad</w:t>
      </w:r>
    </w:p>
    <w:p>
      <w:pPr>
        <w:pStyle w:val="FirstParagraph"/>
      </w:pPr>
      <w:r>
        <w:t xml:space="preserve">El fraude financiero exige rapidez. Sin embargo, actuar rápido no significa actuar de manera desordenada. La plataforma está diseñada para orientar al usuario, priorizar medidas inmediatas y recopilar información solo en la medida necesaria para comprender el caso.</w:t>
      </w:r>
    </w:p>
    <w:bookmarkEnd w:id="22"/>
    <w:bookmarkStart w:id="23" w:name="Xaa852b92fe61c9acde0ab794795a01e75611366"/>
    <w:p>
      <w:pPr>
        <w:pStyle w:val="Heading2"/>
      </w:pPr>
      <w:r>
        <w:t xml:space="preserve">1.2 No pedir información que pueda ponerte en riesgo</w:t>
      </w:r>
    </w:p>
    <w:p>
      <w:pPr>
        <w:pStyle w:val="FirstParagraph"/>
      </w:pPr>
      <w:r>
        <w:t xml:space="preserve">AlertaCuenta no necesita tus claves, contraseñas, PIN, coordenadas, códigos SMS, códigos de autenticación, claves dinámicas ni datos completos de tarjetas para ayudarte.</w:t>
      </w:r>
    </w:p>
    <w:p>
      <w:pPr>
        <w:pStyle w:val="BodyText"/>
      </w:pPr>
      <w:r>
        <w:t xml:space="preserve">Si una persona, sitio, mensaje o supuesto ejecutivo te pide esa información, debes tratarlo como una señal de alerta.</w:t>
      </w:r>
    </w:p>
    <w:bookmarkEnd w:id="23"/>
    <w:bookmarkStart w:id="24" w:name="X4ebac425ae11a7210431a572f706977c094d8d8"/>
    <w:p>
      <w:pPr>
        <w:pStyle w:val="Heading2"/>
      </w:pPr>
      <w:r>
        <w:t xml:space="preserve">1.3 Usar los datos solo para finalidades legítimas</w:t>
      </w:r>
    </w:p>
    <w:p>
      <w:pPr>
        <w:pStyle w:val="FirstParagraph"/>
      </w:pPr>
      <w:r>
        <w:t xml:space="preserve">La información que entregues debe ser utilizada para orientarte, ordenar tu caso, clasificar la situación, ayudarte a preparar antecedentes, generar documentos o facilitar rutas de acción relacionadas con el evento reportado.</w:t>
      </w:r>
    </w:p>
    <w:bookmarkEnd w:id="24"/>
    <w:bookmarkStart w:id="25" w:name="X38fcf24356c84dc8b54c0c142926494f1d303a6"/>
    <w:p>
      <w:pPr>
        <w:pStyle w:val="Heading2"/>
      </w:pPr>
      <w:r>
        <w:t xml:space="preserve">1.4 Usar inteligencia artificial con control humano proporcional</w:t>
      </w:r>
    </w:p>
    <w:p>
      <w:pPr>
        <w:pStyle w:val="FirstParagraph"/>
      </w:pPr>
      <w:r>
        <w:t xml:space="preserve">La IA puede ayudar a resumir relatos, ordenar evidencia, detectar señales de urgencia, clasificar tipos de fraude y generar borradores de documentos. Pero no debe sustituir automáticamente el juicio humano en decisiones críticas, legales, financieras o sensibles.</w:t>
      </w:r>
    </w:p>
    <w:bookmarkEnd w:id="25"/>
    <w:bookmarkStart w:id="26" w:name="diseñar-confianza-desde-el-inicio"/>
    <w:p>
      <w:pPr>
        <w:pStyle w:val="Heading2"/>
      </w:pPr>
      <w:r>
        <w:t xml:space="preserve">1.5 Diseñar confianza desde el inicio</w:t>
      </w:r>
    </w:p>
    <w:p>
      <w:pPr>
        <w:pStyle w:val="FirstParagraph"/>
      </w:pPr>
      <w:r>
        <w:t xml:space="preserve">La confianza no debe agregarse al final. Debe estar integrada en el diseño del flujo, los mensajes, la recolección de datos, la seguridad técnica, la gobernanza de IA y los documentos legales de la plataforma.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7cac90d6f3dc2efb620b67a45431f24a5056e02"/>
    <w:p>
      <w:pPr>
        <w:pStyle w:val="Heading1"/>
      </w:pPr>
      <w:r>
        <w:t xml:space="preserve">2. Qué información puede solicitar AlertaCuenta</w:t>
      </w:r>
    </w:p>
    <w:p>
      <w:pPr>
        <w:pStyle w:val="FirstParagraph"/>
      </w:pPr>
      <w:r>
        <w:t xml:space="preserve">Dependiendo del caso, AlertaCuenta puede pedir información para entender qué ocurrió, qué tan urgente es la situación y qué pasos conviene seguir.</w:t>
      </w:r>
    </w:p>
    <w:bookmarkStart w:id="28" w:name="datos-de-identificación-y-contacto"/>
    <w:p>
      <w:pPr>
        <w:pStyle w:val="Heading2"/>
      </w:pPr>
      <w:r>
        <w:t xml:space="preserve">2.1 Datos de identificación y contacto</w:t>
      </w:r>
    </w:p>
    <w:p>
      <w:pPr>
        <w:pStyle w:val="FirstParagraph"/>
      </w:pPr>
      <w:r>
        <w:t xml:space="preserve">Pueden incluir:</w:t>
      </w:r>
    </w:p>
    <w:p>
      <w:pPr>
        <w:pStyle w:val="Compact"/>
        <w:numPr>
          <w:ilvl w:val="0"/>
          <w:numId w:val="1001"/>
        </w:numPr>
      </w:pPr>
      <w:r>
        <w:t xml:space="preserve">nombre;</w:t>
      </w:r>
    </w:p>
    <w:p>
      <w:pPr>
        <w:pStyle w:val="Compact"/>
        <w:numPr>
          <w:ilvl w:val="0"/>
          <w:numId w:val="1001"/>
        </w:numPr>
      </w:pPr>
      <w:r>
        <w:t xml:space="preserve">correo electrónico;</w:t>
      </w:r>
    </w:p>
    <w:p>
      <w:pPr>
        <w:pStyle w:val="Compact"/>
        <w:numPr>
          <w:ilvl w:val="0"/>
          <w:numId w:val="1001"/>
        </w:numPr>
      </w:pPr>
      <w:r>
        <w:t xml:space="preserve">teléfono;</w:t>
      </w:r>
    </w:p>
    <w:p>
      <w:pPr>
        <w:pStyle w:val="Compact"/>
        <w:numPr>
          <w:ilvl w:val="0"/>
          <w:numId w:val="1001"/>
        </w:numPr>
      </w:pPr>
      <w:r>
        <w:t xml:space="preserve">comuna o región;</w:t>
      </w:r>
    </w:p>
    <w:p>
      <w:pPr>
        <w:pStyle w:val="Compact"/>
        <w:numPr>
          <w:ilvl w:val="0"/>
          <w:numId w:val="1001"/>
        </w:numPr>
      </w:pPr>
      <w:r>
        <w:t xml:space="preserve">canal preferente de contacto;</w:t>
      </w:r>
    </w:p>
    <w:p>
      <w:pPr>
        <w:pStyle w:val="Compact"/>
        <w:numPr>
          <w:ilvl w:val="0"/>
          <w:numId w:val="1001"/>
        </w:numPr>
      </w:pPr>
      <w:r>
        <w:t xml:space="preserve">datos básicos necesarios para preparar comunicaciones o documentos.</w:t>
      </w:r>
    </w:p>
    <w:bookmarkEnd w:id="28"/>
    <w:bookmarkStart w:id="29" w:name="información-del-evento-reportado"/>
    <w:p>
      <w:pPr>
        <w:pStyle w:val="Heading2"/>
      </w:pPr>
      <w:r>
        <w:t xml:space="preserve">2.2 Información del evento reportado</w:t>
      </w:r>
    </w:p>
    <w:p>
      <w:pPr>
        <w:pStyle w:val="FirstParagraph"/>
      </w:pPr>
      <w:r>
        <w:t xml:space="preserve">Pueden incluir:</w:t>
      </w:r>
    </w:p>
    <w:p>
      <w:pPr>
        <w:pStyle w:val="Compact"/>
        <w:numPr>
          <w:ilvl w:val="0"/>
          <w:numId w:val="1002"/>
        </w:numPr>
      </w:pPr>
      <w:r>
        <w:t xml:space="preserve">fecha y hora aproximada del hecho;</w:t>
      </w:r>
    </w:p>
    <w:p>
      <w:pPr>
        <w:pStyle w:val="Compact"/>
        <w:numPr>
          <w:ilvl w:val="0"/>
          <w:numId w:val="1002"/>
        </w:numPr>
      </w:pPr>
      <w:r>
        <w:t xml:space="preserve">banco, institución financiera, comercio o plataforma involucrada;</w:t>
      </w:r>
    </w:p>
    <w:p>
      <w:pPr>
        <w:pStyle w:val="Compact"/>
        <w:numPr>
          <w:ilvl w:val="0"/>
          <w:numId w:val="1002"/>
        </w:numPr>
      </w:pPr>
      <w:r>
        <w:t xml:space="preserve">tipo de producto afectado, como cuenta corriente, cuenta vista, tarjeta, línea de crédito, billetera digital u otro medio de pago;</w:t>
      </w:r>
    </w:p>
    <w:p>
      <w:pPr>
        <w:pStyle w:val="Compact"/>
        <w:numPr>
          <w:ilvl w:val="0"/>
          <w:numId w:val="1002"/>
        </w:numPr>
      </w:pPr>
      <w:r>
        <w:t xml:space="preserve">monto aproximado comprometido;</w:t>
      </w:r>
    </w:p>
    <w:p>
      <w:pPr>
        <w:pStyle w:val="Compact"/>
        <w:numPr>
          <w:ilvl w:val="0"/>
          <w:numId w:val="1002"/>
        </w:numPr>
      </w:pPr>
      <w:r>
        <w:t xml:space="preserve">canal por el cual ocurrió el evento: llamada, SMS, WhatsApp, correo, sitio web, aplicación, cajero, transferencia, compra online u otro;</w:t>
      </w:r>
    </w:p>
    <w:p>
      <w:pPr>
        <w:pStyle w:val="Compact"/>
        <w:numPr>
          <w:ilvl w:val="0"/>
          <w:numId w:val="1002"/>
        </w:numPr>
      </w:pPr>
      <w:r>
        <w:t xml:space="preserve">relato de los hechos en texto, audio o formulario guiado.</w:t>
      </w:r>
    </w:p>
    <w:bookmarkEnd w:id="29"/>
    <w:bookmarkStart w:id="30" w:name="evidencia-o-documentos-del-caso"/>
    <w:p>
      <w:pPr>
        <w:pStyle w:val="Heading2"/>
      </w:pPr>
      <w:r>
        <w:t xml:space="preserve">2.3 Evidencia o documentos del caso</w:t>
      </w:r>
    </w:p>
    <w:p>
      <w:pPr>
        <w:pStyle w:val="FirstParagraph"/>
      </w:pPr>
      <w:r>
        <w:t xml:space="preserve">Pueden incluir:</w:t>
      </w:r>
    </w:p>
    <w:p>
      <w:pPr>
        <w:pStyle w:val="Compact"/>
        <w:numPr>
          <w:ilvl w:val="0"/>
          <w:numId w:val="1003"/>
        </w:numPr>
      </w:pPr>
      <w:r>
        <w:t xml:space="preserve">pantallazos de mensajes, correos o llamadas sospechosas;</w:t>
      </w:r>
    </w:p>
    <w:p>
      <w:pPr>
        <w:pStyle w:val="Compact"/>
        <w:numPr>
          <w:ilvl w:val="0"/>
          <w:numId w:val="1003"/>
        </w:numPr>
      </w:pPr>
      <w:r>
        <w:t xml:space="preserve">comprobantes de transferencia o cargos;</w:t>
      </w:r>
    </w:p>
    <w:p>
      <w:pPr>
        <w:pStyle w:val="Compact"/>
        <w:numPr>
          <w:ilvl w:val="0"/>
          <w:numId w:val="1003"/>
        </w:numPr>
      </w:pPr>
      <w:r>
        <w:t xml:space="preserve">cartolas o movimientos bancarios, idealmente ocultando información no necesaria;</w:t>
      </w:r>
    </w:p>
    <w:p>
      <w:pPr>
        <w:pStyle w:val="Compact"/>
        <w:numPr>
          <w:ilvl w:val="0"/>
          <w:numId w:val="1003"/>
        </w:numPr>
      </w:pPr>
      <w:r>
        <w:t xml:space="preserve">comunicaciones con el banco;</w:t>
      </w:r>
    </w:p>
    <w:p>
      <w:pPr>
        <w:pStyle w:val="Compact"/>
        <w:numPr>
          <w:ilvl w:val="0"/>
          <w:numId w:val="1003"/>
        </w:numPr>
      </w:pPr>
      <w:r>
        <w:t xml:space="preserve">reclamos presentados;</w:t>
      </w:r>
    </w:p>
    <w:p>
      <w:pPr>
        <w:pStyle w:val="Compact"/>
        <w:numPr>
          <w:ilvl w:val="0"/>
          <w:numId w:val="1003"/>
        </w:numPr>
      </w:pPr>
      <w:r>
        <w:t xml:space="preserve">respuestas o rechazos de la institución;</w:t>
      </w:r>
    </w:p>
    <w:p>
      <w:pPr>
        <w:pStyle w:val="Compact"/>
        <w:numPr>
          <w:ilvl w:val="0"/>
          <w:numId w:val="1003"/>
        </w:numPr>
      </w:pPr>
      <w:r>
        <w:t xml:space="preserve">constancias, denuncias o antecedentes asociados.</w:t>
      </w:r>
    </w:p>
    <w:bookmarkEnd w:id="30"/>
    <w:bookmarkStart w:id="31" w:name="Xcce88c0c37b3749f0bae9cd9dc11ba41fd73755"/>
    <w:p>
      <w:pPr>
        <w:pStyle w:val="Heading2"/>
      </w:pPr>
      <w:r>
        <w:t xml:space="preserve">2.4 Datos financieros necesarios para el caso</w:t>
      </w:r>
    </w:p>
    <w:p>
      <w:pPr>
        <w:pStyle w:val="FirstParagraph"/>
      </w:pPr>
      <w:r>
        <w:t xml:space="preserve">AlertaCuenta puede necesitar información financiera limitada para comprender el hecho, identificar operaciones cuestionadas o generar documentos útiles. Esa información debe tratarse con protección reforzada y bajo criterios de minimización.</w:t>
      </w:r>
    </w:p>
    <w:p>
      <w:pPr>
        <w:pStyle w:val="BlockText"/>
      </w:pPr>
      <w:r>
        <w:rPr>
          <w:b/>
          <w:bCs/>
        </w:rPr>
        <w:t xml:space="preserve">Regla práctica:</w:t>
      </w:r>
      <w:r>
        <w:t xml:space="preserve"> </w:t>
      </w:r>
      <w:r>
        <w:t xml:space="preserve">comparte solo lo necesario para entender el caso. Si un dato no ayuda a explicar el fraude o preparar el reclamo, probablemente no necesitamos pedirlo.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qué-información-nunca-debes-entregar"/>
    <w:p>
      <w:pPr>
        <w:pStyle w:val="Heading1"/>
      </w:pPr>
      <w:r>
        <w:t xml:space="preserve">3. Qué información nunca debes entregar</w:t>
      </w:r>
    </w:p>
    <w:p>
      <w:pPr>
        <w:pStyle w:val="FirstParagraph"/>
      </w:pPr>
      <w:r>
        <w:t xml:space="preserve">AlertaCuenta no debe pedirte ni recibir:</w:t>
      </w:r>
    </w:p>
    <w:p>
      <w:pPr>
        <w:pStyle w:val="Compact"/>
        <w:numPr>
          <w:ilvl w:val="0"/>
          <w:numId w:val="1004"/>
        </w:numPr>
      </w:pPr>
      <w:r>
        <w:t xml:space="preserve">claves bancarias;</w:t>
      </w:r>
    </w:p>
    <w:p>
      <w:pPr>
        <w:pStyle w:val="Compact"/>
        <w:numPr>
          <w:ilvl w:val="0"/>
          <w:numId w:val="1004"/>
        </w:numPr>
      </w:pPr>
      <w:r>
        <w:t xml:space="preserve">contraseñas;</w:t>
      </w:r>
    </w:p>
    <w:p>
      <w:pPr>
        <w:pStyle w:val="Compact"/>
        <w:numPr>
          <w:ilvl w:val="0"/>
          <w:numId w:val="1004"/>
        </w:numPr>
      </w:pPr>
      <w:r>
        <w:t xml:space="preserve">PIN;</w:t>
      </w:r>
    </w:p>
    <w:p>
      <w:pPr>
        <w:pStyle w:val="Compact"/>
        <w:numPr>
          <w:ilvl w:val="0"/>
          <w:numId w:val="1004"/>
        </w:numPr>
      </w:pPr>
      <w:r>
        <w:t xml:space="preserve">coordenadas de tarjeta de seguridad;</w:t>
      </w:r>
    </w:p>
    <w:p>
      <w:pPr>
        <w:pStyle w:val="Compact"/>
        <w:numPr>
          <w:ilvl w:val="0"/>
          <w:numId w:val="1004"/>
        </w:numPr>
      </w:pPr>
      <w:r>
        <w:t xml:space="preserve">códigos SMS;</w:t>
      </w:r>
    </w:p>
    <w:p>
      <w:pPr>
        <w:pStyle w:val="Compact"/>
        <w:numPr>
          <w:ilvl w:val="0"/>
          <w:numId w:val="1004"/>
        </w:numPr>
      </w:pPr>
      <w:r>
        <w:t xml:space="preserve">códigos de autenticación o verificación;</w:t>
      </w:r>
    </w:p>
    <w:p>
      <w:pPr>
        <w:pStyle w:val="Compact"/>
        <w:numPr>
          <w:ilvl w:val="0"/>
          <w:numId w:val="1004"/>
        </w:numPr>
      </w:pPr>
      <w:r>
        <w:t xml:space="preserve">claves dinámicas;</w:t>
      </w:r>
    </w:p>
    <w:p>
      <w:pPr>
        <w:pStyle w:val="Compact"/>
        <w:numPr>
          <w:ilvl w:val="0"/>
          <w:numId w:val="1004"/>
        </w:numPr>
      </w:pPr>
      <w:r>
        <w:t xml:space="preserve">token completo;</w:t>
      </w:r>
    </w:p>
    <w:p>
      <w:pPr>
        <w:pStyle w:val="Compact"/>
        <w:numPr>
          <w:ilvl w:val="0"/>
          <w:numId w:val="1004"/>
        </w:numPr>
      </w:pPr>
      <w:r>
        <w:t xml:space="preserve">número completo de tarjeta con CVV;</w:t>
      </w:r>
    </w:p>
    <w:p>
      <w:pPr>
        <w:pStyle w:val="Compact"/>
        <w:numPr>
          <w:ilvl w:val="0"/>
          <w:numId w:val="1004"/>
        </w:numPr>
      </w:pPr>
      <w:r>
        <w:t xml:space="preserve">acceso remoto a tu teléfono o computador;</w:t>
      </w:r>
    </w:p>
    <w:p>
      <w:pPr>
        <w:pStyle w:val="Compact"/>
        <w:numPr>
          <w:ilvl w:val="0"/>
          <w:numId w:val="1004"/>
        </w:numPr>
      </w:pPr>
      <w:r>
        <w:t xml:space="preserve">instrucciones para instalar aplicaciones de control remoto;</w:t>
      </w:r>
    </w:p>
    <w:p>
      <w:pPr>
        <w:pStyle w:val="Compact"/>
        <w:numPr>
          <w:ilvl w:val="0"/>
          <w:numId w:val="1004"/>
        </w:numPr>
      </w:pPr>
      <w:r>
        <w:t xml:space="preserve">fotografías completas de tarjetas por ambos lados.</w:t>
      </w:r>
    </w:p>
    <w:p>
      <w:pPr>
        <w:pStyle w:val="FirstParagraph"/>
      </w:pPr>
      <w:r>
        <w:t xml:space="preserve">Si por error subes información de este tipo, AlertaCuenta debe procurar eliminarla, bloquearla o tratarla bajo un protocolo reforzado de seguridad y minimización.</w:t>
      </w:r>
    </w:p>
    <w:p>
      <w:r>
        <w:pict>
          <v:rect style="width:0;height:1.5pt" o:hralign="center" o:hrstd="t" o:hr="t"/>
        </w:pict>
      </w:r>
    </w:p>
    <w:bookmarkEnd w:id="33"/>
    <w:bookmarkStart w:id="40" w:name="cómo-usamos-tu-información"/>
    <w:p>
      <w:pPr>
        <w:pStyle w:val="Heading1"/>
      </w:pPr>
      <w:r>
        <w:t xml:space="preserve">4. Cómo usamos tu información</w:t>
      </w:r>
    </w:p>
    <w:p>
      <w:pPr>
        <w:pStyle w:val="FirstParagraph"/>
      </w:pPr>
      <w:r>
        <w:t xml:space="preserve">La información puede utilizarse para las siguientes finalidades:</w:t>
      </w:r>
    </w:p>
    <w:bookmarkStart w:id="34" w:name="orientación-inicial"/>
    <w:p>
      <w:pPr>
        <w:pStyle w:val="Heading2"/>
      </w:pPr>
      <w:r>
        <w:t xml:space="preserve">4.1 Orientación inicial</w:t>
      </w:r>
    </w:p>
    <w:p>
      <w:pPr>
        <w:pStyle w:val="FirstParagraph"/>
      </w:pPr>
      <w:r>
        <w:t xml:space="preserve">Identificar si estás frente a una urgencia, una sospecha, un fraude consumado, un intento de fraude o una situación que requiere verificación previa.</w:t>
      </w:r>
    </w:p>
    <w:bookmarkEnd w:id="34"/>
    <w:bookmarkStart w:id="35" w:name="priorización-de-medidas-inmediatas"/>
    <w:p>
      <w:pPr>
        <w:pStyle w:val="Heading2"/>
      </w:pPr>
      <w:r>
        <w:t xml:space="preserve">4.2 Priorización de medidas inmediatas</w:t>
      </w:r>
    </w:p>
    <w:p>
      <w:pPr>
        <w:pStyle w:val="FirstParagraph"/>
      </w:pPr>
      <w:r>
        <w:t xml:space="preserve">Sugerir pasos como bloquear productos, contactar al banco por canales oficiales, conservar evidencia, denunciar, reclamar o escalar el caso según corresponda.</w:t>
      </w:r>
    </w:p>
    <w:bookmarkEnd w:id="35"/>
    <w:bookmarkStart w:id="36" w:name="ordenamiento-de-evidencia"/>
    <w:p>
      <w:pPr>
        <w:pStyle w:val="Heading2"/>
      </w:pPr>
      <w:r>
        <w:t xml:space="preserve">4.3 Ordenamiento de evidencia</w:t>
      </w:r>
    </w:p>
    <w:p>
      <w:pPr>
        <w:pStyle w:val="FirstParagraph"/>
      </w:pPr>
      <w:r>
        <w:t xml:space="preserve">Ayudarte a reunir y organizar antecedentes relevantes para que tu caso no dependa solo de un relato disperso o incompleto.</w:t>
      </w:r>
    </w:p>
    <w:bookmarkEnd w:id="36"/>
    <w:bookmarkStart w:id="37" w:name="generación-de-documentos"/>
    <w:p>
      <w:pPr>
        <w:pStyle w:val="Heading2"/>
      </w:pPr>
      <w:r>
        <w:t xml:space="preserve">4.4 Generación de documentos</w:t>
      </w:r>
    </w:p>
    <w:p>
      <w:pPr>
        <w:pStyle w:val="FirstParagraph"/>
      </w:pPr>
      <w:r>
        <w:t xml:space="preserve">Preparar borradores, formularios, cartas, reclamos, minutas, checklists o resúmenes estructurados relacionados con el caso.</w:t>
      </w:r>
    </w:p>
    <w:bookmarkEnd w:id="37"/>
    <w:bookmarkStart w:id="38" w:name="X963db96ed1516f1ce686a318de4b60f4244a768"/>
    <w:p>
      <w:pPr>
        <w:pStyle w:val="Heading2"/>
      </w:pPr>
      <w:r>
        <w:t xml:space="preserve">4.5 Mejora de seguridad y calidad del servicio</w:t>
      </w:r>
    </w:p>
    <w:p>
      <w:pPr>
        <w:pStyle w:val="FirstParagraph"/>
      </w:pPr>
      <w:r>
        <w:t xml:space="preserve">Detectar errores, prevenir abuso, mejorar la experiencia, registrar trazabilidad operativa y fortalecer la capacidad de respuesta de la plataforma.</w:t>
      </w:r>
    </w:p>
    <w:bookmarkEnd w:id="38"/>
    <w:bookmarkStart w:id="39" w:name="cumplimiento-legal-defensa-y-auditoría"/>
    <w:p>
      <w:pPr>
        <w:pStyle w:val="Heading2"/>
      </w:pPr>
      <w:r>
        <w:t xml:space="preserve">4.6 Cumplimiento legal, defensa y auditoría</w:t>
      </w:r>
    </w:p>
    <w:p>
      <w:pPr>
        <w:pStyle w:val="FirstParagraph"/>
      </w:pPr>
      <w:r>
        <w:t xml:space="preserve">Conservar ciertos antecedentes cuando sea necesario para cumplir obligaciones legales, responder requerimientos válidos, resolver controversias, auditar el sistema o proteger derechos.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cómo-protegemos-la-información"/>
    <w:p>
      <w:pPr>
        <w:pStyle w:val="Heading1"/>
      </w:pPr>
      <w:r>
        <w:t xml:space="preserve">5. Cómo protegemos la información</w:t>
      </w:r>
    </w:p>
    <w:p>
      <w:pPr>
        <w:pStyle w:val="FirstParagraph"/>
      </w:pPr>
      <w:r>
        <w:t xml:space="preserve">AlertaCuenta debe adoptar medidas proporcionales al tipo de dato, la etapa del producto y el riesgo del caso. En especial, debe priorizar controles adecuados para información financiera, evidencia de fraude y documentos personales.</w:t>
      </w:r>
    </w:p>
    <w:bookmarkStart w:id="41" w:name="principios-de-seguridad"/>
    <w:p>
      <w:pPr>
        <w:pStyle w:val="Heading2"/>
      </w:pPr>
      <w:r>
        <w:t xml:space="preserve">5.1 Principios de seguridad</w:t>
      </w:r>
    </w:p>
    <w:p>
      <w:pPr>
        <w:pStyle w:val="FirstParagraph"/>
      </w:pPr>
      <w:r>
        <w:t xml:space="preserve">La seguridad de AlertaCuenta se organiza sobre estos principios: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confidencialidad:</w:t>
      </w:r>
      <w:r>
        <w:t xml:space="preserve"> </w:t>
      </w:r>
      <w:r>
        <w:t xml:space="preserve">la información debe ser accesible solo para quienes tengan autorización;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integridad:</w:t>
      </w:r>
      <w:r>
        <w:t xml:space="preserve"> </w:t>
      </w:r>
      <w:r>
        <w:t xml:space="preserve">los datos y documentos deben mantenerse completos y protegidos frente a alteraciones no autorizadas;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disponibilidad:</w:t>
      </w:r>
      <w:r>
        <w:t xml:space="preserve"> </w:t>
      </w:r>
      <w:r>
        <w:t xml:space="preserve">la información necesaria para el caso debe estar accesible cuando corresponda;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trazabilidad:</w:t>
      </w:r>
      <w:r>
        <w:t xml:space="preserve"> </w:t>
      </w:r>
      <w:r>
        <w:t xml:space="preserve">las acciones relevantes deben poder revisarse o auditarse cuando sea necesario;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mínimo privilegio:</w:t>
      </w:r>
      <w:r>
        <w:t xml:space="preserve"> </w:t>
      </w:r>
      <w:r>
        <w:t xml:space="preserve">cada persona o sistema debe acceder solo a lo estrictamente necesario.</w:t>
      </w:r>
    </w:p>
    <w:bookmarkEnd w:id="41"/>
    <w:bookmarkStart w:id="42" w:name="controles-técnicos-y-organizativos"/>
    <w:p>
      <w:pPr>
        <w:pStyle w:val="Heading2"/>
      </w:pPr>
      <w:r>
        <w:t xml:space="preserve">5.2 Controles técnicos y organizativos</w:t>
      </w:r>
    </w:p>
    <w:p>
      <w:pPr>
        <w:pStyle w:val="FirstParagraph"/>
      </w:pPr>
      <w:r>
        <w:t xml:space="preserve">Según el entorno y etapa de implementación, AlertaCuenta puede aplicar:</w:t>
      </w:r>
    </w:p>
    <w:p>
      <w:pPr>
        <w:pStyle w:val="Compact"/>
        <w:numPr>
          <w:ilvl w:val="0"/>
          <w:numId w:val="1006"/>
        </w:numPr>
      </w:pPr>
      <w:r>
        <w:t xml:space="preserve">control de accesos por roles;</w:t>
      </w:r>
    </w:p>
    <w:p>
      <w:pPr>
        <w:pStyle w:val="Compact"/>
        <w:numPr>
          <w:ilvl w:val="0"/>
          <w:numId w:val="1006"/>
        </w:numPr>
      </w:pPr>
      <w:r>
        <w:t xml:space="preserve">autenticación multifactor para accesos internos críticos;</w:t>
      </w:r>
    </w:p>
    <w:p>
      <w:pPr>
        <w:pStyle w:val="Compact"/>
        <w:numPr>
          <w:ilvl w:val="0"/>
          <w:numId w:val="1006"/>
        </w:numPr>
      </w:pPr>
      <w:r>
        <w:t xml:space="preserve">cifrado en tránsito;</w:t>
      </w:r>
    </w:p>
    <w:p>
      <w:pPr>
        <w:pStyle w:val="Compact"/>
        <w:numPr>
          <w:ilvl w:val="0"/>
          <w:numId w:val="1006"/>
        </w:numPr>
      </w:pPr>
      <w:r>
        <w:t xml:space="preserve">cifrado en reposo cuando corresponda;</w:t>
      </w:r>
    </w:p>
    <w:p>
      <w:pPr>
        <w:pStyle w:val="Compact"/>
        <w:numPr>
          <w:ilvl w:val="0"/>
          <w:numId w:val="1006"/>
        </w:numPr>
      </w:pPr>
      <w:r>
        <w:t xml:space="preserve">gestión segura de credenciales y secretos;</w:t>
      </w:r>
    </w:p>
    <w:p>
      <w:pPr>
        <w:pStyle w:val="Compact"/>
        <w:numPr>
          <w:ilvl w:val="0"/>
          <w:numId w:val="1006"/>
        </w:numPr>
      </w:pPr>
      <w:r>
        <w:t xml:space="preserve">separación de ambientes de desarrollo, prueba y producción;</w:t>
      </w:r>
    </w:p>
    <w:p>
      <w:pPr>
        <w:pStyle w:val="Compact"/>
        <w:numPr>
          <w:ilvl w:val="0"/>
          <w:numId w:val="1006"/>
        </w:numPr>
      </w:pPr>
      <w:r>
        <w:t xml:space="preserve">registros de actividad relevante;</w:t>
      </w:r>
    </w:p>
    <w:p>
      <w:pPr>
        <w:pStyle w:val="Compact"/>
        <w:numPr>
          <w:ilvl w:val="0"/>
          <w:numId w:val="1006"/>
        </w:numPr>
      </w:pPr>
      <w:r>
        <w:t xml:space="preserve">monitoreo de eventos anómalos;</w:t>
      </w:r>
    </w:p>
    <w:p>
      <w:pPr>
        <w:pStyle w:val="Compact"/>
        <w:numPr>
          <w:ilvl w:val="0"/>
          <w:numId w:val="1006"/>
        </w:numPr>
      </w:pPr>
      <w:r>
        <w:t xml:space="preserve">respaldos y recuperación;</w:t>
      </w:r>
    </w:p>
    <w:p>
      <w:pPr>
        <w:pStyle w:val="Compact"/>
        <w:numPr>
          <w:ilvl w:val="0"/>
          <w:numId w:val="1006"/>
        </w:numPr>
      </w:pPr>
      <w:r>
        <w:t xml:space="preserve">revisión de vulnerabilidades;</w:t>
      </w:r>
    </w:p>
    <w:p>
      <w:pPr>
        <w:pStyle w:val="Compact"/>
        <w:numPr>
          <w:ilvl w:val="0"/>
          <w:numId w:val="1006"/>
        </w:numPr>
      </w:pPr>
      <w:r>
        <w:t xml:space="preserve">protocolos de respuesta ante incidentes;</w:t>
      </w:r>
    </w:p>
    <w:p>
      <w:pPr>
        <w:pStyle w:val="Compact"/>
        <w:numPr>
          <w:ilvl w:val="0"/>
          <w:numId w:val="1006"/>
        </w:numPr>
      </w:pPr>
      <w:r>
        <w:t xml:space="preserve">eliminación o anonimización cuando corresponda.</w:t>
      </w:r>
    </w:p>
    <w:bookmarkEnd w:id="42"/>
    <w:bookmarkStart w:id="43" w:name="protección-reforzada-de-evidencia"/>
    <w:p>
      <w:pPr>
        <w:pStyle w:val="Heading2"/>
      </w:pPr>
      <w:r>
        <w:t xml:space="preserve">5.3 Protección reforzada de evidencia</w:t>
      </w:r>
    </w:p>
    <w:p>
      <w:pPr>
        <w:pStyle w:val="FirstParagraph"/>
      </w:pPr>
      <w:r>
        <w:t xml:space="preserve">La evidencia de fraude puede ser determinante. Por eso, AlertaCuenta debe tratarla como información crítica: ordenarla, conservarla solo por el tiempo necesario, limitar su acceso y evitar su exposición innecesaria.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8fce2a817cbda154e336a494663e550a1f0d72e"/>
    <w:p>
      <w:pPr>
        <w:pStyle w:val="Heading1"/>
      </w:pPr>
      <w:r>
        <w:t xml:space="preserve">6. Uso responsable de inteligencia artificial</w:t>
      </w:r>
    </w:p>
    <w:p>
      <w:pPr>
        <w:pStyle w:val="FirstParagraph"/>
      </w:pPr>
      <w:r>
        <w:t xml:space="preserve">AlertaCuenta puede utilizar inteligencia artificial para acelerar y mejorar la experiencia del usuario. Su uso debe estar gobernado por criterios de responsabilidad, seguridad, trazabilidad y supervisión humana proporcional al riesgo.</w:t>
      </w:r>
    </w:p>
    <w:bookmarkStart w:id="45" w:name="para-qué-puede-usarse-ia"/>
    <w:p>
      <w:pPr>
        <w:pStyle w:val="Heading2"/>
      </w:pPr>
      <w:r>
        <w:t xml:space="preserve">6.1 Para qué puede usarse IA</w:t>
      </w:r>
    </w:p>
    <w:p>
      <w:pPr>
        <w:pStyle w:val="FirstParagraph"/>
      </w:pPr>
      <w:r>
        <w:t xml:space="preserve">La IA puede apoyar tareas como:</w:t>
      </w:r>
    </w:p>
    <w:p>
      <w:pPr>
        <w:pStyle w:val="Compact"/>
        <w:numPr>
          <w:ilvl w:val="0"/>
          <w:numId w:val="1007"/>
        </w:numPr>
      </w:pPr>
      <w:r>
        <w:t xml:space="preserve">ordenar el relato del usuario;</w:t>
      </w:r>
    </w:p>
    <w:p>
      <w:pPr>
        <w:pStyle w:val="Compact"/>
        <w:numPr>
          <w:ilvl w:val="0"/>
          <w:numId w:val="1007"/>
        </w:numPr>
      </w:pPr>
      <w:r>
        <w:t xml:space="preserve">transformar audio en texto;</w:t>
      </w:r>
    </w:p>
    <w:p>
      <w:pPr>
        <w:pStyle w:val="Compact"/>
        <w:numPr>
          <w:ilvl w:val="0"/>
          <w:numId w:val="1007"/>
        </w:numPr>
      </w:pPr>
      <w:r>
        <w:t xml:space="preserve">resumir hechos relevantes;</w:t>
      </w:r>
    </w:p>
    <w:p>
      <w:pPr>
        <w:pStyle w:val="Compact"/>
        <w:numPr>
          <w:ilvl w:val="0"/>
          <w:numId w:val="1007"/>
        </w:numPr>
      </w:pPr>
      <w:r>
        <w:t xml:space="preserve">identificar información faltante;</w:t>
      </w:r>
    </w:p>
    <w:p>
      <w:pPr>
        <w:pStyle w:val="Compact"/>
        <w:numPr>
          <w:ilvl w:val="0"/>
          <w:numId w:val="1007"/>
        </w:numPr>
      </w:pPr>
      <w:r>
        <w:t xml:space="preserve">clasificar preliminarmente el tipo de fraude;</w:t>
      </w:r>
    </w:p>
    <w:p>
      <w:pPr>
        <w:pStyle w:val="Compact"/>
        <w:numPr>
          <w:ilvl w:val="0"/>
          <w:numId w:val="1007"/>
        </w:numPr>
      </w:pPr>
      <w:r>
        <w:t xml:space="preserve">sugerir pasos de urgencia;</w:t>
      </w:r>
    </w:p>
    <w:p>
      <w:pPr>
        <w:pStyle w:val="Compact"/>
        <w:numPr>
          <w:ilvl w:val="0"/>
          <w:numId w:val="1007"/>
        </w:numPr>
      </w:pPr>
      <w:r>
        <w:t xml:space="preserve">generar checklists;</w:t>
      </w:r>
    </w:p>
    <w:p>
      <w:pPr>
        <w:pStyle w:val="Compact"/>
        <w:numPr>
          <w:ilvl w:val="0"/>
          <w:numId w:val="1007"/>
        </w:numPr>
      </w:pPr>
      <w:r>
        <w:t xml:space="preserve">preparar borradores de documentos;</w:t>
      </w:r>
    </w:p>
    <w:p>
      <w:pPr>
        <w:pStyle w:val="Compact"/>
        <w:numPr>
          <w:ilvl w:val="0"/>
          <w:numId w:val="1007"/>
        </w:numPr>
      </w:pPr>
      <w:r>
        <w:t xml:space="preserve">detectar inconsistencias o vacíos en la información.</w:t>
      </w:r>
    </w:p>
    <w:bookmarkEnd w:id="45"/>
    <w:bookmarkStart w:id="46" w:name="límites-de-la-ia"/>
    <w:p>
      <w:pPr>
        <w:pStyle w:val="Heading2"/>
      </w:pPr>
      <w:r>
        <w:t xml:space="preserve">6.2 Límites de la IA</w:t>
      </w:r>
    </w:p>
    <w:p>
      <w:pPr>
        <w:pStyle w:val="FirstParagraph"/>
      </w:pPr>
      <w:r>
        <w:t xml:space="preserve">La IA puede cometer errores, omitir información, interpretar mal un contexto o generar resultados incompletos. Por eso:</w:t>
      </w:r>
    </w:p>
    <w:p>
      <w:pPr>
        <w:pStyle w:val="Compact"/>
        <w:numPr>
          <w:ilvl w:val="0"/>
          <w:numId w:val="1008"/>
        </w:numPr>
      </w:pPr>
      <w:r>
        <w:t xml:space="preserve">no garantiza recuperación de dinero;</w:t>
      </w:r>
    </w:p>
    <w:p>
      <w:pPr>
        <w:pStyle w:val="Compact"/>
        <w:numPr>
          <w:ilvl w:val="0"/>
          <w:numId w:val="1008"/>
        </w:numPr>
      </w:pPr>
      <w:r>
        <w:t xml:space="preserve">no determina por sí sola responsabilidad del banco, usuario o tercero;</w:t>
      </w:r>
    </w:p>
    <w:p>
      <w:pPr>
        <w:pStyle w:val="Compact"/>
        <w:numPr>
          <w:ilvl w:val="0"/>
          <w:numId w:val="1008"/>
        </w:numPr>
      </w:pPr>
      <w:r>
        <w:t xml:space="preserve">no reemplaza una revisión legal cuando el caso lo requiera;</w:t>
      </w:r>
    </w:p>
    <w:p>
      <w:pPr>
        <w:pStyle w:val="Compact"/>
        <w:numPr>
          <w:ilvl w:val="0"/>
          <w:numId w:val="1008"/>
        </w:numPr>
      </w:pPr>
      <w:r>
        <w:t xml:space="preserve">no debe usarse como única base para decisiones críticas;</w:t>
      </w:r>
    </w:p>
    <w:p>
      <w:pPr>
        <w:pStyle w:val="Compact"/>
        <w:numPr>
          <w:ilvl w:val="0"/>
          <w:numId w:val="1008"/>
        </w:numPr>
      </w:pPr>
      <w:r>
        <w:t xml:space="preserve">los documentos relevantes deben ser revisados antes de enviarse.</w:t>
      </w:r>
    </w:p>
    <w:bookmarkEnd w:id="46"/>
    <w:bookmarkStart w:id="47" w:name="supervisión-humana-proporcional"/>
    <w:p>
      <w:pPr>
        <w:pStyle w:val="Heading2"/>
      </w:pPr>
      <w:r>
        <w:t xml:space="preserve">6.3 Supervisión humana proporcional</w:t>
      </w:r>
    </w:p>
    <w:p>
      <w:pPr>
        <w:pStyle w:val="FirstParagraph"/>
      </w:pPr>
      <w:r>
        <w:t xml:space="preserve">A mayor impacto del caso, mayor debe ser el nivel de revisión. Por ejemplo, un mensaje preventivo simple puede automatizarse más; en cambio, un documento legal, una estrategia de escalamiento o una respuesta frente a rechazo bancario requiere validación más cuidadosa.</w:t>
      </w:r>
    </w:p>
    <w:bookmarkEnd w:id="47"/>
    <w:bookmarkStart w:id="48" w:name="protección-frente-a-abuso-de-ia"/>
    <w:p>
      <w:pPr>
        <w:pStyle w:val="Heading2"/>
      </w:pPr>
      <w:r>
        <w:t xml:space="preserve">6.4 Protección frente a abuso de IA</w:t>
      </w:r>
    </w:p>
    <w:p>
      <w:pPr>
        <w:pStyle w:val="FirstParagraph"/>
      </w:pPr>
      <w:r>
        <w:t xml:space="preserve">AlertaCuenta debe implementar medidas razonables para prevenir usos indebidos, como manipulación de prompts, extracción de información, generación de contenido engañoso, suplantación, fraude, abuso de la plataforma o intentos de vulnerar sus controles.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tus-derechos-sobre-tus-datos"/>
    <w:p>
      <w:pPr>
        <w:pStyle w:val="Heading1"/>
      </w:pPr>
      <w:r>
        <w:t xml:space="preserve">7. Tus derechos sobre tus datos</w:t>
      </w:r>
    </w:p>
    <w:p>
      <w:pPr>
        <w:pStyle w:val="FirstParagraph"/>
      </w:pPr>
      <w:r>
        <w:t xml:space="preserve">Como titular de datos personales, puedes solicitar el ejercicio de los derechos que correspondan conforme a la normativa aplicable.</w:t>
      </w:r>
    </w:p>
    <w:p>
      <w:pPr>
        <w:pStyle w:val="BodyText"/>
      </w:pPr>
      <w:r>
        <w:t xml:space="preserve">Estos derechos pueden incluir:</w:t>
      </w:r>
    </w:p>
    <w:p>
      <w:pPr>
        <w:pStyle w:val="Compact"/>
        <w:numPr>
          <w:ilvl w:val="0"/>
          <w:numId w:val="1009"/>
        </w:numPr>
      </w:pPr>
      <w:r>
        <w:t xml:space="preserve">acceso a tus datos;</w:t>
      </w:r>
    </w:p>
    <w:p>
      <w:pPr>
        <w:pStyle w:val="Compact"/>
        <w:numPr>
          <w:ilvl w:val="0"/>
          <w:numId w:val="1009"/>
        </w:numPr>
      </w:pPr>
      <w:r>
        <w:t xml:space="preserve">rectificación de datos incorrectos;</w:t>
      </w:r>
    </w:p>
    <w:p>
      <w:pPr>
        <w:pStyle w:val="Compact"/>
        <w:numPr>
          <w:ilvl w:val="0"/>
          <w:numId w:val="1009"/>
        </w:numPr>
      </w:pPr>
      <w:r>
        <w:t xml:space="preserve">supresión o cancelación cuando corresponda;</w:t>
      </w:r>
    </w:p>
    <w:p>
      <w:pPr>
        <w:pStyle w:val="Compact"/>
        <w:numPr>
          <w:ilvl w:val="0"/>
          <w:numId w:val="1009"/>
        </w:numPr>
      </w:pPr>
      <w:r>
        <w:t xml:space="preserve">oposición al tratamiento en los casos procedentes;</w:t>
      </w:r>
    </w:p>
    <w:p>
      <w:pPr>
        <w:pStyle w:val="Compact"/>
        <w:numPr>
          <w:ilvl w:val="0"/>
          <w:numId w:val="1009"/>
        </w:numPr>
      </w:pPr>
      <w:r>
        <w:t xml:space="preserve">portabilidad cuando sea técnicamente posible;</w:t>
      </w:r>
    </w:p>
    <w:p>
      <w:pPr>
        <w:pStyle w:val="Compact"/>
        <w:numPr>
          <w:ilvl w:val="0"/>
          <w:numId w:val="1009"/>
        </w:numPr>
      </w:pPr>
      <w:r>
        <w:t xml:space="preserve">retiro del consentimiento cuando el tratamiento se base en él.</w:t>
      </w:r>
    </w:p>
    <w:p>
      <w:pPr>
        <w:pStyle w:val="FirstParagraph"/>
      </w:pPr>
      <w:r>
        <w:t xml:space="preserve">AlertaCuenta debe disponer de un canal claro para solicitudes de privacidad.</w:t>
      </w:r>
    </w:p>
    <w:p>
      <w:pPr>
        <w:pStyle w:val="BlockText"/>
      </w:pPr>
      <w:r>
        <w:rPr>
          <w:b/>
          <w:bCs/>
        </w:rPr>
        <w:t xml:space="preserve">Canal sugerido:</w:t>
      </w:r>
      <w:r>
        <w:t xml:space="preserve"> </w:t>
      </w:r>
      <w:r>
        <w:t xml:space="preserve">privacidad@alertacuenta.cl o formulario web de solicitudes de privacidad.</w:t>
      </w:r>
    </w:p>
    <w:p>
      <w:r>
        <w:pict>
          <v:rect style="width:0;height:1.5pt" o:hralign="center" o:hrstd="t" o:hr="t"/>
        </w:pict>
      </w:r>
    </w:p>
    <w:bookmarkEnd w:id="50"/>
    <w:bookmarkStart w:id="54" w:name="cookies-y-tecnologías-similares"/>
    <w:p>
      <w:pPr>
        <w:pStyle w:val="Heading1"/>
      </w:pPr>
      <w:r>
        <w:t xml:space="preserve">8. Cookies y tecnologías similares</w:t>
      </w:r>
    </w:p>
    <w:p>
      <w:pPr>
        <w:pStyle w:val="FirstParagraph"/>
      </w:pPr>
      <w:r>
        <w:t xml:space="preserve">El sitio de AlertaCuenta puede utilizar cookies o tecnologías similares para funcionamiento técnico, seguridad, medición y mejora de experiencia.</w:t>
      </w:r>
    </w:p>
    <w:bookmarkStart w:id="51" w:name="cookies-estrictamente-necesarias"/>
    <w:p>
      <w:pPr>
        <w:pStyle w:val="Heading2"/>
      </w:pPr>
      <w:r>
        <w:t xml:space="preserve">8.1 Cookies estrictamente necesarias</w:t>
      </w:r>
    </w:p>
    <w:p>
      <w:pPr>
        <w:pStyle w:val="FirstParagraph"/>
      </w:pPr>
      <w:r>
        <w:t xml:space="preserve">Son indispensables para que el sitio funcione, recuerde preferencias esenciales, mantenga seguridad básica o permita la operación del servicio solicitado.</w:t>
      </w:r>
    </w:p>
    <w:bookmarkEnd w:id="51"/>
    <w:bookmarkStart w:id="52" w:name="cookies-no-esenciales"/>
    <w:p>
      <w:pPr>
        <w:pStyle w:val="Heading2"/>
      </w:pPr>
      <w:r>
        <w:t xml:space="preserve">8.2 Cookies no esenciales</w:t>
      </w:r>
    </w:p>
    <w:p>
      <w:pPr>
        <w:pStyle w:val="FirstParagraph"/>
      </w:pPr>
      <w:r>
        <w:t xml:space="preserve">Las cookies analíticas, de preferencias o marketing deben permanecer desactivadas por defecto hasta que el usuario otorgue consentimiento válido, cuando corresponda.</w:t>
      </w:r>
    </w:p>
    <w:bookmarkEnd w:id="52"/>
    <w:bookmarkStart w:id="53" w:name="centro-de-preferencias"/>
    <w:p>
      <w:pPr>
        <w:pStyle w:val="Heading2"/>
      </w:pPr>
      <w:r>
        <w:t xml:space="preserve">8.3 Centro de preferencias</w:t>
      </w:r>
    </w:p>
    <w:p>
      <w:pPr>
        <w:pStyle w:val="FirstParagraph"/>
      </w:pPr>
      <w:r>
        <w:t xml:space="preserve">El usuario debe poder aceptar, rechazar o configurar categorías no esenciales de cookies desde un centro de preferencias accesible.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documentos-del-centro-de-confianza"/>
    <w:p>
      <w:pPr>
        <w:pStyle w:val="Heading1"/>
      </w:pPr>
      <w:r>
        <w:t xml:space="preserve">9. Documentos del Centro de Confianza</w:t>
      </w:r>
    </w:p>
    <w:p>
      <w:pPr>
        <w:pStyle w:val="FirstParagraph"/>
      </w:pPr>
      <w:r>
        <w:t xml:space="preserve">Este Centro de Confianza debe complementarse con los siguientes documentos:</w:t>
      </w:r>
    </w:p>
    <w:bookmarkStart w:id="55" w:name="política-de-privacidad"/>
    <w:p>
      <w:pPr>
        <w:pStyle w:val="Heading2"/>
      </w:pPr>
      <w:r>
        <w:t xml:space="preserve">9.1 Política de Privacidad</w:t>
      </w:r>
    </w:p>
    <w:p>
      <w:pPr>
        <w:pStyle w:val="FirstParagraph"/>
      </w:pPr>
      <w:r>
        <w:t xml:space="preserve">Explica qué datos personales trata AlertaCuenta, con qué finalidades, bajo qué bases de legitimación, durante cuánto tiempo, con quién pueden compartirse y cómo ejercer derechos.</w:t>
      </w:r>
    </w:p>
    <w:bookmarkEnd w:id="55"/>
    <w:bookmarkStart w:id="56" w:name="X72829bf35f892d011621a4db4a3a615abee8a52"/>
    <w:p>
      <w:pPr>
        <w:pStyle w:val="Heading2"/>
      </w:pPr>
      <w:r>
        <w:t xml:space="preserve">9.2 Aviso Especial de Datos Financieros y Evidencia de Fraude</w:t>
      </w:r>
    </w:p>
    <w:p>
      <w:pPr>
        <w:pStyle w:val="FirstParagraph"/>
      </w:pPr>
      <w:r>
        <w:t xml:space="preserve">Explica qué documentos o antecedentes puede pedir la plataforma, cuáles no deben entregarse nunca y cómo se debe manejar información financiera o evidencia sensible.</w:t>
      </w:r>
    </w:p>
    <w:bookmarkEnd w:id="56"/>
    <w:bookmarkStart w:id="57" w:name="términos-de-uso"/>
    <w:p>
      <w:pPr>
        <w:pStyle w:val="Heading2"/>
      </w:pPr>
      <w:r>
        <w:t xml:space="preserve">9.3 Términos de Uso</w:t>
      </w:r>
    </w:p>
    <w:p>
      <w:pPr>
        <w:pStyle w:val="FirstParagraph"/>
      </w:pPr>
      <w:r>
        <w:t xml:space="preserve">Regulan el acceso y uso de la plataforma, sus limitaciones, responsabilidades, condiciones de uso, prohibiciones y relación con servicios profesionales o documentos generados.</w:t>
      </w:r>
    </w:p>
    <w:bookmarkEnd w:id="57"/>
    <w:bookmarkStart w:id="58" w:name="política-de-cookies"/>
    <w:p>
      <w:pPr>
        <w:pStyle w:val="Heading2"/>
      </w:pPr>
      <w:r>
        <w:t xml:space="preserve">9.4 Política de Cookies</w:t>
      </w:r>
    </w:p>
    <w:p>
      <w:pPr>
        <w:pStyle w:val="FirstParagraph"/>
      </w:pPr>
      <w:r>
        <w:t xml:space="preserve">Explica qué cookies o tecnologías similares se utilizan, sus categorías, finalidades, duración, terceros y mecanismos de configuración.</w:t>
      </w:r>
    </w:p>
    <w:bookmarkEnd w:id="58"/>
    <w:bookmarkStart w:id="59" w:name="X28a57d14729c9c60917d931faa0cc3ca417222e"/>
    <w:p>
      <w:pPr>
        <w:pStyle w:val="Heading2"/>
      </w:pPr>
      <w:r>
        <w:t xml:space="preserve">9.5 Declaración de Seguridad de la Información</w:t>
      </w:r>
    </w:p>
    <w:p>
      <w:pPr>
        <w:pStyle w:val="FirstParagraph"/>
      </w:pPr>
      <w:r>
        <w:t xml:space="preserve">Resume el enfoque de seguridad, controles, responsabilidades, incidentes, continuidad, terceros y evolución de madurez.</w:t>
      </w:r>
    </w:p>
    <w:bookmarkEnd w:id="59"/>
    <w:bookmarkStart w:id="60" w:name="política-de-gobierno-de-datos"/>
    <w:p>
      <w:pPr>
        <w:pStyle w:val="Heading2"/>
      </w:pPr>
      <w:r>
        <w:t xml:space="preserve">9.6 Política de Gobierno de Datos</w:t>
      </w:r>
    </w:p>
    <w:p>
      <w:pPr>
        <w:pStyle w:val="FirstParagraph"/>
      </w:pPr>
      <w:r>
        <w:t xml:space="preserve">Define principios, roles, clasificación de datos, ciclo de vida, registro de tratamientos, calidad, retención, eliminación y acceso.</w:t>
      </w:r>
    </w:p>
    <w:bookmarkEnd w:id="60"/>
    <w:bookmarkStart w:id="61" w:name="política-de-gobernanza-de-ia"/>
    <w:p>
      <w:pPr>
        <w:pStyle w:val="Heading2"/>
      </w:pPr>
      <w:r>
        <w:t xml:space="preserve">9.7 Política de Gobernanza de IA</w:t>
      </w:r>
    </w:p>
    <w:p>
      <w:pPr>
        <w:pStyle w:val="FirstParagraph"/>
      </w:pPr>
      <w:r>
        <w:t xml:space="preserve">Establece principios, límites, controles, supervisión humana, gestión de riesgos, uso de datos, proveedores externos y mejora continua de sistemas de IA.</w:t>
      </w:r>
    </w:p>
    <w:bookmarkEnd w:id="61"/>
    <w:bookmarkStart w:id="62" w:name="acuerdo-de-tratamiento-de-datos-o-dpa"/>
    <w:p>
      <w:pPr>
        <w:pStyle w:val="Heading2"/>
      </w:pPr>
      <w:r>
        <w:t xml:space="preserve">9.8 Acuerdo de Tratamiento de Datos o DPA</w:t>
      </w:r>
    </w:p>
    <w:p>
      <w:pPr>
        <w:pStyle w:val="FirstParagraph"/>
      </w:pPr>
      <w:r>
        <w:t xml:space="preserve">Documento especialmente relevante para alianzas B2B, bancos, instituciones, proveedores o clientes corporativos cuando AlertaCuenta trate datos por cuenta de un tercero.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3" w:name="preguntas-frecuentes-de-confianza"/>
    <w:p>
      <w:pPr>
        <w:pStyle w:val="Heading1"/>
      </w:pPr>
      <w:r>
        <w:t xml:space="preserve">10. Preguntas frecuentes de confianza</w:t>
      </w:r>
    </w:p>
    <w:bookmarkStart w:id="64" w:name="X9d4a9ecf6e72b29f5ca14a8a1e9ddea537e95db"/>
    <w:p>
      <w:pPr>
        <w:pStyle w:val="Heading2"/>
      </w:pPr>
      <w:r>
        <w:t xml:space="preserve">¿AlertaCuenta me va a pedir claves bancarias?</w:t>
      </w:r>
    </w:p>
    <w:p>
      <w:pPr>
        <w:pStyle w:val="FirstParagraph"/>
      </w:pPr>
      <w:r>
        <w:t xml:space="preserve">No. Nunca debes entregar claves, PIN, coordenadas, códigos SMS, códigos de autenticación, contraseñas ni accesos remotos. No los necesitamos para ayudarte.</w:t>
      </w:r>
    </w:p>
    <w:bookmarkEnd w:id="64"/>
    <w:bookmarkStart w:id="65" w:name="puedo-subir-pantallazos-o-documentos"/>
    <w:p>
      <w:pPr>
        <w:pStyle w:val="Heading2"/>
      </w:pPr>
      <w:r>
        <w:t xml:space="preserve">¿Puedo subir pantallazos o documentos?</w:t>
      </w:r>
    </w:p>
    <w:p>
      <w:pPr>
        <w:pStyle w:val="FirstParagraph"/>
      </w:pPr>
      <w:r>
        <w:t xml:space="preserve">Sí, cuando sean útiles para entender el caso. Antes de subirlos, procura ocultar información que no sea necesaria, como saldos no relacionados, movimientos ajenos al fraude o datos excesivos.</w:t>
      </w:r>
    </w:p>
    <w:bookmarkEnd w:id="65"/>
    <w:bookmarkStart w:id="66" w:name="X36f117d00ed1a9a3df3aa6ea5d37b8d9416b78f"/>
    <w:p>
      <w:pPr>
        <w:pStyle w:val="Heading2"/>
      </w:pPr>
      <w:r>
        <w:t xml:space="preserve">¿Qué pasa si subo información sensible por error?</w:t>
      </w:r>
    </w:p>
    <w:p>
      <w:pPr>
        <w:pStyle w:val="FirstParagraph"/>
      </w:pPr>
      <w:r>
        <w:t xml:space="preserve">AlertaCuenta debe contar con un procedimiento para bloquear, eliminar, anonimizar o tratar esa información bajo medidas reforzadas, según corresponda.</w:t>
      </w:r>
    </w:p>
    <w:bookmarkEnd w:id="66"/>
    <w:bookmarkStart w:id="67" w:name="Xcc4f35a276cce9a625f08145efe7b76ec6aabfc"/>
    <w:p>
      <w:pPr>
        <w:pStyle w:val="Heading2"/>
      </w:pPr>
      <w:r>
        <w:t xml:space="preserve">¿La IA decide si tengo derecho a recuperar mi dinero?</w:t>
      </w:r>
    </w:p>
    <w:p>
      <w:pPr>
        <w:pStyle w:val="FirstParagraph"/>
      </w:pPr>
      <w:r>
        <w:t xml:space="preserve">No. La IA puede orientar, clasificar y ayudar a preparar antecedentes, pero no debe decidir por sí sola cuestiones críticas. Los resultados deben revisarse antes de actuar.</w:t>
      </w:r>
    </w:p>
    <w:bookmarkEnd w:id="67"/>
    <w:bookmarkStart w:id="68" w:name="X7df1822744a22f085f793cafc36c93f2e760bf0"/>
    <w:p>
      <w:pPr>
        <w:pStyle w:val="Heading2"/>
      </w:pPr>
      <w:r>
        <w:t xml:space="preserve">¿AlertaCuenta garantiza que recuperaré mi dinero?</w:t>
      </w:r>
    </w:p>
    <w:p>
      <w:pPr>
        <w:pStyle w:val="FirstParagraph"/>
      </w:pPr>
      <w:r>
        <w:t xml:space="preserve">No. Ninguna plataforma seria debería garantizar un resultado que depende de hechos, pruebas, conducta del banco, normas aplicables, revisión humana y eventualmente autoridades o tribunales. AlertaCuenta busca ayudarte a actuar mejor, más rápido y con más claridad.</w:t>
      </w:r>
    </w:p>
    <w:bookmarkEnd w:id="68"/>
    <w:bookmarkStart w:id="69" w:name="Xe6edee560de4ec8bfde00373c01c9f13c751a70"/>
    <w:p>
      <w:pPr>
        <w:pStyle w:val="Heading2"/>
      </w:pPr>
      <w:r>
        <w:t xml:space="preserve">¿Mis datos se usan para entrenar modelos de IA?</w:t>
      </w:r>
    </w:p>
    <w:p>
      <w:pPr>
        <w:pStyle w:val="FirstParagraph"/>
      </w:pPr>
      <w:r>
        <w:t xml:space="preserve">La regla recomendada es que AlertaCuenta no utilice información identificable del usuario para entrenar modelos generales sin autorización expresa o base jurídica suficiente. Cualquier uso para mejora debe realizarse de manera agregada, anonimizada o expresamente autorizada, según corresponda.</w:t>
      </w:r>
    </w:p>
    <w:bookmarkEnd w:id="69"/>
    <w:bookmarkStart w:id="70" w:name="quién-puede-ver-mi-caso"/>
    <w:p>
      <w:pPr>
        <w:pStyle w:val="Heading2"/>
      </w:pPr>
      <w:r>
        <w:t xml:space="preserve">¿Quién puede ver mi caso?</w:t>
      </w:r>
    </w:p>
    <w:p>
      <w:pPr>
        <w:pStyle w:val="FirstParagraph"/>
      </w:pPr>
      <w:r>
        <w:t xml:space="preserve">Solo personas o sistemas autorizados según su rol y necesidad. El acceso debe limitarse bajo principio de mínimo privilegio.</w:t>
      </w:r>
    </w:p>
    <w:bookmarkEnd w:id="70"/>
    <w:bookmarkStart w:id="71" w:name="puedo-pedir-que-eliminen-mis-datos"/>
    <w:p>
      <w:pPr>
        <w:pStyle w:val="Heading2"/>
      </w:pPr>
      <w:r>
        <w:t xml:space="preserve">¿Puedo pedir que eliminen mis datos?</w:t>
      </w:r>
    </w:p>
    <w:p>
      <w:pPr>
        <w:pStyle w:val="FirstParagraph"/>
      </w:pPr>
      <w:r>
        <w:t xml:space="preserve">Sí, puedes solicitar supresión o eliminación cuando corresponda legalmente. Puede haber casos en que ciertos datos deban conservarse por obligación legal, seguridad, auditoría, defensa de derechos o cumplimiento contractual.</w:t>
      </w:r>
    </w:p>
    <w:bookmarkEnd w:id="71"/>
    <w:bookmarkStart w:id="72" w:name="X3cd88be42fc0a1e7292ed04b748b86a7e2334a2"/>
    <w:p>
      <w:pPr>
        <w:pStyle w:val="Heading2"/>
      </w:pPr>
      <w:r>
        <w:t xml:space="preserve">¿Qué hago si estoy en una emergencia ahora?</w:t>
      </w:r>
    </w:p>
    <w:p>
      <w:pPr>
        <w:pStyle w:val="FirstParagraph"/>
      </w:pPr>
      <w:r>
        <w:t xml:space="preserve">Si crees que estás siendo víctima de fraude en este momento, prioriza medidas inmediatas: corta la comunicación sospechosa, no entregues códigos ni claves, contacta a tu banco por canales oficiales, bloquea productos si corresponde y conserva evidencia.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mensaje-de-cierre"/>
    <w:p>
      <w:pPr>
        <w:pStyle w:val="Heading1"/>
      </w:pPr>
      <w:r>
        <w:t xml:space="preserve">11. Mensaje de cierre</w:t>
      </w:r>
    </w:p>
    <w:p>
      <w:pPr>
        <w:pStyle w:val="FirstParagraph"/>
      </w:pPr>
      <w:r>
        <w:t xml:space="preserve">AlertaCuenta busca que una persona afectada por fraude no quede sola, confundida o paralizada. La plataforma existe para convertir una situación de urgencia en un camino ordenado de acción: contener, verificar, proteger, documentar y escalar cuando corresponda.</w:t>
      </w:r>
    </w:p>
    <w:p>
      <w:pPr>
        <w:pStyle w:val="BodyText"/>
      </w:pPr>
      <w:r>
        <w:t xml:space="preserve">La confianza no se declara solamente. Se diseña en cada paso del proceso.</w:t>
      </w:r>
    </w:p>
    <w:p>
      <w:pPr>
        <w:pStyle w:val="BodyText"/>
      </w:pPr>
      <w:r>
        <w:rPr>
          <w:b/>
          <w:bCs/>
        </w:rPr>
        <w:t xml:space="preserve">AlertaCuenta: claridad, acción y protección frente al fraude financiero.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2026-05-07T03:25:46Z</dcterms:created>
  <dcterms:modified xsi:type="dcterms:W3CDTF">2026-05-07T03:25:46Z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