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2e6015a786d09a0389f38bd7f429a0ce0fc06a6"/>
    <w:p>
      <w:pPr>
        <w:pStyle w:val="Heading1"/>
      </w:pPr>
      <w:r>
        <w:t xml:space="preserve">Declaración de Seguridad de la Información — AlertaCuenta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MVP / Hackathon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[●]</w:t>
      </w:r>
      <w:r>
        <w:br/>
      </w:r>
      <w:r>
        <w:rPr>
          <w:b/>
          <w:bCs/>
        </w:rPr>
        <w:t xml:space="preserve">Entidad responsable:</w:t>
      </w:r>
      <w:r>
        <w:t xml:space="preserve"> </w:t>
      </w:r>
      <w:r>
        <w:t xml:space="preserve">[AlertaCuenta / razón social por definir]</w:t>
      </w:r>
      <w:r>
        <w:br/>
      </w:r>
      <w:r>
        <w:rPr>
          <w:b/>
          <w:bCs/>
        </w:rPr>
        <w:t xml:space="preserve">Ámbito:</w:t>
      </w:r>
      <w:r>
        <w:t xml:space="preserve"> </w:t>
      </w:r>
      <w:r>
        <w:t xml:space="preserve">Plataforma, sitio web, asistentes, flujos de reporte, evidencia de fraude, datos financieros, documentos y operación tecnológica</w:t>
      </w:r>
      <w:r>
        <w:br/>
      </w:r>
      <w:r>
        <w:rPr>
          <w:b/>
          <w:bCs/>
        </w:rPr>
        <w:t xml:space="preserve">Canal de seguridad:</w:t>
      </w:r>
      <w:r>
        <w:t xml:space="preserve"> </w:t>
      </w:r>
      <w:r>
        <w:t xml:space="preserve">[seguridad@alertacuenta.cl / formulario web]</w:t>
      </w:r>
      <w:r>
        <w:br/>
      </w:r>
      <w:r>
        <w:rPr>
          <w:b/>
          <w:bCs/>
        </w:rPr>
        <w:t xml:space="preserve">Canal de privacidad:</w:t>
      </w:r>
      <w:r>
        <w:t xml:space="preserve"> </w:t>
      </w:r>
      <w:r>
        <w:t xml:space="preserve">[privacidad@alertacuenta.cl / formulario web]</w:t>
      </w:r>
    </w:p>
    <w:p>
      <w:r>
        <w:pict>
          <v:rect style="width:0;height:1.5pt" o:hralign="center" o:hrstd="t" o:hr="t"/>
        </w:pict>
      </w:r>
    </w:p>
    <w:bookmarkStart w:id="20" w:name="resumen-simple"/>
    <w:p>
      <w:pPr>
        <w:pStyle w:val="Heading2"/>
      </w:pPr>
      <w:r>
        <w:t xml:space="preserve">Resumen simple</w:t>
      </w:r>
    </w:p>
    <w:p>
      <w:pPr>
        <w:pStyle w:val="FirstParagraph"/>
      </w:pPr>
      <w:r>
        <w:t xml:space="preserve">AlertaCuenta trata información delicada: relatos de fraude, antecedentes financieros, documentos, pantallazos, reclamos, comunicaciones con bancos y evidencia que puede ser importante para proteger derechos del usuario.</w:t>
      </w:r>
    </w:p>
    <w:p>
      <w:pPr>
        <w:pStyle w:val="BodyText"/>
      </w:pPr>
      <w:r>
        <w:t xml:space="preserve">Por eso, la seguridad de la información no es un componente accesorio. Es una condición esencial del servicio.</w:t>
      </w:r>
    </w:p>
    <w:p>
      <w:pPr>
        <w:pStyle w:val="BodyText"/>
      </w:pPr>
      <w:r>
        <w:t xml:space="preserve">Esta Declaración explica el enfoque de seguridad que AlertaCuenta aplica o busca aplicar para proteger datos, evidencia, sistemas, usuarios y flujos de atención.</w:t>
      </w:r>
    </w:p>
    <w:p>
      <w:pPr>
        <w:pStyle w:val="BlockText"/>
      </w:pPr>
      <w:r>
        <w:rPr>
          <w:b/>
          <w:bCs/>
        </w:rPr>
        <w:t xml:space="preserve">Principio central:</w:t>
      </w:r>
      <w:r>
        <w:t xml:space="preserve"> </w:t>
      </w:r>
      <w:r>
        <w:t xml:space="preserve">AlertaCuenta debe ayudarte frente al fraude sin exponerte a una segunda vulneración.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enfoque-general-de-seguridad"/>
    <w:p>
      <w:pPr>
        <w:pStyle w:val="Heading1"/>
      </w:pPr>
      <w:r>
        <w:t xml:space="preserve">1. Enfoque general de seguridad</w:t>
      </w:r>
    </w:p>
    <w:p>
      <w:pPr>
        <w:pStyle w:val="FirstParagraph"/>
      </w:pPr>
      <w:r>
        <w:t xml:space="preserve">AlertaCuenta entiende la seguridad de la información como una capacidad transversal de confianza, continuidad, protección y cumplimiento.</w:t>
      </w:r>
    </w:p>
    <w:p>
      <w:pPr>
        <w:pStyle w:val="BodyText"/>
      </w:pPr>
      <w:r>
        <w:t xml:space="preserve">El enfoque de seguridad se basa en:</w:t>
      </w:r>
    </w:p>
    <w:p>
      <w:pPr>
        <w:pStyle w:val="Compact"/>
        <w:numPr>
          <w:ilvl w:val="0"/>
          <w:numId w:val="1001"/>
        </w:numPr>
      </w:pPr>
      <w:r>
        <w:t xml:space="preserve">protección de información personal, financiera y documental;</w:t>
      </w:r>
    </w:p>
    <w:p>
      <w:pPr>
        <w:pStyle w:val="Compact"/>
        <w:numPr>
          <w:ilvl w:val="0"/>
          <w:numId w:val="1001"/>
        </w:numPr>
      </w:pPr>
      <w:r>
        <w:t xml:space="preserve">reducción de riesgos de acceso no autorizado;</w:t>
      </w:r>
    </w:p>
    <w:p>
      <w:pPr>
        <w:pStyle w:val="Compact"/>
        <w:numPr>
          <w:ilvl w:val="0"/>
          <w:numId w:val="1001"/>
        </w:numPr>
      </w:pPr>
      <w:r>
        <w:t xml:space="preserve">control de privilegios;</w:t>
      </w:r>
    </w:p>
    <w:p>
      <w:pPr>
        <w:pStyle w:val="Compact"/>
        <w:numPr>
          <w:ilvl w:val="0"/>
          <w:numId w:val="1001"/>
        </w:numPr>
      </w:pPr>
      <w:r>
        <w:t xml:space="preserve">trazabilidad de acciones relevantes;</w:t>
      </w:r>
    </w:p>
    <w:p>
      <w:pPr>
        <w:pStyle w:val="Compact"/>
        <w:numPr>
          <w:ilvl w:val="0"/>
          <w:numId w:val="1001"/>
        </w:numPr>
      </w:pPr>
      <w:r>
        <w:t xml:space="preserve">prevención de abuso de la plataforma;</w:t>
      </w:r>
    </w:p>
    <w:p>
      <w:pPr>
        <w:pStyle w:val="Compact"/>
        <w:numPr>
          <w:ilvl w:val="0"/>
          <w:numId w:val="1001"/>
        </w:numPr>
      </w:pPr>
      <w:r>
        <w:t xml:space="preserve">respuesta proporcional ante incidentes;</w:t>
      </w:r>
    </w:p>
    <w:p>
      <w:pPr>
        <w:pStyle w:val="Compact"/>
        <w:numPr>
          <w:ilvl w:val="0"/>
          <w:numId w:val="1001"/>
        </w:numPr>
      </w:pPr>
      <w:r>
        <w:t xml:space="preserve">mejora continua;</w:t>
      </w:r>
    </w:p>
    <w:p>
      <w:pPr>
        <w:pStyle w:val="Compact"/>
        <w:numPr>
          <w:ilvl w:val="0"/>
          <w:numId w:val="1001"/>
        </w:numPr>
      </w:pPr>
      <w:r>
        <w:t xml:space="preserve">seguridad desde el diseño.</w:t>
      </w:r>
    </w:p>
    <w:p>
      <w:pPr>
        <w:pStyle w:val="FirstParagraph"/>
      </w:pPr>
      <w:r>
        <w:t xml:space="preserve">En fase de hackathon, piloto, prueba de concepto o MVP, esta Declaración funciona como marco de diseño y madurez progresiva. No debe entenderse como certificación formal, auditoría externa concluida ni garantía absoluta de seguridad.</w:t>
      </w:r>
    </w:p>
    <w:p>
      <w:r>
        <w:pict>
          <v:rect style="width:0;height:1.5pt" o:hralign="center" o:hrstd="t" o:hr="t"/>
        </w:pict>
      </w:r>
    </w:p>
    <w:bookmarkEnd w:id="22"/>
    <w:bookmarkStart w:id="23" w:name="alcance"/>
    <w:p>
      <w:pPr>
        <w:pStyle w:val="Heading1"/>
      </w:pPr>
      <w:r>
        <w:t xml:space="preserve">2. Alcance</w:t>
      </w:r>
    </w:p>
    <w:p>
      <w:pPr>
        <w:pStyle w:val="FirstParagraph"/>
      </w:pPr>
      <w:r>
        <w:t xml:space="preserve">Esta Declaración aplica, según corresponda, a:</w:t>
      </w:r>
    </w:p>
    <w:p>
      <w:pPr>
        <w:pStyle w:val="Compact"/>
        <w:numPr>
          <w:ilvl w:val="0"/>
          <w:numId w:val="1002"/>
        </w:numPr>
      </w:pPr>
      <w:r>
        <w:t xml:space="preserve">sitio web de AlertaCuenta;</w:t>
      </w:r>
    </w:p>
    <w:p>
      <w:pPr>
        <w:pStyle w:val="Compact"/>
        <w:numPr>
          <w:ilvl w:val="0"/>
          <w:numId w:val="1002"/>
        </w:numPr>
      </w:pPr>
      <w:r>
        <w:t xml:space="preserve">formularios de reporte;</w:t>
      </w:r>
    </w:p>
    <w:p>
      <w:pPr>
        <w:pStyle w:val="Compact"/>
        <w:numPr>
          <w:ilvl w:val="0"/>
          <w:numId w:val="1002"/>
        </w:numPr>
      </w:pPr>
      <w:r>
        <w:t xml:space="preserve">flujos de primera respuesta;</w:t>
      </w:r>
    </w:p>
    <w:p>
      <w:pPr>
        <w:pStyle w:val="Compact"/>
        <w:numPr>
          <w:ilvl w:val="0"/>
          <w:numId w:val="1002"/>
        </w:numPr>
      </w:pPr>
      <w:r>
        <w:t xml:space="preserve">carga de documentos y evidencia;</w:t>
      </w:r>
    </w:p>
    <w:p>
      <w:pPr>
        <w:pStyle w:val="Compact"/>
        <w:numPr>
          <w:ilvl w:val="0"/>
          <w:numId w:val="1002"/>
        </w:numPr>
      </w:pPr>
      <w:r>
        <w:t xml:space="preserve">asistentes conversacionales;</w:t>
      </w:r>
    </w:p>
    <w:p>
      <w:pPr>
        <w:pStyle w:val="Compact"/>
        <w:numPr>
          <w:ilvl w:val="0"/>
          <w:numId w:val="1002"/>
        </w:numPr>
      </w:pPr>
      <w:r>
        <w:t xml:space="preserve">sistemas de inteligencia artificial;</w:t>
      </w:r>
    </w:p>
    <w:p>
      <w:pPr>
        <w:pStyle w:val="Compact"/>
        <w:numPr>
          <w:ilvl w:val="0"/>
          <w:numId w:val="1002"/>
        </w:numPr>
      </w:pPr>
      <w:r>
        <w:t xml:space="preserve">generación de documentos;</w:t>
      </w:r>
    </w:p>
    <w:p>
      <w:pPr>
        <w:pStyle w:val="Compact"/>
        <w:numPr>
          <w:ilvl w:val="0"/>
          <w:numId w:val="1002"/>
        </w:numPr>
      </w:pPr>
      <w:r>
        <w:t xml:space="preserve">paneles internos de revisión;</w:t>
      </w:r>
    </w:p>
    <w:p>
      <w:pPr>
        <w:pStyle w:val="Compact"/>
        <w:numPr>
          <w:ilvl w:val="0"/>
          <w:numId w:val="1002"/>
        </w:numPr>
      </w:pPr>
      <w:r>
        <w:t xml:space="preserve">bases de datos;</w:t>
      </w:r>
    </w:p>
    <w:p>
      <w:pPr>
        <w:pStyle w:val="Compact"/>
        <w:numPr>
          <w:ilvl w:val="0"/>
          <w:numId w:val="1002"/>
        </w:numPr>
      </w:pPr>
      <w:r>
        <w:t xml:space="preserve">infraestructura cloud;</w:t>
      </w:r>
    </w:p>
    <w:p>
      <w:pPr>
        <w:pStyle w:val="Compact"/>
        <w:numPr>
          <w:ilvl w:val="0"/>
          <w:numId w:val="1002"/>
        </w:numPr>
      </w:pPr>
      <w:r>
        <w:t xml:space="preserve">integraciones con proveedores;</w:t>
      </w:r>
    </w:p>
    <w:p>
      <w:pPr>
        <w:pStyle w:val="Compact"/>
        <w:numPr>
          <w:ilvl w:val="0"/>
          <w:numId w:val="1002"/>
        </w:numPr>
      </w:pPr>
      <w:r>
        <w:t xml:space="preserve">comunicaciones con usuarios;</w:t>
      </w:r>
    </w:p>
    <w:p>
      <w:pPr>
        <w:pStyle w:val="Compact"/>
        <w:numPr>
          <w:ilvl w:val="0"/>
          <w:numId w:val="1002"/>
        </w:numPr>
      </w:pPr>
      <w:r>
        <w:t xml:space="preserve">registros técnicos y logs;</w:t>
      </w:r>
    </w:p>
    <w:p>
      <w:pPr>
        <w:pStyle w:val="Compact"/>
        <w:numPr>
          <w:ilvl w:val="0"/>
          <w:numId w:val="1002"/>
        </w:numPr>
      </w:pPr>
      <w:r>
        <w:t xml:space="preserve">procesos de soporte;</w:t>
      </w:r>
    </w:p>
    <w:p>
      <w:pPr>
        <w:pStyle w:val="Compact"/>
        <w:numPr>
          <w:ilvl w:val="0"/>
          <w:numId w:val="1002"/>
        </w:numPr>
      </w:pPr>
      <w:r>
        <w:t xml:space="preserve">ambientes de desarrollo, prueba y producción.</w:t>
      </w:r>
    </w:p>
    <w:p>
      <w:pPr>
        <w:pStyle w:val="FirstParagraph"/>
      </w:pPr>
      <w:r>
        <w:t xml:space="preserve">También aplica a colaboradores, revisores, desarrolladores, proveedores, aliados o terceros que puedan acceder a información, sistemas o componentes de AlertaCuenta.</w:t>
      </w:r>
    </w:p>
    <w:p>
      <w:r>
        <w:pict>
          <v:rect style="width:0;height:1.5pt" o:hralign="center" o:hrstd="t" o:hr="t"/>
        </w:pict>
      </w:r>
    </w:p>
    <w:bookmarkEnd w:id="23"/>
    <w:bookmarkStart w:id="24" w:name="marcos-de-referencia"/>
    <w:p>
      <w:pPr>
        <w:pStyle w:val="Heading1"/>
      </w:pPr>
      <w:r>
        <w:t xml:space="preserve">3. Marcos de referencia</w:t>
      </w:r>
    </w:p>
    <w:p>
      <w:pPr>
        <w:pStyle w:val="FirstParagraph"/>
      </w:pPr>
      <w:r>
        <w:t xml:space="preserve">AlertaCuenta puede tomar como referencia buenas prácticas y marcos internacionalmente reconocidos de seguridad, privacidad y gestión de riesgos, especialmente:</w:t>
      </w:r>
    </w:p>
    <w:p>
      <w:pPr>
        <w:pStyle w:val="Compact"/>
        <w:numPr>
          <w:ilvl w:val="0"/>
          <w:numId w:val="1003"/>
        </w:numPr>
      </w:pPr>
      <w:r>
        <w:t xml:space="preserve">ISO/IEC 27001, como referencia para sistemas de gestión de seguridad de la información;</w:t>
      </w:r>
    </w:p>
    <w:p>
      <w:pPr>
        <w:pStyle w:val="Compact"/>
        <w:numPr>
          <w:ilvl w:val="0"/>
          <w:numId w:val="1003"/>
        </w:numPr>
      </w:pPr>
      <w:r>
        <w:t xml:space="preserve">ISO/IEC 27002, como referencia para controles de seguridad;</w:t>
      </w:r>
    </w:p>
    <w:p>
      <w:pPr>
        <w:pStyle w:val="Compact"/>
        <w:numPr>
          <w:ilvl w:val="0"/>
          <w:numId w:val="1003"/>
        </w:numPr>
      </w:pPr>
      <w:r>
        <w:t xml:space="preserve">ISO/IEC 27701, como referencia para privacidad y gestión de información personal;</w:t>
      </w:r>
    </w:p>
    <w:p>
      <w:pPr>
        <w:pStyle w:val="Compact"/>
        <w:numPr>
          <w:ilvl w:val="0"/>
          <w:numId w:val="1003"/>
        </w:numPr>
      </w:pPr>
      <w:r>
        <w:t xml:space="preserve">NIST Cybersecurity Framework, como referencia para identificar, proteger, detectar, responder y recuperar;</w:t>
      </w:r>
    </w:p>
    <w:p>
      <w:pPr>
        <w:pStyle w:val="Compact"/>
        <w:numPr>
          <w:ilvl w:val="0"/>
          <w:numId w:val="1003"/>
        </w:numPr>
      </w:pPr>
      <w:r>
        <w:t xml:space="preserve">OWASP, como referencia para seguridad de aplicaciones web y riesgos de aplicaciones con IA;</w:t>
      </w:r>
    </w:p>
    <w:p>
      <w:pPr>
        <w:pStyle w:val="Compact"/>
        <w:numPr>
          <w:ilvl w:val="0"/>
          <w:numId w:val="1003"/>
        </w:numPr>
      </w:pPr>
      <w:r>
        <w:t xml:space="preserve">buenas prácticas cloud nativas de los proveedores utilizados.</w:t>
      </w:r>
    </w:p>
    <w:p>
      <w:pPr>
        <w:pStyle w:val="FirstParagraph"/>
      </w:pPr>
      <w:r>
        <w:t xml:space="preserve">La referencia a estos marcos expresa alineamiento metodológico y aspiración de madurez progresiva. No equivale a certificación formal vigente, salvo que AlertaCuenta lo declare expresamente con evidencia verificable.</w:t>
      </w:r>
    </w:p>
    <w:p>
      <w:r>
        <w:pict>
          <v:rect style="width:0;height:1.5pt" o:hralign="center" o:hrstd="t" o:hr="t"/>
        </w:pict>
      </w:r>
    </w:p>
    <w:bookmarkEnd w:id="24"/>
    <w:bookmarkStart w:id="33" w:name="principios-de-seguridad"/>
    <w:p>
      <w:pPr>
        <w:pStyle w:val="Heading1"/>
      </w:pPr>
      <w:r>
        <w:t xml:space="preserve">4. Principios de seguridad</w:t>
      </w:r>
    </w:p>
    <w:p>
      <w:pPr>
        <w:pStyle w:val="FirstParagraph"/>
      </w:pPr>
      <w:r>
        <w:t xml:space="preserve">La seguridad de AlertaCuenta se organiza sobre los siguientes principios.</w:t>
      </w:r>
    </w:p>
    <w:bookmarkStart w:id="25" w:name="confidencialidad"/>
    <w:p>
      <w:pPr>
        <w:pStyle w:val="Heading2"/>
      </w:pPr>
      <w:r>
        <w:t xml:space="preserve">4.1 Confidencialidad</w:t>
      </w:r>
    </w:p>
    <w:p>
      <w:pPr>
        <w:pStyle w:val="FirstParagraph"/>
      </w:pPr>
      <w:r>
        <w:t xml:space="preserve">La información debe ser accesible solo para personas, sistemas o proveedores autorizados y solo en la medida necesaria.</w:t>
      </w:r>
    </w:p>
    <w:bookmarkEnd w:id="25"/>
    <w:bookmarkStart w:id="26" w:name="integridad"/>
    <w:p>
      <w:pPr>
        <w:pStyle w:val="Heading2"/>
      </w:pPr>
      <w:r>
        <w:t xml:space="preserve">4.2 Integridad</w:t>
      </w:r>
    </w:p>
    <w:p>
      <w:pPr>
        <w:pStyle w:val="FirstParagraph"/>
      </w:pPr>
      <w:r>
        <w:t xml:space="preserve">Los datos, documentos, registros y configuraciones deben mantenerse completos, consistentes y protegidos frente a alteraciones no autorizadas.</w:t>
      </w:r>
    </w:p>
    <w:bookmarkEnd w:id="26"/>
    <w:bookmarkStart w:id="27" w:name="disponibilidad"/>
    <w:p>
      <w:pPr>
        <w:pStyle w:val="Heading2"/>
      </w:pPr>
      <w:r>
        <w:t xml:space="preserve">4.3 Disponibilidad</w:t>
      </w:r>
    </w:p>
    <w:p>
      <w:pPr>
        <w:pStyle w:val="FirstParagraph"/>
      </w:pPr>
      <w:r>
        <w:t xml:space="preserve">Los sistemas y datos necesarios para operar el servicio deben estar disponibles dentro de parámetros razonables, considerando la etapa del producto y criticidad del servicio.</w:t>
      </w:r>
    </w:p>
    <w:bookmarkEnd w:id="27"/>
    <w:bookmarkStart w:id="28" w:name="trazabilidad"/>
    <w:p>
      <w:pPr>
        <w:pStyle w:val="Heading2"/>
      </w:pPr>
      <w:r>
        <w:t xml:space="preserve">4.4 Trazabilidad</w:t>
      </w:r>
    </w:p>
    <w:p>
      <w:pPr>
        <w:pStyle w:val="FirstParagraph"/>
      </w:pPr>
      <w:r>
        <w:t xml:space="preserve">Las acciones relevantes sobre datos, evidencia, documentos, usuarios, sistemas o configuraciones deben poder registrarse y revisarse cuando corresponda.</w:t>
      </w:r>
    </w:p>
    <w:bookmarkEnd w:id="28"/>
    <w:bookmarkStart w:id="29" w:name="mínimo-privilegio"/>
    <w:p>
      <w:pPr>
        <w:pStyle w:val="Heading2"/>
      </w:pPr>
      <w:r>
        <w:t xml:space="preserve">4.5 Mínimo privilegio</w:t>
      </w:r>
    </w:p>
    <w:p>
      <w:pPr>
        <w:pStyle w:val="FirstParagraph"/>
      </w:pPr>
      <w:r>
        <w:t xml:space="preserve">Cada persona, sistema o proveedor debe acceder solo a la información y funciones estrictamente necesarias para cumplir su rol.</w:t>
      </w:r>
    </w:p>
    <w:bookmarkEnd w:id="29"/>
    <w:bookmarkStart w:id="30" w:name="seguridad-proporcional-al-riesgo"/>
    <w:p>
      <w:pPr>
        <w:pStyle w:val="Heading2"/>
      </w:pPr>
      <w:r>
        <w:t xml:space="preserve">4.6 Seguridad proporcional al riesgo</w:t>
      </w:r>
    </w:p>
    <w:p>
      <w:pPr>
        <w:pStyle w:val="FirstParagraph"/>
      </w:pPr>
      <w:r>
        <w:t xml:space="preserve">El nivel de protección debe ajustarse al tipo de información, criticidad del caso, etapa del flujo, sensibilidad de los datos y posible impacto para el usuario.</w:t>
      </w:r>
    </w:p>
    <w:bookmarkEnd w:id="30"/>
    <w:bookmarkStart w:id="31" w:name="minimización"/>
    <w:p>
      <w:pPr>
        <w:pStyle w:val="Heading2"/>
      </w:pPr>
      <w:r>
        <w:t xml:space="preserve">4.7 Minimización</w:t>
      </w:r>
    </w:p>
    <w:p>
      <w:pPr>
        <w:pStyle w:val="FirstParagraph"/>
      </w:pPr>
      <w:r>
        <w:t xml:space="preserve">La mejor forma de proteger ciertos datos es no pedirlos, no recibirlos o eliminarlos cuando no son necesarios. En particular, AlertaCuenta no debe pedir claves, PIN, coordenadas, códigos SMS, contraseñas, CVV ni acceso remoto.</w:t>
      </w:r>
    </w:p>
    <w:bookmarkEnd w:id="31"/>
    <w:bookmarkStart w:id="32" w:name="mejora-continua"/>
    <w:p>
      <w:pPr>
        <w:pStyle w:val="Heading2"/>
      </w:pPr>
      <w:r>
        <w:t xml:space="preserve">4.8 Mejora continua</w:t>
      </w:r>
    </w:p>
    <w:p>
      <w:pPr>
        <w:pStyle w:val="FirstParagraph"/>
      </w:pPr>
      <w:r>
        <w:t xml:space="preserve">La seguridad debe evolucionar con el producto, los riesgos, los usuarios, los proveedores, los incidentes y los aprendizajes del sistema.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clasificación-de-la-información"/>
    <w:p>
      <w:pPr>
        <w:pStyle w:val="Heading1"/>
      </w:pPr>
      <w:r>
        <w:t xml:space="preserve">5. Clasificación de la información</w:t>
      </w:r>
    </w:p>
    <w:p>
      <w:pPr>
        <w:pStyle w:val="FirstParagraph"/>
      </w:pPr>
      <w:r>
        <w:t xml:space="preserve">Para aplicar controles proporcionales, AlertaCuenta debe clasificar la información que trata.</w:t>
      </w:r>
    </w:p>
    <w:bookmarkStart w:id="34" w:name="información-pública"/>
    <w:p>
      <w:pPr>
        <w:pStyle w:val="Heading2"/>
      </w:pPr>
      <w:r>
        <w:t xml:space="preserve">5.1 Información pública</w:t>
      </w:r>
    </w:p>
    <w:p>
      <w:pPr>
        <w:pStyle w:val="FirstParagraph"/>
      </w:pPr>
      <w:r>
        <w:t xml:space="preserve">Información destinada a difusión pública, como contenidos educativos, páginas informativas, documentos generales del Centro de Confianza o materiales institucionales.</w:t>
      </w:r>
    </w:p>
    <w:bookmarkEnd w:id="34"/>
    <w:bookmarkStart w:id="35" w:name="información-interna"/>
    <w:p>
      <w:pPr>
        <w:pStyle w:val="Heading2"/>
      </w:pPr>
      <w:r>
        <w:t xml:space="preserve">5.2 Información interna</w:t>
      </w:r>
    </w:p>
    <w:p>
      <w:pPr>
        <w:pStyle w:val="FirstParagraph"/>
      </w:pPr>
      <w:r>
        <w:t xml:space="preserve">Información operativa no pública, como documentación de trabajo, criterios internos, configuraciones no críticas, borradores, minutas o planificación.</w:t>
      </w:r>
    </w:p>
    <w:bookmarkEnd w:id="35"/>
    <w:bookmarkStart w:id="36" w:name="información-confidencial"/>
    <w:p>
      <w:pPr>
        <w:pStyle w:val="Heading2"/>
      </w:pPr>
      <w:r>
        <w:t xml:space="preserve">5.3 Información confidencial</w:t>
      </w:r>
    </w:p>
    <w:p>
      <w:pPr>
        <w:pStyle w:val="FirstParagraph"/>
      </w:pPr>
      <w:r>
        <w:t xml:space="preserve">Información que requiere protección activa y acceso restringido, como datos de usuarios, casos, documentos, comunicaciones, reclamos, evidencias, logs, configuraciones, contratos, proveedores o metodologías.</w:t>
      </w:r>
    </w:p>
    <w:bookmarkEnd w:id="36"/>
    <w:bookmarkStart w:id="37" w:name="Xf09a213f97ecd7861024b6530402f9e30afc69c"/>
    <w:p>
      <w:pPr>
        <w:pStyle w:val="Heading2"/>
      </w:pPr>
      <w:r>
        <w:t xml:space="preserve">5.4 Información financiera o evidencia de fraude</w:t>
      </w:r>
    </w:p>
    <w:p>
      <w:pPr>
        <w:pStyle w:val="FirstParagraph"/>
      </w:pPr>
      <w:r>
        <w:t xml:space="preserve">Información asociada a operaciones bancarias, productos financieros, cargos, transferencias, cartolas, comprobantes, pantallazos, respuestas bancarias o antecedentes del caso. Debe tratarse con protección reforzada.</w:t>
      </w:r>
    </w:p>
    <w:bookmarkEnd w:id="37"/>
    <w:bookmarkStart w:id="38" w:name="Xba0ffa660c232f163710949343c4cb8cf2c3f73"/>
    <w:p>
      <w:pPr>
        <w:pStyle w:val="Heading2"/>
      </w:pPr>
      <w:r>
        <w:t xml:space="preserve">5.5 Información sensible o de especial protección</w:t>
      </w:r>
    </w:p>
    <w:p>
      <w:pPr>
        <w:pStyle w:val="FirstParagraph"/>
      </w:pPr>
      <w:r>
        <w:t xml:space="preserve">Información que pueda revelar datos sensibles o especialmente protegidos, o que pueda generar riesgo alto para la persona si se divulga, altera o usa indebidamente.</w:t>
      </w:r>
    </w:p>
    <w:bookmarkEnd w:id="38"/>
    <w:bookmarkStart w:id="39" w:name="secretos-y-credenciales"/>
    <w:p>
      <w:pPr>
        <w:pStyle w:val="Heading2"/>
      </w:pPr>
      <w:r>
        <w:t xml:space="preserve">5.6 Secretos y credenciales</w:t>
      </w:r>
    </w:p>
    <w:p>
      <w:pPr>
        <w:pStyle w:val="FirstParagraph"/>
      </w:pPr>
      <w:r>
        <w:t xml:space="preserve">Claves API, llaves, tokens, contraseñas internas, secretos técnicos, variables de entorno, credenciales de proveedores o configuraciones críticas. Deben tratarse con controles estrictos y nunca almacenarse de forma insegura.</w:t>
      </w:r>
    </w:p>
    <w:p>
      <w:pPr>
        <w:pStyle w:val="BlockText"/>
      </w:pPr>
      <w:r>
        <w:rPr>
          <w:b/>
          <w:bCs/>
        </w:rPr>
        <w:t xml:space="preserve">Regla operativa:</w:t>
      </w:r>
      <w:r>
        <w:t xml:space="preserve"> </w:t>
      </w:r>
      <w:r>
        <w:t xml:space="preserve">ante la duda sobre la clasificación de un dato, debe aplicarse la categoría de mayor protección razonable.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controles-de-acceso"/>
    <w:p>
      <w:pPr>
        <w:pStyle w:val="Heading1"/>
      </w:pPr>
      <w:r>
        <w:t xml:space="preserve">6. Controles de acceso</w:t>
      </w:r>
    </w:p>
    <w:p>
      <w:pPr>
        <w:pStyle w:val="FirstParagraph"/>
      </w:pPr>
      <w:r>
        <w:t xml:space="preserve">AlertaCuenta debe controlar quién puede acceder a sistemas, datos y evidencia.</w:t>
      </w:r>
    </w:p>
    <w:bookmarkStart w:id="41" w:name="acceso-por-roles"/>
    <w:p>
      <w:pPr>
        <w:pStyle w:val="Heading2"/>
      </w:pPr>
      <w:r>
        <w:t xml:space="preserve">6.1 Acceso por roles</w:t>
      </w:r>
    </w:p>
    <w:p>
      <w:pPr>
        <w:pStyle w:val="FirstParagraph"/>
      </w:pPr>
      <w:r>
        <w:t xml:space="preserve">Los accesos deben asignarse según el rol de la persona o sistema:</w:t>
      </w:r>
    </w:p>
    <w:p>
      <w:pPr>
        <w:pStyle w:val="Compact"/>
        <w:numPr>
          <w:ilvl w:val="0"/>
          <w:numId w:val="1004"/>
        </w:numPr>
      </w:pPr>
      <w:r>
        <w:t xml:space="preserve">administrador técnico;</w:t>
      </w:r>
    </w:p>
    <w:p>
      <w:pPr>
        <w:pStyle w:val="Compact"/>
        <w:numPr>
          <w:ilvl w:val="0"/>
          <w:numId w:val="1004"/>
        </w:numPr>
      </w:pPr>
      <w:r>
        <w:t xml:space="preserve">desarrollador;</w:t>
      </w:r>
    </w:p>
    <w:p>
      <w:pPr>
        <w:pStyle w:val="Compact"/>
        <w:numPr>
          <w:ilvl w:val="0"/>
          <w:numId w:val="1004"/>
        </w:numPr>
      </w:pPr>
      <w:r>
        <w:t xml:space="preserve">revisor de casos;</w:t>
      </w:r>
    </w:p>
    <w:p>
      <w:pPr>
        <w:pStyle w:val="Compact"/>
        <w:numPr>
          <w:ilvl w:val="0"/>
          <w:numId w:val="1004"/>
        </w:numPr>
      </w:pPr>
      <w:r>
        <w:t xml:space="preserve">soporte;</w:t>
      </w:r>
    </w:p>
    <w:p>
      <w:pPr>
        <w:pStyle w:val="Compact"/>
        <w:numPr>
          <w:ilvl w:val="0"/>
          <w:numId w:val="1004"/>
        </w:numPr>
      </w:pPr>
      <w:r>
        <w:t xml:space="preserve">responsable de privacidad;</w:t>
      </w:r>
    </w:p>
    <w:p>
      <w:pPr>
        <w:pStyle w:val="Compact"/>
        <w:numPr>
          <w:ilvl w:val="0"/>
          <w:numId w:val="1004"/>
        </w:numPr>
      </w:pPr>
      <w:r>
        <w:t xml:space="preserve">responsable de seguridad;</w:t>
      </w:r>
    </w:p>
    <w:p>
      <w:pPr>
        <w:pStyle w:val="Compact"/>
        <w:numPr>
          <w:ilvl w:val="0"/>
          <w:numId w:val="1004"/>
        </w:numPr>
      </w:pPr>
      <w:r>
        <w:t xml:space="preserve">responsable legal o de cumplimiento;</w:t>
      </w:r>
    </w:p>
    <w:p>
      <w:pPr>
        <w:pStyle w:val="Compact"/>
        <w:numPr>
          <w:ilvl w:val="0"/>
          <w:numId w:val="1004"/>
        </w:numPr>
      </w:pPr>
      <w:r>
        <w:t xml:space="preserve">proveedor autorizado;</w:t>
      </w:r>
    </w:p>
    <w:p>
      <w:pPr>
        <w:pStyle w:val="Compact"/>
        <w:numPr>
          <w:ilvl w:val="0"/>
          <w:numId w:val="1004"/>
        </w:numPr>
      </w:pPr>
      <w:r>
        <w:t xml:space="preserve">auditor o evaluador autorizado.</w:t>
      </w:r>
    </w:p>
    <w:bookmarkEnd w:id="41"/>
    <w:bookmarkStart w:id="42" w:name="mínimo-acceso-necesario"/>
    <w:p>
      <w:pPr>
        <w:pStyle w:val="Heading2"/>
      </w:pPr>
      <w:r>
        <w:t xml:space="preserve">6.2 Mínimo acceso necesario</w:t>
      </w:r>
    </w:p>
    <w:p>
      <w:pPr>
        <w:pStyle w:val="FirstParagraph"/>
      </w:pPr>
      <w:r>
        <w:t xml:space="preserve">Nadie debe acceder a más información de la necesaria para cumplir su función.</w:t>
      </w:r>
    </w:p>
    <w:bookmarkEnd w:id="42"/>
    <w:bookmarkStart w:id="43" w:name="revisión-de-accesos"/>
    <w:p>
      <w:pPr>
        <w:pStyle w:val="Heading2"/>
      </w:pPr>
      <w:r>
        <w:t xml:space="preserve">6.3 Revisión de accesos</w:t>
      </w:r>
    </w:p>
    <w:p>
      <w:pPr>
        <w:pStyle w:val="FirstParagraph"/>
      </w:pPr>
      <w:r>
        <w:t xml:space="preserve">Los accesos deben revisarse periódicamente o cuando existan cambios de equipo, proveedor, función, riesgo o etapa del proyecto.</w:t>
      </w:r>
    </w:p>
    <w:bookmarkEnd w:id="43"/>
    <w:bookmarkStart w:id="44" w:name="revocación-de-accesos"/>
    <w:p>
      <w:pPr>
        <w:pStyle w:val="Heading2"/>
      </w:pPr>
      <w:r>
        <w:t xml:space="preserve">6.4 Revocación de accesos</w:t>
      </w:r>
    </w:p>
    <w:p>
      <w:pPr>
        <w:pStyle w:val="FirstParagraph"/>
      </w:pPr>
      <w:r>
        <w:t xml:space="preserve">Cuando una persona o proveedor deja de participar en el proyecto, sus accesos deben revocarse oportunamente.</w:t>
      </w:r>
    </w:p>
    <w:bookmarkEnd w:id="44"/>
    <w:bookmarkStart w:id="45" w:name="autenticación-multifactor"/>
    <w:p>
      <w:pPr>
        <w:pStyle w:val="Heading2"/>
      </w:pPr>
      <w:r>
        <w:t xml:space="preserve">6.5 Autenticación multifactor</w:t>
      </w:r>
    </w:p>
    <w:p>
      <w:pPr>
        <w:pStyle w:val="FirstParagraph"/>
      </w:pPr>
      <w:r>
        <w:t xml:space="preserve">Los sistemas críticos, cuentas administrativas, repositorios, infraestructura cloud, herramientas de IA, bases de datos y paneles internos deben utilizar autenticación multifactor cuando sea razonable o requerido.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seguridad-de-credenciales-y-secretos"/>
    <w:p>
      <w:pPr>
        <w:pStyle w:val="Heading1"/>
      </w:pPr>
      <w:r>
        <w:t xml:space="preserve">7. Seguridad de credenciales y secretos</w:t>
      </w:r>
    </w:p>
    <w:p>
      <w:pPr>
        <w:pStyle w:val="FirstParagraph"/>
      </w:pPr>
      <w:r>
        <w:t xml:space="preserve">AlertaCuenta debe proteger credenciales, claves API, tokens y secretos técnicos.</w:t>
      </w:r>
    </w:p>
    <w:bookmarkStart w:id="47" w:name="reglas-básicas"/>
    <w:p>
      <w:pPr>
        <w:pStyle w:val="Heading2"/>
      </w:pPr>
      <w:r>
        <w:t xml:space="preserve">7.1 Reglas básicas</w:t>
      </w:r>
    </w:p>
    <w:p>
      <w:pPr>
        <w:pStyle w:val="FirstParagraph"/>
      </w:pPr>
      <w:r>
        <w:t xml:space="preserve">No deben almacenarse secretos en:</w:t>
      </w:r>
    </w:p>
    <w:p>
      <w:pPr>
        <w:pStyle w:val="Compact"/>
        <w:numPr>
          <w:ilvl w:val="0"/>
          <w:numId w:val="1005"/>
        </w:numPr>
      </w:pPr>
      <w:r>
        <w:t xml:space="preserve">código fuente visible;</w:t>
      </w:r>
    </w:p>
    <w:p>
      <w:pPr>
        <w:pStyle w:val="Compact"/>
        <w:numPr>
          <w:ilvl w:val="0"/>
          <w:numId w:val="1005"/>
        </w:numPr>
      </w:pPr>
      <w:r>
        <w:t xml:space="preserve">repositorios públicos;</w:t>
      </w:r>
    </w:p>
    <w:p>
      <w:pPr>
        <w:pStyle w:val="Compact"/>
        <w:numPr>
          <w:ilvl w:val="0"/>
          <w:numId w:val="1005"/>
        </w:numPr>
      </w:pPr>
      <w:r>
        <w:t xml:space="preserve">documentos compartidos sin protección;</w:t>
      </w:r>
    </w:p>
    <w:p>
      <w:pPr>
        <w:pStyle w:val="Compact"/>
        <w:numPr>
          <w:ilvl w:val="0"/>
          <w:numId w:val="1005"/>
        </w:numPr>
      </w:pPr>
      <w:r>
        <w:t xml:space="preserve">chats no controlados;</w:t>
      </w:r>
    </w:p>
    <w:p>
      <w:pPr>
        <w:pStyle w:val="Compact"/>
        <w:numPr>
          <w:ilvl w:val="0"/>
          <w:numId w:val="1005"/>
        </w:numPr>
      </w:pPr>
      <w:r>
        <w:t xml:space="preserve">planillas sin cifrado;</w:t>
      </w:r>
    </w:p>
    <w:p>
      <w:pPr>
        <w:pStyle w:val="Compact"/>
        <w:numPr>
          <w:ilvl w:val="0"/>
          <w:numId w:val="1005"/>
        </w:numPr>
      </w:pPr>
      <w:r>
        <w:t xml:space="preserve">capturas de pantalla;</w:t>
      </w:r>
    </w:p>
    <w:p>
      <w:pPr>
        <w:pStyle w:val="Compact"/>
        <w:numPr>
          <w:ilvl w:val="0"/>
          <w:numId w:val="1005"/>
        </w:numPr>
      </w:pPr>
      <w:r>
        <w:t xml:space="preserve">archivos descargables sin control.</w:t>
      </w:r>
    </w:p>
    <w:bookmarkEnd w:id="47"/>
    <w:bookmarkStart w:id="48" w:name="gestión-segura"/>
    <w:p>
      <w:pPr>
        <w:pStyle w:val="Heading2"/>
      </w:pPr>
      <w:r>
        <w:t xml:space="preserve">7.2 Gestión segura</w:t>
      </w:r>
    </w:p>
    <w:p>
      <w:pPr>
        <w:pStyle w:val="FirstParagraph"/>
      </w:pPr>
      <w:r>
        <w:t xml:space="preserve">Cuando sea posible, los secretos deben gestionarse mediante:</w:t>
      </w:r>
    </w:p>
    <w:p>
      <w:pPr>
        <w:pStyle w:val="Compact"/>
        <w:numPr>
          <w:ilvl w:val="0"/>
          <w:numId w:val="1006"/>
        </w:numPr>
      </w:pPr>
      <w:r>
        <w:t xml:space="preserve">gestores de secretos;</w:t>
      </w:r>
    </w:p>
    <w:p>
      <w:pPr>
        <w:pStyle w:val="Compact"/>
        <w:numPr>
          <w:ilvl w:val="0"/>
          <w:numId w:val="1006"/>
        </w:numPr>
      </w:pPr>
      <w:r>
        <w:t xml:space="preserve">variables de entorno protegidas;</w:t>
      </w:r>
    </w:p>
    <w:p>
      <w:pPr>
        <w:pStyle w:val="Compact"/>
        <w:numPr>
          <w:ilvl w:val="0"/>
          <w:numId w:val="1006"/>
        </w:numPr>
      </w:pPr>
      <w:r>
        <w:t xml:space="preserve">rotación periódica;</w:t>
      </w:r>
    </w:p>
    <w:p>
      <w:pPr>
        <w:pStyle w:val="Compact"/>
        <w:numPr>
          <w:ilvl w:val="0"/>
          <w:numId w:val="1006"/>
        </w:numPr>
      </w:pPr>
      <w:r>
        <w:t xml:space="preserve">permisos mínimos;</w:t>
      </w:r>
    </w:p>
    <w:p>
      <w:pPr>
        <w:pStyle w:val="Compact"/>
        <w:numPr>
          <w:ilvl w:val="0"/>
          <w:numId w:val="1006"/>
        </w:numPr>
      </w:pPr>
      <w:r>
        <w:t xml:space="preserve">registros de uso;</w:t>
      </w:r>
    </w:p>
    <w:p>
      <w:pPr>
        <w:pStyle w:val="Compact"/>
        <w:numPr>
          <w:ilvl w:val="0"/>
          <w:numId w:val="1006"/>
        </w:numPr>
      </w:pPr>
      <w:r>
        <w:t xml:space="preserve">separación entre ambientes;</w:t>
      </w:r>
    </w:p>
    <w:p>
      <w:pPr>
        <w:pStyle w:val="Compact"/>
        <w:numPr>
          <w:ilvl w:val="0"/>
          <w:numId w:val="1006"/>
        </w:numPr>
      </w:pPr>
      <w:r>
        <w:t xml:space="preserve">revocación inmediata ante sospecha de exposición.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cifrado-y-protección-de-datos"/>
    <w:p>
      <w:pPr>
        <w:pStyle w:val="Heading1"/>
      </w:pPr>
      <w:r>
        <w:t xml:space="preserve">8. Cifrado y protección de datos</w:t>
      </w:r>
    </w:p>
    <w:bookmarkStart w:id="50" w:name="cifrado-en-tránsito"/>
    <w:p>
      <w:pPr>
        <w:pStyle w:val="Heading2"/>
      </w:pPr>
      <w:r>
        <w:t xml:space="preserve">8.1 Cifrado en tránsito</w:t>
      </w:r>
    </w:p>
    <w:p>
      <w:pPr>
        <w:pStyle w:val="FirstParagraph"/>
      </w:pPr>
      <w:r>
        <w:t xml:space="preserve">AlertaCuenta debe utilizar conexiones seguras para proteger la transmisión de información entre el usuario, la plataforma, proveedores e integraciones.</w:t>
      </w:r>
    </w:p>
    <w:bookmarkEnd w:id="50"/>
    <w:bookmarkStart w:id="51" w:name="cifrado-en-reposo"/>
    <w:p>
      <w:pPr>
        <w:pStyle w:val="Heading2"/>
      </w:pPr>
      <w:r>
        <w:t xml:space="preserve">8.2 Cifrado en reposo</w:t>
      </w:r>
    </w:p>
    <w:p>
      <w:pPr>
        <w:pStyle w:val="FirstParagraph"/>
      </w:pPr>
      <w:r>
        <w:t xml:space="preserve">Cuando corresponda por criticidad, proveedor o arquitectura, los datos almacenados deben protegerse mediante cifrado en reposo.</w:t>
      </w:r>
    </w:p>
    <w:bookmarkEnd w:id="51"/>
    <w:bookmarkStart w:id="52" w:name="X7067490760c93b2d489d9b3c3a90c45b35de85c"/>
    <w:p>
      <w:pPr>
        <w:pStyle w:val="Heading2"/>
      </w:pPr>
      <w:r>
        <w:t xml:space="preserve">8.3 Protección de datos financieros y evidencia</w:t>
      </w:r>
    </w:p>
    <w:p>
      <w:pPr>
        <w:pStyle w:val="FirstParagraph"/>
      </w:pPr>
      <w:r>
        <w:t xml:space="preserve">Los documentos, cartolas, comprobantes y antecedentes financieros deben protegerse mediante controles reforzados de acceso, almacenamiento, trazabilidad y retención.</w:t>
      </w:r>
    </w:p>
    <w:bookmarkEnd w:id="52"/>
    <w:bookmarkStart w:id="53" w:name="enmascaramiento-y-minimización"/>
    <w:p>
      <w:pPr>
        <w:pStyle w:val="Heading2"/>
      </w:pPr>
      <w:r>
        <w:t xml:space="preserve">8.4 Enmascaramiento y minimización</w:t>
      </w:r>
    </w:p>
    <w:p>
      <w:pPr>
        <w:pStyle w:val="FirstParagraph"/>
      </w:pPr>
      <w:r>
        <w:t xml:space="preserve">Cuando sea posible, la plataforma debe promover el enmascaramiento de datos no necesarios, como saldos no relacionados, movimientos ajenos al fraude, datos completos de tarjeta, CVV, claves o códigos.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seguridad-de-aplicaciones-y-desarrollo"/>
    <w:p>
      <w:pPr>
        <w:pStyle w:val="Heading1"/>
      </w:pPr>
      <w:r>
        <w:t xml:space="preserve">9. Seguridad de aplicaciones y desarrollo</w:t>
      </w:r>
    </w:p>
    <w:p>
      <w:pPr>
        <w:pStyle w:val="FirstParagraph"/>
      </w:pPr>
      <w:r>
        <w:t xml:space="preserve">AlertaCuenta debe incorporar seguridad en el ciclo de desarrollo del producto.</w:t>
      </w:r>
    </w:p>
    <w:bookmarkStart w:id="55" w:name="desarrollo-seguro"/>
    <w:p>
      <w:pPr>
        <w:pStyle w:val="Heading2"/>
      </w:pPr>
      <w:r>
        <w:t xml:space="preserve">9.1 Desarrollo seguro</w:t>
      </w:r>
    </w:p>
    <w:p>
      <w:pPr>
        <w:pStyle w:val="FirstParagraph"/>
      </w:pPr>
      <w:r>
        <w:t xml:space="preserve">El equipo debe procurar:</w:t>
      </w:r>
    </w:p>
    <w:p>
      <w:pPr>
        <w:pStyle w:val="Compact"/>
        <w:numPr>
          <w:ilvl w:val="0"/>
          <w:numId w:val="1007"/>
        </w:numPr>
      </w:pPr>
      <w:r>
        <w:t xml:space="preserve">validar entradas del usuario;</w:t>
      </w:r>
    </w:p>
    <w:p>
      <w:pPr>
        <w:pStyle w:val="Compact"/>
        <w:numPr>
          <w:ilvl w:val="0"/>
          <w:numId w:val="1007"/>
        </w:numPr>
      </w:pPr>
      <w:r>
        <w:t xml:space="preserve">proteger formularios;</w:t>
      </w:r>
    </w:p>
    <w:p>
      <w:pPr>
        <w:pStyle w:val="Compact"/>
        <w:numPr>
          <w:ilvl w:val="0"/>
          <w:numId w:val="1007"/>
        </w:numPr>
      </w:pPr>
      <w:r>
        <w:t xml:space="preserve">restringir tipos de archivos permitidos;</w:t>
      </w:r>
    </w:p>
    <w:p>
      <w:pPr>
        <w:pStyle w:val="Compact"/>
        <w:numPr>
          <w:ilvl w:val="0"/>
          <w:numId w:val="1007"/>
        </w:numPr>
      </w:pPr>
      <w:r>
        <w:t xml:space="preserve">revisar dependencias;</w:t>
      </w:r>
    </w:p>
    <w:p>
      <w:pPr>
        <w:pStyle w:val="Compact"/>
        <w:numPr>
          <w:ilvl w:val="0"/>
          <w:numId w:val="1007"/>
        </w:numPr>
      </w:pPr>
      <w:r>
        <w:t xml:space="preserve">evitar exposición de errores internos;</w:t>
      </w:r>
    </w:p>
    <w:p>
      <w:pPr>
        <w:pStyle w:val="Compact"/>
        <w:numPr>
          <w:ilvl w:val="0"/>
          <w:numId w:val="1007"/>
        </w:numPr>
      </w:pPr>
      <w:r>
        <w:t xml:space="preserve">proteger endpoints;</w:t>
      </w:r>
    </w:p>
    <w:p>
      <w:pPr>
        <w:pStyle w:val="Compact"/>
        <w:numPr>
          <w:ilvl w:val="0"/>
          <w:numId w:val="1007"/>
        </w:numPr>
      </w:pPr>
      <w:r>
        <w:t xml:space="preserve">controlar sesiones;</w:t>
      </w:r>
    </w:p>
    <w:p>
      <w:pPr>
        <w:pStyle w:val="Compact"/>
        <w:numPr>
          <w:ilvl w:val="0"/>
          <w:numId w:val="1007"/>
        </w:numPr>
      </w:pPr>
      <w:r>
        <w:t xml:space="preserve">limitar automatizaciones abusivas;</w:t>
      </w:r>
    </w:p>
    <w:p>
      <w:pPr>
        <w:pStyle w:val="Compact"/>
        <w:numPr>
          <w:ilvl w:val="0"/>
          <w:numId w:val="1007"/>
        </w:numPr>
      </w:pPr>
      <w:r>
        <w:t xml:space="preserve">aplicar controles contra inyección, manipulación y abuso;</w:t>
      </w:r>
    </w:p>
    <w:p>
      <w:pPr>
        <w:pStyle w:val="Compact"/>
        <w:numPr>
          <w:ilvl w:val="0"/>
          <w:numId w:val="1007"/>
        </w:numPr>
      </w:pPr>
      <w:r>
        <w:t xml:space="preserve">revisar permisos de APIs.</w:t>
      </w:r>
    </w:p>
    <w:bookmarkEnd w:id="55"/>
    <w:bookmarkStart w:id="56" w:name="revisión-de-código-y-cambios"/>
    <w:p>
      <w:pPr>
        <w:pStyle w:val="Heading2"/>
      </w:pPr>
      <w:r>
        <w:t xml:space="preserve">9.2 Revisión de código y cambios</w:t>
      </w:r>
    </w:p>
    <w:p>
      <w:pPr>
        <w:pStyle w:val="FirstParagraph"/>
      </w:pPr>
      <w:r>
        <w:t xml:space="preserve">Los cambios relevantes deben revisarse antes de despliegue, especialmente cuando afecten:</w:t>
      </w:r>
    </w:p>
    <w:p>
      <w:pPr>
        <w:pStyle w:val="Compact"/>
        <w:numPr>
          <w:ilvl w:val="0"/>
          <w:numId w:val="1008"/>
        </w:numPr>
      </w:pPr>
      <w:r>
        <w:t xml:space="preserve">autenticación;</w:t>
      </w:r>
    </w:p>
    <w:p>
      <w:pPr>
        <w:pStyle w:val="Compact"/>
        <w:numPr>
          <w:ilvl w:val="0"/>
          <w:numId w:val="1008"/>
        </w:numPr>
      </w:pPr>
      <w:r>
        <w:t xml:space="preserve">permisos;</w:t>
      </w:r>
    </w:p>
    <w:p>
      <w:pPr>
        <w:pStyle w:val="Compact"/>
        <w:numPr>
          <w:ilvl w:val="0"/>
          <w:numId w:val="1008"/>
        </w:numPr>
      </w:pPr>
      <w:r>
        <w:t xml:space="preserve">bases de datos;</w:t>
      </w:r>
    </w:p>
    <w:p>
      <w:pPr>
        <w:pStyle w:val="Compact"/>
        <w:numPr>
          <w:ilvl w:val="0"/>
          <w:numId w:val="1008"/>
        </w:numPr>
      </w:pPr>
      <w:r>
        <w:t xml:space="preserve">carga de archivos;</w:t>
      </w:r>
    </w:p>
    <w:p>
      <w:pPr>
        <w:pStyle w:val="Compact"/>
        <w:numPr>
          <w:ilvl w:val="0"/>
          <w:numId w:val="1008"/>
        </w:numPr>
      </w:pPr>
      <w:r>
        <w:t xml:space="preserve">integración con IA;</w:t>
      </w:r>
    </w:p>
    <w:p>
      <w:pPr>
        <w:pStyle w:val="Compact"/>
        <w:numPr>
          <w:ilvl w:val="0"/>
          <w:numId w:val="1008"/>
        </w:numPr>
      </w:pPr>
      <w:r>
        <w:t xml:space="preserve">generación documental;</w:t>
      </w:r>
    </w:p>
    <w:p>
      <w:pPr>
        <w:pStyle w:val="Compact"/>
        <w:numPr>
          <w:ilvl w:val="0"/>
          <w:numId w:val="1008"/>
        </w:numPr>
      </w:pPr>
      <w:r>
        <w:t xml:space="preserve">seguridad de usuarios;</w:t>
      </w:r>
    </w:p>
    <w:p>
      <w:pPr>
        <w:pStyle w:val="Compact"/>
        <w:numPr>
          <w:ilvl w:val="0"/>
          <w:numId w:val="1008"/>
        </w:numPr>
      </w:pPr>
      <w:r>
        <w:t xml:space="preserve">tratamiento de datos financieros.</w:t>
      </w:r>
    </w:p>
    <w:bookmarkEnd w:id="56"/>
    <w:bookmarkStart w:id="57" w:name="dependencias-y-vulnerabilidades"/>
    <w:p>
      <w:pPr>
        <w:pStyle w:val="Heading2"/>
      </w:pPr>
      <w:r>
        <w:t xml:space="preserve">9.3 Dependencias y vulnerabilidades</w:t>
      </w:r>
    </w:p>
    <w:p>
      <w:pPr>
        <w:pStyle w:val="FirstParagraph"/>
      </w:pPr>
      <w:r>
        <w:t xml:space="preserve">AlertaCuenta debe mantener un proceso razonable para revisar dependencias, parches, librerías, paquetes, frameworks y componentes de terceros.</w:t>
      </w:r>
    </w:p>
    <w:bookmarkEnd w:id="57"/>
    <w:bookmarkStart w:id="58" w:name="separación-de-ambientes"/>
    <w:p>
      <w:pPr>
        <w:pStyle w:val="Heading2"/>
      </w:pPr>
      <w:r>
        <w:t xml:space="preserve">9.4 Separación de ambientes</w:t>
      </w:r>
    </w:p>
    <w:p>
      <w:pPr>
        <w:pStyle w:val="FirstParagraph"/>
      </w:pPr>
      <w:r>
        <w:t xml:space="preserve">Debe procurarse separar ambientes de desarrollo, prueba y producción. Los datos reales de usuarios no deben usarse en pruebas salvo que exista justificación, control, anonimización o autorización suficiente.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seguridad-de-inteligencia-artificial"/>
    <w:p>
      <w:pPr>
        <w:pStyle w:val="Heading1"/>
      </w:pPr>
      <w:r>
        <w:t xml:space="preserve">10. Seguridad de inteligencia artificial</w:t>
      </w:r>
    </w:p>
    <w:p>
      <w:pPr>
        <w:pStyle w:val="FirstParagraph"/>
      </w:pPr>
      <w:r>
        <w:t xml:space="preserve">Los sistemas de IA de AlertaCuenta presentan riesgos específicos que deben gestionarse.</w:t>
      </w:r>
    </w:p>
    <w:bookmarkStart w:id="60" w:name="riesgos-de-ia-relevantes"/>
    <w:p>
      <w:pPr>
        <w:pStyle w:val="Heading2"/>
      </w:pPr>
      <w:r>
        <w:t xml:space="preserve">10.1 Riesgos de IA relevantes</w:t>
      </w:r>
    </w:p>
    <w:p>
      <w:pPr>
        <w:pStyle w:val="FirstParagraph"/>
      </w:pPr>
      <w:r>
        <w:t xml:space="preserve">AlertaCuenta debe considerar riesgos como:</w:t>
      </w:r>
    </w:p>
    <w:p>
      <w:pPr>
        <w:pStyle w:val="Compact"/>
        <w:numPr>
          <w:ilvl w:val="0"/>
          <w:numId w:val="1009"/>
        </w:numPr>
      </w:pPr>
      <w:r>
        <w:t xml:space="preserve">prompt injection;</w:t>
      </w:r>
    </w:p>
    <w:p>
      <w:pPr>
        <w:pStyle w:val="Compact"/>
        <w:numPr>
          <w:ilvl w:val="0"/>
          <w:numId w:val="1009"/>
        </w:numPr>
      </w:pPr>
      <w:r>
        <w:t xml:space="preserve">extracción de instrucciones internas;</w:t>
      </w:r>
    </w:p>
    <w:p>
      <w:pPr>
        <w:pStyle w:val="Compact"/>
        <w:numPr>
          <w:ilvl w:val="0"/>
          <w:numId w:val="1009"/>
        </w:numPr>
      </w:pPr>
      <w:r>
        <w:t xml:space="preserve">exposición de datos personales;</w:t>
      </w:r>
    </w:p>
    <w:p>
      <w:pPr>
        <w:pStyle w:val="Compact"/>
        <w:numPr>
          <w:ilvl w:val="0"/>
          <w:numId w:val="1009"/>
        </w:numPr>
      </w:pPr>
      <w:r>
        <w:t xml:space="preserve">generación de documentos incorrectos;</w:t>
      </w:r>
    </w:p>
    <w:p>
      <w:pPr>
        <w:pStyle w:val="Compact"/>
        <w:numPr>
          <w:ilvl w:val="0"/>
          <w:numId w:val="1009"/>
        </w:numPr>
      </w:pPr>
      <w:r>
        <w:t xml:space="preserve">alucinaciones;</w:t>
      </w:r>
    </w:p>
    <w:p>
      <w:pPr>
        <w:pStyle w:val="Compact"/>
        <w:numPr>
          <w:ilvl w:val="0"/>
          <w:numId w:val="1009"/>
        </w:numPr>
      </w:pPr>
      <w:r>
        <w:t xml:space="preserve">manipulación de clasificación;</w:t>
      </w:r>
    </w:p>
    <w:p>
      <w:pPr>
        <w:pStyle w:val="Compact"/>
        <w:numPr>
          <w:ilvl w:val="0"/>
          <w:numId w:val="1009"/>
        </w:numPr>
      </w:pPr>
      <w:r>
        <w:t xml:space="preserve">abuso automatizado;</w:t>
      </w:r>
    </w:p>
    <w:p>
      <w:pPr>
        <w:pStyle w:val="Compact"/>
        <w:numPr>
          <w:ilvl w:val="0"/>
          <w:numId w:val="1009"/>
        </w:numPr>
      </w:pPr>
      <w:r>
        <w:t xml:space="preserve">fabricación de evidencia;</w:t>
      </w:r>
    </w:p>
    <w:p>
      <w:pPr>
        <w:pStyle w:val="Compact"/>
        <w:numPr>
          <w:ilvl w:val="0"/>
          <w:numId w:val="1009"/>
        </w:numPr>
      </w:pPr>
      <w:r>
        <w:t xml:space="preserve">uso de la plataforma para fraude;</w:t>
      </w:r>
    </w:p>
    <w:p>
      <w:pPr>
        <w:pStyle w:val="Compact"/>
        <w:numPr>
          <w:ilvl w:val="0"/>
          <w:numId w:val="1009"/>
        </w:numPr>
      </w:pPr>
      <w:r>
        <w:t xml:space="preserve">dependencia excesiva de outputs no revisados;</w:t>
      </w:r>
    </w:p>
    <w:p>
      <w:pPr>
        <w:pStyle w:val="Compact"/>
        <w:numPr>
          <w:ilvl w:val="0"/>
          <w:numId w:val="1009"/>
        </w:numPr>
      </w:pPr>
      <w:r>
        <w:t xml:space="preserve">filtración de datos hacia proveedores externos.</w:t>
      </w:r>
    </w:p>
    <w:bookmarkEnd w:id="60"/>
    <w:bookmarkStart w:id="61" w:name="controles-de-ia"/>
    <w:p>
      <w:pPr>
        <w:pStyle w:val="Heading2"/>
      </w:pPr>
      <w:r>
        <w:t xml:space="preserve">10.2 Controles de IA</w:t>
      </w:r>
    </w:p>
    <w:p>
      <w:pPr>
        <w:pStyle w:val="FirstParagraph"/>
      </w:pPr>
      <w:r>
        <w:t xml:space="preserve">Según la etapa del producto, AlertaCuenta puede aplicar:</w:t>
      </w:r>
    </w:p>
    <w:p>
      <w:pPr>
        <w:pStyle w:val="Compact"/>
        <w:numPr>
          <w:ilvl w:val="0"/>
          <w:numId w:val="1010"/>
        </w:numPr>
      </w:pPr>
      <w:r>
        <w:t xml:space="preserve">filtros de entrada;</w:t>
      </w:r>
    </w:p>
    <w:p>
      <w:pPr>
        <w:pStyle w:val="Compact"/>
        <w:numPr>
          <w:ilvl w:val="0"/>
          <w:numId w:val="1010"/>
        </w:numPr>
      </w:pPr>
      <w:r>
        <w:t xml:space="preserve">filtros de salida;</w:t>
      </w:r>
    </w:p>
    <w:p>
      <w:pPr>
        <w:pStyle w:val="Compact"/>
        <w:numPr>
          <w:ilvl w:val="0"/>
          <w:numId w:val="1010"/>
        </w:numPr>
      </w:pPr>
      <w:r>
        <w:t xml:space="preserve">límites de uso;</w:t>
      </w:r>
    </w:p>
    <w:p>
      <w:pPr>
        <w:pStyle w:val="Compact"/>
        <w:numPr>
          <w:ilvl w:val="0"/>
          <w:numId w:val="1010"/>
        </w:numPr>
      </w:pPr>
      <w:r>
        <w:t xml:space="preserve">revisión humana proporcional;</w:t>
      </w:r>
    </w:p>
    <w:p>
      <w:pPr>
        <w:pStyle w:val="Compact"/>
        <w:numPr>
          <w:ilvl w:val="0"/>
          <w:numId w:val="1010"/>
        </w:numPr>
      </w:pPr>
      <w:r>
        <w:t xml:space="preserve">advertencias de límites;</w:t>
      </w:r>
    </w:p>
    <w:p>
      <w:pPr>
        <w:pStyle w:val="Compact"/>
        <w:numPr>
          <w:ilvl w:val="0"/>
          <w:numId w:val="1010"/>
        </w:numPr>
      </w:pPr>
      <w:r>
        <w:t xml:space="preserve">protección de prompts internos;</w:t>
      </w:r>
    </w:p>
    <w:p>
      <w:pPr>
        <w:pStyle w:val="Compact"/>
        <w:numPr>
          <w:ilvl w:val="0"/>
          <w:numId w:val="1010"/>
        </w:numPr>
      </w:pPr>
      <w:r>
        <w:t xml:space="preserve">validación de documentos críticos;</w:t>
      </w:r>
    </w:p>
    <w:p>
      <w:pPr>
        <w:pStyle w:val="Compact"/>
        <w:numPr>
          <w:ilvl w:val="0"/>
          <w:numId w:val="1010"/>
        </w:numPr>
      </w:pPr>
      <w:r>
        <w:t xml:space="preserve">monitoreo de abuso;</w:t>
      </w:r>
    </w:p>
    <w:p>
      <w:pPr>
        <w:pStyle w:val="Compact"/>
        <w:numPr>
          <w:ilvl w:val="0"/>
          <w:numId w:val="1010"/>
        </w:numPr>
      </w:pPr>
      <w:r>
        <w:t xml:space="preserve">segregación de contexto;</w:t>
      </w:r>
    </w:p>
    <w:p>
      <w:pPr>
        <w:pStyle w:val="Compact"/>
        <w:numPr>
          <w:ilvl w:val="0"/>
          <w:numId w:val="1010"/>
        </w:numPr>
      </w:pPr>
      <w:r>
        <w:t xml:space="preserve">minimización de datos enviados a modelos;</w:t>
      </w:r>
    </w:p>
    <w:p>
      <w:pPr>
        <w:pStyle w:val="Compact"/>
        <w:numPr>
          <w:ilvl w:val="0"/>
          <w:numId w:val="1010"/>
        </w:numPr>
      </w:pPr>
      <w:r>
        <w:t xml:space="preserve">evaluación de proveedores de IA;</w:t>
      </w:r>
    </w:p>
    <w:p>
      <w:pPr>
        <w:pStyle w:val="Compact"/>
        <w:numPr>
          <w:ilvl w:val="0"/>
          <w:numId w:val="1010"/>
        </w:numPr>
      </w:pPr>
      <w:r>
        <w:t xml:space="preserve">bloqueo de usos prohibidos.</w:t>
      </w:r>
    </w:p>
    <w:bookmarkEnd w:id="61"/>
    <w:bookmarkStart w:id="62" w:name="revisión-humana-en-casos-críticos"/>
    <w:p>
      <w:pPr>
        <w:pStyle w:val="Heading2"/>
      </w:pPr>
      <w:r>
        <w:t xml:space="preserve">10.3 Revisión humana en casos críticos</w:t>
      </w:r>
    </w:p>
    <w:p>
      <w:pPr>
        <w:pStyle w:val="FirstParagraph"/>
      </w:pPr>
      <w:r>
        <w:t xml:space="preserve">Los outputs de IA que afecten documentos relevantes, rutas de escalamiento, información financiera, derechos del usuario o casos complejos deben quedar sujetos a revisión humana proporcional.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Xa6e28ae7e30456e0f57aecd0f660368e77a6ac2"/>
    <w:p>
      <w:pPr>
        <w:pStyle w:val="Heading1"/>
      </w:pPr>
      <w:r>
        <w:t xml:space="preserve">11. Seguridad en carga de archivos y evidencia</w:t>
      </w:r>
    </w:p>
    <w:p>
      <w:pPr>
        <w:pStyle w:val="FirstParagraph"/>
      </w:pPr>
      <w:r>
        <w:t xml:space="preserve">La carga de archivos es un punto crítico para AlertaCuenta.</w:t>
      </w:r>
    </w:p>
    <w:bookmarkStart w:id="64" w:name="controles-recomendados"/>
    <w:p>
      <w:pPr>
        <w:pStyle w:val="Heading2"/>
      </w:pPr>
      <w:r>
        <w:t xml:space="preserve">11.1 Controles recomendados</w:t>
      </w:r>
    </w:p>
    <w:p>
      <w:pPr>
        <w:pStyle w:val="FirstParagraph"/>
      </w:pPr>
      <w:r>
        <w:t xml:space="preserve">AlertaCuenta debe procurar:</w:t>
      </w:r>
    </w:p>
    <w:p>
      <w:pPr>
        <w:pStyle w:val="Compact"/>
        <w:numPr>
          <w:ilvl w:val="0"/>
          <w:numId w:val="1011"/>
        </w:numPr>
      </w:pPr>
      <w:r>
        <w:t xml:space="preserve">limitar tipos de archivo permitidos;</w:t>
      </w:r>
    </w:p>
    <w:p>
      <w:pPr>
        <w:pStyle w:val="Compact"/>
        <w:numPr>
          <w:ilvl w:val="0"/>
          <w:numId w:val="1011"/>
        </w:numPr>
      </w:pPr>
      <w:r>
        <w:t xml:space="preserve">limitar tamaño de archivos;</w:t>
      </w:r>
    </w:p>
    <w:p>
      <w:pPr>
        <w:pStyle w:val="Compact"/>
        <w:numPr>
          <w:ilvl w:val="0"/>
          <w:numId w:val="1011"/>
        </w:numPr>
      </w:pPr>
      <w:r>
        <w:t xml:space="preserve">analizar archivos potencialmente peligrosos;</w:t>
      </w:r>
    </w:p>
    <w:p>
      <w:pPr>
        <w:pStyle w:val="Compact"/>
        <w:numPr>
          <w:ilvl w:val="0"/>
          <w:numId w:val="1011"/>
        </w:numPr>
      </w:pPr>
      <w:r>
        <w:t xml:space="preserve">bloquear ejecutables u otros formatos riesgosos;</w:t>
      </w:r>
    </w:p>
    <w:p>
      <w:pPr>
        <w:pStyle w:val="Compact"/>
        <w:numPr>
          <w:ilvl w:val="0"/>
          <w:numId w:val="1011"/>
        </w:numPr>
      </w:pPr>
      <w:r>
        <w:t xml:space="preserve">almacenar archivos con acceso restringido;</w:t>
      </w:r>
    </w:p>
    <w:p>
      <w:pPr>
        <w:pStyle w:val="Compact"/>
        <w:numPr>
          <w:ilvl w:val="0"/>
          <w:numId w:val="1011"/>
        </w:numPr>
      </w:pPr>
      <w:r>
        <w:t xml:space="preserve">evitar exposición pública de URLs;</w:t>
      </w:r>
    </w:p>
    <w:p>
      <w:pPr>
        <w:pStyle w:val="Compact"/>
        <w:numPr>
          <w:ilvl w:val="0"/>
          <w:numId w:val="1011"/>
        </w:numPr>
      </w:pPr>
      <w:r>
        <w:t xml:space="preserve">registrar accesos relevantes;</w:t>
      </w:r>
    </w:p>
    <w:p>
      <w:pPr>
        <w:pStyle w:val="Compact"/>
        <w:numPr>
          <w:ilvl w:val="0"/>
          <w:numId w:val="1011"/>
        </w:numPr>
      </w:pPr>
      <w:r>
        <w:t xml:space="preserve">permitir eliminación o anonimización cuando corresponda;</w:t>
      </w:r>
    </w:p>
    <w:p>
      <w:pPr>
        <w:pStyle w:val="Compact"/>
        <w:numPr>
          <w:ilvl w:val="0"/>
          <w:numId w:val="1011"/>
        </w:numPr>
      </w:pPr>
      <w:r>
        <w:t xml:space="preserve">advertir al usuario que no suba claves, códigos, CVV o datos excesivos.</w:t>
      </w:r>
    </w:p>
    <w:bookmarkEnd w:id="64"/>
    <w:bookmarkStart w:id="65" w:name="manejo-de-información-peligrosa"/>
    <w:p>
      <w:pPr>
        <w:pStyle w:val="Heading2"/>
      </w:pPr>
      <w:r>
        <w:t xml:space="preserve">11.2 Manejo de información peligrosa</w:t>
      </w:r>
    </w:p>
    <w:p>
      <w:pPr>
        <w:pStyle w:val="FirstParagraph"/>
      </w:pPr>
      <w:r>
        <w:t xml:space="preserve">Si el usuario sube claves, códigos, CVV, coordenadas, contraseñas u otra información peligrosa, AlertaCuenta debe procurar:</w:t>
      </w:r>
    </w:p>
    <w:p>
      <w:pPr>
        <w:pStyle w:val="Compact"/>
        <w:numPr>
          <w:ilvl w:val="0"/>
          <w:numId w:val="1012"/>
        </w:numPr>
      </w:pPr>
      <w:r>
        <w:t xml:space="preserve">bloquear acceso al archivo;</w:t>
      </w:r>
    </w:p>
    <w:p>
      <w:pPr>
        <w:pStyle w:val="Compact"/>
        <w:numPr>
          <w:ilvl w:val="0"/>
          <w:numId w:val="1012"/>
        </w:numPr>
      </w:pPr>
      <w:r>
        <w:t xml:space="preserve">eliminar o enmascarar el dato;</w:t>
      </w:r>
    </w:p>
    <w:p>
      <w:pPr>
        <w:pStyle w:val="Compact"/>
        <w:numPr>
          <w:ilvl w:val="0"/>
          <w:numId w:val="1012"/>
        </w:numPr>
      </w:pPr>
      <w:r>
        <w:t xml:space="preserve">restringir visibilidad;</w:t>
      </w:r>
    </w:p>
    <w:p>
      <w:pPr>
        <w:pStyle w:val="Compact"/>
        <w:numPr>
          <w:ilvl w:val="0"/>
          <w:numId w:val="1012"/>
        </w:numPr>
      </w:pPr>
      <w:r>
        <w:t xml:space="preserve">advertir al usuario;</w:t>
      </w:r>
    </w:p>
    <w:p>
      <w:pPr>
        <w:pStyle w:val="Compact"/>
        <w:numPr>
          <w:ilvl w:val="0"/>
          <w:numId w:val="1012"/>
        </w:numPr>
      </w:pPr>
      <w:r>
        <w:t xml:space="preserve">recomendar contacto inmediato con el banco;</w:t>
      </w:r>
    </w:p>
    <w:p>
      <w:pPr>
        <w:pStyle w:val="Compact"/>
        <w:numPr>
          <w:ilvl w:val="0"/>
          <w:numId w:val="1012"/>
        </w:numPr>
      </w:pPr>
      <w:r>
        <w:t xml:space="preserve">registrar la situación cuando corresponda;</w:t>
      </w:r>
    </w:p>
    <w:p>
      <w:pPr>
        <w:pStyle w:val="Compact"/>
        <w:numPr>
          <w:ilvl w:val="0"/>
          <w:numId w:val="1012"/>
        </w:numPr>
      </w:pPr>
      <w:r>
        <w:t xml:space="preserve">evaluar si constituye incidente.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logging-monitoreo-y-trazabilidad"/>
    <w:p>
      <w:pPr>
        <w:pStyle w:val="Heading1"/>
      </w:pPr>
      <w:r>
        <w:t xml:space="preserve">12. Logging, monitoreo y trazabilidad</w:t>
      </w:r>
    </w:p>
    <w:p>
      <w:pPr>
        <w:pStyle w:val="FirstParagraph"/>
      </w:pPr>
      <w:r>
        <w:t xml:space="preserve">AlertaCuenta debe mantener registros proporcionales de actividad relevante.</w:t>
      </w:r>
    </w:p>
    <w:bookmarkStart w:id="67" w:name="eventos-que-pueden-registrarse"/>
    <w:p>
      <w:pPr>
        <w:pStyle w:val="Heading2"/>
      </w:pPr>
      <w:r>
        <w:t xml:space="preserve">12.1 Eventos que pueden registrarse</w:t>
      </w:r>
    </w:p>
    <w:p>
      <w:pPr>
        <w:pStyle w:val="FirstParagraph"/>
      </w:pPr>
      <w:r>
        <w:t xml:space="preserve">Pueden registrarse:</w:t>
      </w:r>
    </w:p>
    <w:p>
      <w:pPr>
        <w:pStyle w:val="Compact"/>
        <w:numPr>
          <w:ilvl w:val="0"/>
          <w:numId w:val="1013"/>
        </w:numPr>
      </w:pPr>
      <w:r>
        <w:t xml:space="preserve">accesos a sistemas;</w:t>
      </w:r>
    </w:p>
    <w:p>
      <w:pPr>
        <w:pStyle w:val="Compact"/>
        <w:numPr>
          <w:ilvl w:val="0"/>
          <w:numId w:val="1013"/>
        </w:numPr>
      </w:pPr>
      <w:r>
        <w:t xml:space="preserve">carga de documentos;</w:t>
      </w:r>
    </w:p>
    <w:p>
      <w:pPr>
        <w:pStyle w:val="Compact"/>
        <w:numPr>
          <w:ilvl w:val="0"/>
          <w:numId w:val="1013"/>
        </w:numPr>
      </w:pPr>
      <w:r>
        <w:t xml:space="preserve">generación de documentos;</w:t>
      </w:r>
    </w:p>
    <w:p>
      <w:pPr>
        <w:pStyle w:val="Compact"/>
        <w:numPr>
          <w:ilvl w:val="0"/>
          <w:numId w:val="1013"/>
        </w:numPr>
      </w:pPr>
      <w:r>
        <w:t xml:space="preserve">edición de datos críticos;</w:t>
      </w:r>
    </w:p>
    <w:p>
      <w:pPr>
        <w:pStyle w:val="Compact"/>
        <w:numPr>
          <w:ilvl w:val="0"/>
          <w:numId w:val="1013"/>
        </w:numPr>
      </w:pPr>
      <w:r>
        <w:t xml:space="preserve">revisión humana;</w:t>
      </w:r>
    </w:p>
    <w:p>
      <w:pPr>
        <w:pStyle w:val="Compact"/>
        <w:numPr>
          <w:ilvl w:val="0"/>
          <w:numId w:val="1013"/>
        </w:numPr>
      </w:pPr>
      <w:r>
        <w:t xml:space="preserve">cambios de permisos;</w:t>
      </w:r>
    </w:p>
    <w:p>
      <w:pPr>
        <w:pStyle w:val="Compact"/>
        <w:numPr>
          <w:ilvl w:val="0"/>
          <w:numId w:val="1013"/>
        </w:numPr>
      </w:pPr>
      <w:r>
        <w:t xml:space="preserve">errores técnicos;</w:t>
      </w:r>
    </w:p>
    <w:p>
      <w:pPr>
        <w:pStyle w:val="Compact"/>
        <w:numPr>
          <w:ilvl w:val="0"/>
          <w:numId w:val="1013"/>
        </w:numPr>
      </w:pPr>
      <w:r>
        <w:t xml:space="preserve">actividad anómala;</w:t>
      </w:r>
    </w:p>
    <w:p>
      <w:pPr>
        <w:pStyle w:val="Compact"/>
        <w:numPr>
          <w:ilvl w:val="0"/>
          <w:numId w:val="1013"/>
        </w:numPr>
      </w:pPr>
      <w:r>
        <w:t xml:space="preserve">uso de IA;</w:t>
      </w:r>
    </w:p>
    <w:p>
      <w:pPr>
        <w:pStyle w:val="Compact"/>
        <w:numPr>
          <w:ilvl w:val="0"/>
          <w:numId w:val="1013"/>
        </w:numPr>
      </w:pPr>
      <w:r>
        <w:t xml:space="preserve">intentos de abuso;</w:t>
      </w:r>
    </w:p>
    <w:p>
      <w:pPr>
        <w:pStyle w:val="Compact"/>
        <w:numPr>
          <w:ilvl w:val="0"/>
          <w:numId w:val="1013"/>
        </w:numPr>
      </w:pPr>
      <w:r>
        <w:t xml:space="preserve">incidentes;</w:t>
      </w:r>
    </w:p>
    <w:p>
      <w:pPr>
        <w:pStyle w:val="Compact"/>
        <w:numPr>
          <w:ilvl w:val="0"/>
          <w:numId w:val="1013"/>
        </w:numPr>
      </w:pPr>
      <w:r>
        <w:t xml:space="preserve">acciones administrativas.</w:t>
      </w:r>
    </w:p>
    <w:bookmarkEnd w:id="67"/>
    <w:bookmarkStart w:id="68" w:name="minimización-de-logs"/>
    <w:p>
      <w:pPr>
        <w:pStyle w:val="Heading2"/>
      </w:pPr>
      <w:r>
        <w:t xml:space="preserve">12.2 Minimización de logs</w:t>
      </w:r>
    </w:p>
    <w:p>
      <w:pPr>
        <w:pStyle w:val="FirstParagraph"/>
      </w:pPr>
      <w:r>
        <w:t xml:space="preserve">Los logs deben contener información suficiente para seguridad y trazabilidad, pero no deben acumular innecesariamente datos personales, claves, códigos o información excesiva.</w:t>
      </w:r>
    </w:p>
    <w:bookmarkEnd w:id="68"/>
    <w:bookmarkStart w:id="69" w:name="monitoreo"/>
    <w:p>
      <w:pPr>
        <w:pStyle w:val="Heading2"/>
      </w:pPr>
      <w:r>
        <w:t xml:space="preserve">12.3 Monitoreo</w:t>
      </w:r>
    </w:p>
    <w:p>
      <w:pPr>
        <w:pStyle w:val="FirstParagraph"/>
      </w:pPr>
      <w:r>
        <w:t xml:space="preserve">Cuando sea razonable, AlertaCuenta debe monitorear eventos anómalos, patrones de abuso, errores recurrentes, intentos de acceso no autorizado, uso excesivo o manipulación de sistemas.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gestión-de-incidentes-de-seguridad"/>
    <w:p>
      <w:pPr>
        <w:pStyle w:val="Heading1"/>
      </w:pPr>
      <w:r>
        <w:t xml:space="preserve">13. Gestión de incidentes de seguridad</w:t>
      </w:r>
    </w:p>
    <w:p>
      <w:pPr>
        <w:pStyle w:val="FirstParagraph"/>
      </w:pPr>
      <w:r>
        <w:t xml:space="preserve">AlertaCuenta debe contar con un proceso de respuesta ante incidentes.</w:t>
      </w:r>
    </w:p>
    <w:bookmarkStart w:id="71" w:name="qué-puede-ser-un-incidente"/>
    <w:p>
      <w:pPr>
        <w:pStyle w:val="Heading2"/>
      </w:pPr>
      <w:r>
        <w:t xml:space="preserve">13.1 Qué puede ser un incidente</w:t>
      </w:r>
    </w:p>
    <w:p>
      <w:pPr>
        <w:pStyle w:val="FirstParagraph"/>
      </w:pPr>
      <w:r>
        <w:t xml:space="preserve">Un incidente puede incluir:</w:t>
      </w:r>
    </w:p>
    <w:p>
      <w:pPr>
        <w:pStyle w:val="Compact"/>
        <w:numPr>
          <w:ilvl w:val="0"/>
          <w:numId w:val="1014"/>
        </w:numPr>
      </w:pPr>
      <w:r>
        <w:t xml:space="preserve">acceso no autorizado;</w:t>
      </w:r>
    </w:p>
    <w:p>
      <w:pPr>
        <w:pStyle w:val="Compact"/>
        <w:numPr>
          <w:ilvl w:val="0"/>
          <w:numId w:val="1014"/>
        </w:numPr>
      </w:pPr>
      <w:r>
        <w:t xml:space="preserve">filtración de datos;</w:t>
      </w:r>
    </w:p>
    <w:p>
      <w:pPr>
        <w:pStyle w:val="Compact"/>
        <w:numPr>
          <w:ilvl w:val="0"/>
          <w:numId w:val="1014"/>
        </w:numPr>
      </w:pPr>
      <w:r>
        <w:t xml:space="preserve">exposición de evidencia;</w:t>
      </w:r>
    </w:p>
    <w:p>
      <w:pPr>
        <w:pStyle w:val="Compact"/>
        <w:numPr>
          <w:ilvl w:val="0"/>
          <w:numId w:val="1014"/>
        </w:numPr>
      </w:pPr>
      <w:r>
        <w:t xml:space="preserve">pérdida de documentos;</w:t>
      </w:r>
    </w:p>
    <w:p>
      <w:pPr>
        <w:pStyle w:val="Compact"/>
        <w:numPr>
          <w:ilvl w:val="0"/>
          <w:numId w:val="1014"/>
        </w:numPr>
      </w:pPr>
      <w:r>
        <w:t xml:space="preserve">alteración no autorizada;</w:t>
      </w:r>
    </w:p>
    <w:p>
      <w:pPr>
        <w:pStyle w:val="Compact"/>
        <w:numPr>
          <w:ilvl w:val="0"/>
          <w:numId w:val="1014"/>
        </w:numPr>
      </w:pPr>
      <w:r>
        <w:t xml:space="preserve">error de configuración;</w:t>
      </w:r>
    </w:p>
    <w:p>
      <w:pPr>
        <w:pStyle w:val="Compact"/>
        <w:numPr>
          <w:ilvl w:val="0"/>
          <w:numId w:val="1014"/>
        </w:numPr>
      </w:pPr>
      <w:r>
        <w:t xml:space="preserve">envío de información a destinatario incorrecto;</w:t>
      </w:r>
    </w:p>
    <w:p>
      <w:pPr>
        <w:pStyle w:val="Compact"/>
        <w:numPr>
          <w:ilvl w:val="0"/>
          <w:numId w:val="1014"/>
        </w:numPr>
      </w:pPr>
      <w:r>
        <w:t xml:space="preserve">exposición de credenciales;</w:t>
      </w:r>
    </w:p>
    <w:p>
      <w:pPr>
        <w:pStyle w:val="Compact"/>
        <w:numPr>
          <w:ilvl w:val="0"/>
          <w:numId w:val="1014"/>
        </w:numPr>
      </w:pPr>
      <w:r>
        <w:t xml:space="preserve">abuso de sistemas de IA;</w:t>
      </w:r>
    </w:p>
    <w:p>
      <w:pPr>
        <w:pStyle w:val="Compact"/>
        <w:numPr>
          <w:ilvl w:val="0"/>
          <w:numId w:val="1014"/>
        </w:numPr>
      </w:pPr>
      <w:r>
        <w:t xml:space="preserve">malware;</w:t>
      </w:r>
    </w:p>
    <w:p>
      <w:pPr>
        <w:pStyle w:val="Compact"/>
        <w:numPr>
          <w:ilvl w:val="0"/>
          <w:numId w:val="1014"/>
        </w:numPr>
      </w:pPr>
      <w:r>
        <w:t xml:space="preserve">vulneración de proveedor;</w:t>
      </w:r>
    </w:p>
    <w:p>
      <w:pPr>
        <w:pStyle w:val="Compact"/>
        <w:numPr>
          <w:ilvl w:val="0"/>
          <w:numId w:val="1014"/>
        </w:numPr>
      </w:pPr>
      <w:r>
        <w:t xml:space="preserve">indisponibilidad significativa;</w:t>
      </w:r>
    </w:p>
    <w:p>
      <w:pPr>
        <w:pStyle w:val="Compact"/>
        <w:numPr>
          <w:ilvl w:val="0"/>
          <w:numId w:val="1014"/>
        </w:numPr>
      </w:pPr>
      <w:r>
        <w:t xml:space="preserve">carga accidental de claves o códigos por el usuario;</w:t>
      </w:r>
    </w:p>
    <w:p>
      <w:pPr>
        <w:pStyle w:val="Compact"/>
        <w:numPr>
          <w:ilvl w:val="0"/>
          <w:numId w:val="1014"/>
        </w:numPr>
      </w:pPr>
      <w:r>
        <w:t xml:space="preserve">uso fraudulento de la plataforma.</w:t>
      </w:r>
    </w:p>
    <w:bookmarkEnd w:id="71"/>
    <w:bookmarkStart w:id="72" w:name="fases-de-respuesta"/>
    <w:p>
      <w:pPr>
        <w:pStyle w:val="Heading2"/>
      </w:pPr>
      <w:r>
        <w:t xml:space="preserve">13.2 Fases de respuesta</w:t>
      </w:r>
    </w:p>
    <w:p>
      <w:pPr>
        <w:pStyle w:val="FirstParagraph"/>
      </w:pPr>
      <w:r>
        <w:t xml:space="preserve">El proceso de respuesta puede incluir:</w:t>
      </w:r>
    </w:p>
    <w:p>
      <w:pPr>
        <w:pStyle w:val="Compact"/>
        <w:numPr>
          <w:ilvl w:val="0"/>
          <w:numId w:val="1015"/>
        </w:numPr>
      </w:pPr>
      <w:r>
        <w:t xml:space="preserve">identificación;</w:t>
      </w:r>
    </w:p>
    <w:p>
      <w:pPr>
        <w:pStyle w:val="Compact"/>
        <w:numPr>
          <w:ilvl w:val="0"/>
          <w:numId w:val="1015"/>
        </w:numPr>
      </w:pPr>
      <w:r>
        <w:t xml:space="preserve">clasificación;</w:t>
      </w:r>
    </w:p>
    <w:p>
      <w:pPr>
        <w:pStyle w:val="Compact"/>
        <w:numPr>
          <w:ilvl w:val="0"/>
          <w:numId w:val="1015"/>
        </w:numPr>
      </w:pPr>
      <w:r>
        <w:t xml:space="preserve">contención;</w:t>
      </w:r>
    </w:p>
    <w:p>
      <w:pPr>
        <w:pStyle w:val="Compact"/>
        <w:numPr>
          <w:ilvl w:val="0"/>
          <w:numId w:val="1015"/>
        </w:numPr>
      </w:pPr>
      <w:r>
        <w:t xml:space="preserve">análisis de impacto;</w:t>
      </w:r>
    </w:p>
    <w:p>
      <w:pPr>
        <w:pStyle w:val="Compact"/>
        <w:numPr>
          <w:ilvl w:val="0"/>
          <w:numId w:val="1015"/>
        </w:numPr>
      </w:pPr>
      <w:r>
        <w:t xml:space="preserve">mitigación;</w:t>
      </w:r>
    </w:p>
    <w:p>
      <w:pPr>
        <w:pStyle w:val="Compact"/>
        <w:numPr>
          <w:ilvl w:val="0"/>
          <w:numId w:val="1015"/>
        </w:numPr>
      </w:pPr>
      <w:r>
        <w:t xml:space="preserve">recuperación;</w:t>
      </w:r>
    </w:p>
    <w:p>
      <w:pPr>
        <w:pStyle w:val="Compact"/>
        <w:numPr>
          <w:ilvl w:val="0"/>
          <w:numId w:val="1015"/>
        </w:numPr>
      </w:pPr>
      <w:r>
        <w:t xml:space="preserve">documentación;</w:t>
      </w:r>
    </w:p>
    <w:p>
      <w:pPr>
        <w:pStyle w:val="Compact"/>
        <w:numPr>
          <w:ilvl w:val="0"/>
          <w:numId w:val="1015"/>
        </w:numPr>
      </w:pPr>
      <w:r>
        <w:t xml:space="preserve">comunicación a afectados o autoridades cuando corresponda;</w:t>
      </w:r>
    </w:p>
    <w:p>
      <w:pPr>
        <w:pStyle w:val="Compact"/>
        <w:numPr>
          <w:ilvl w:val="0"/>
          <w:numId w:val="1015"/>
        </w:numPr>
      </w:pPr>
      <w:r>
        <w:t xml:space="preserve">aprendizaje y mejora.</w:t>
      </w:r>
    </w:p>
    <w:bookmarkEnd w:id="72"/>
    <w:bookmarkStart w:id="73" w:name="notificación"/>
    <w:p>
      <w:pPr>
        <w:pStyle w:val="Heading2"/>
      </w:pPr>
      <w:r>
        <w:t xml:space="preserve">13.3 Notificación</w:t>
      </w:r>
    </w:p>
    <w:p>
      <w:pPr>
        <w:pStyle w:val="FirstParagraph"/>
      </w:pPr>
      <w:r>
        <w:t xml:space="preserve">Cuando un incidente pueda afectar datos personales, evidencia de fraude o información financiera, AlertaCuenta evaluará si corresponde notificar al usuario, cliente, aliado, autoridad o tercero conforme a la ley aplicable, contratos, DPA o protocolos internos.</w:t>
      </w:r>
    </w:p>
    <w:p>
      <w:pPr>
        <w:pStyle w:val="BodyText"/>
      </w:pPr>
      <w:r>
        <w:t xml:space="preserve">Los plazos específicos deben definirse en documentos operativos, contratos o anexos de seguridad cuando corresponda.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9" w:name="continuidad-respaldo-y-recuperación"/>
    <w:p>
      <w:pPr>
        <w:pStyle w:val="Heading1"/>
      </w:pPr>
      <w:r>
        <w:t xml:space="preserve">14. Continuidad, respaldo y recuperación</w:t>
      </w:r>
    </w:p>
    <w:p>
      <w:pPr>
        <w:pStyle w:val="FirstParagraph"/>
      </w:pPr>
      <w:r>
        <w:t xml:space="preserve">AlertaCuenta debe procurar medidas razonables de continuidad y recuperación, proporcionales a la etapa del producto y criticidad del servicio.</w:t>
      </w:r>
    </w:p>
    <w:bookmarkStart w:id="75" w:name="respaldo"/>
    <w:p>
      <w:pPr>
        <w:pStyle w:val="Heading2"/>
      </w:pPr>
      <w:r>
        <w:t xml:space="preserve">14.1 Respaldo</w:t>
      </w:r>
    </w:p>
    <w:p>
      <w:pPr>
        <w:pStyle w:val="FirstParagraph"/>
      </w:pPr>
      <w:r>
        <w:t xml:space="preserve">Cuando corresponda, deben existir respaldos de información crítica, configuraciones, documentos, registros o bases de datos necesarias para continuidad.</w:t>
      </w:r>
    </w:p>
    <w:bookmarkEnd w:id="75"/>
    <w:bookmarkStart w:id="76" w:name="restauración"/>
    <w:p>
      <w:pPr>
        <w:pStyle w:val="Heading2"/>
      </w:pPr>
      <w:r>
        <w:t xml:space="preserve">14.2 Restauración</w:t>
      </w:r>
    </w:p>
    <w:p>
      <w:pPr>
        <w:pStyle w:val="FirstParagraph"/>
      </w:pPr>
      <w:r>
        <w:t xml:space="preserve">Los respaldos deben poder restaurarse de manera razonable cuando sea necesario.</w:t>
      </w:r>
    </w:p>
    <w:bookmarkEnd w:id="76"/>
    <w:bookmarkStart w:id="77" w:name="dependencias-críticas"/>
    <w:p>
      <w:pPr>
        <w:pStyle w:val="Heading2"/>
      </w:pPr>
      <w:r>
        <w:t xml:space="preserve">14.3 Dependencias críticas</w:t>
      </w:r>
    </w:p>
    <w:p>
      <w:pPr>
        <w:pStyle w:val="FirstParagraph"/>
      </w:pPr>
      <w:r>
        <w:t xml:space="preserve">AlertaCuenta debe identificar dependencias relevantes, como proveedores cloud, IA, base de datos, correo, mensajería, almacenamiento, autenticación o pagos.</w:t>
      </w:r>
    </w:p>
    <w:bookmarkEnd w:id="77"/>
    <w:bookmarkStart w:id="78" w:name="limitaciones-de-mvp"/>
    <w:p>
      <w:pPr>
        <w:pStyle w:val="Heading2"/>
      </w:pPr>
      <w:r>
        <w:t xml:space="preserve">14.4 Limitaciones de MVP</w:t>
      </w:r>
    </w:p>
    <w:p>
      <w:pPr>
        <w:pStyle w:val="FirstParagraph"/>
      </w:pPr>
      <w:r>
        <w:t xml:space="preserve">En fase de hackathon o MVP, los niveles de continuidad pueden ser limitados. Cualquier compromiso específico de disponibilidad debe pactarse expresamente.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3" w:name="gestión-de-terceros-y-proveedores"/>
    <w:p>
      <w:pPr>
        <w:pStyle w:val="Heading1"/>
      </w:pPr>
      <w:r>
        <w:t xml:space="preserve">15. Gestión de terceros y proveedores</w:t>
      </w:r>
    </w:p>
    <w:p>
      <w:pPr>
        <w:pStyle w:val="FirstParagraph"/>
      </w:pPr>
      <w:r>
        <w:t xml:space="preserve">AlertaCuenta puede apoyarse en proveedores externos para operar la plataforma.</w:t>
      </w:r>
    </w:p>
    <w:bookmarkStart w:id="80" w:name="tipos-de-proveedores"/>
    <w:p>
      <w:pPr>
        <w:pStyle w:val="Heading2"/>
      </w:pPr>
      <w:r>
        <w:t xml:space="preserve">15.1 Tipos de proveedores</w:t>
      </w:r>
    </w:p>
    <w:p>
      <w:pPr>
        <w:pStyle w:val="FirstParagraph"/>
      </w:pPr>
      <w:r>
        <w:t xml:space="preserve">Pueden incluir:</w:t>
      </w:r>
    </w:p>
    <w:p>
      <w:pPr>
        <w:pStyle w:val="Compact"/>
        <w:numPr>
          <w:ilvl w:val="0"/>
          <w:numId w:val="1016"/>
        </w:numPr>
      </w:pPr>
      <w:r>
        <w:t xml:space="preserve">cloud hosting;</w:t>
      </w:r>
    </w:p>
    <w:p>
      <w:pPr>
        <w:pStyle w:val="Compact"/>
        <w:numPr>
          <w:ilvl w:val="0"/>
          <w:numId w:val="1016"/>
        </w:numPr>
      </w:pPr>
      <w:r>
        <w:t xml:space="preserve">almacenamiento;</w:t>
      </w:r>
    </w:p>
    <w:p>
      <w:pPr>
        <w:pStyle w:val="Compact"/>
        <w:numPr>
          <w:ilvl w:val="0"/>
          <w:numId w:val="1016"/>
        </w:numPr>
      </w:pPr>
      <w:r>
        <w:t xml:space="preserve">bases de datos;</w:t>
      </w:r>
    </w:p>
    <w:p>
      <w:pPr>
        <w:pStyle w:val="Compact"/>
        <w:numPr>
          <w:ilvl w:val="0"/>
          <w:numId w:val="1016"/>
        </w:numPr>
      </w:pPr>
      <w:r>
        <w:t xml:space="preserve">inteligencia artificial;</w:t>
      </w:r>
    </w:p>
    <w:p>
      <w:pPr>
        <w:pStyle w:val="Compact"/>
        <w:numPr>
          <w:ilvl w:val="0"/>
          <w:numId w:val="1016"/>
        </w:numPr>
      </w:pPr>
      <w:r>
        <w:t xml:space="preserve">correo electrónico;</w:t>
      </w:r>
    </w:p>
    <w:p>
      <w:pPr>
        <w:pStyle w:val="Compact"/>
        <w:numPr>
          <w:ilvl w:val="0"/>
          <w:numId w:val="1016"/>
        </w:numPr>
      </w:pPr>
      <w:r>
        <w:t xml:space="preserve">mensajería;</w:t>
      </w:r>
    </w:p>
    <w:p>
      <w:pPr>
        <w:pStyle w:val="Compact"/>
        <w:numPr>
          <w:ilvl w:val="0"/>
          <w:numId w:val="1016"/>
        </w:numPr>
      </w:pPr>
      <w:r>
        <w:t xml:space="preserve">analítica;</w:t>
      </w:r>
    </w:p>
    <w:p>
      <w:pPr>
        <w:pStyle w:val="Compact"/>
        <w:numPr>
          <w:ilvl w:val="0"/>
          <w:numId w:val="1016"/>
        </w:numPr>
      </w:pPr>
      <w:r>
        <w:t xml:space="preserve">monitoreo;</w:t>
      </w:r>
    </w:p>
    <w:p>
      <w:pPr>
        <w:pStyle w:val="Compact"/>
        <w:numPr>
          <w:ilvl w:val="0"/>
          <w:numId w:val="1016"/>
        </w:numPr>
      </w:pPr>
      <w:r>
        <w:t xml:space="preserve">seguridad;</w:t>
      </w:r>
    </w:p>
    <w:p>
      <w:pPr>
        <w:pStyle w:val="Compact"/>
        <w:numPr>
          <w:ilvl w:val="0"/>
          <w:numId w:val="1016"/>
        </w:numPr>
      </w:pPr>
      <w:r>
        <w:t xml:space="preserve">formularios;</w:t>
      </w:r>
    </w:p>
    <w:p>
      <w:pPr>
        <w:pStyle w:val="Compact"/>
        <w:numPr>
          <w:ilvl w:val="0"/>
          <w:numId w:val="1016"/>
        </w:numPr>
      </w:pPr>
      <w:r>
        <w:t xml:space="preserve">pagos;</w:t>
      </w:r>
    </w:p>
    <w:p>
      <w:pPr>
        <w:pStyle w:val="Compact"/>
        <w:numPr>
          <w:ilvl w:val="0"/>
          <w:numId w:val="1016"/>
        </w:numPr>
      </w:pPr>
      <w:r>
        <w:t xml:space="preserve">soporte;</w:t>
      </w:r>
    </w:p>
    <w:p>
      <w:pPr>
        <w:pStyle w:val="Compact"/>
        <w:numPr>
          <w:ilvl w:val="0"/>
          <w:numId w:val="1016"/>
        </w:numPr>
      </w:pPr>
      <w:r>
        <w:t xml:space="preserve">autenticación;</w:t>
      </w:r>
    </w:p>
    <w:p>
      <w:pPr>
        <w:pStyle w:val="Compact"/>
        <w:numPr>
          <w:ilvl w:val="0"/>
          <w:numId w:val="1016"/>
        </w:numPr>
      </w:pPr>
      <w:r>
        <w:t xml:space="preserve">automatización.</w:t>
      </w:r>
    </w:p>
    <w:bookmarkEnd w:id="80"/>
    <w:bookmarkStart w:id="81" w:name="evaluación-de-proveedores"/>
    <w:p>
      <w:pPr>
        <w:pStyle w:val="Heading2"/>
      </w:pPr>
      <w:r>
        <w:t xml:space="preserve">15.2 Evaluación de proveedores</w:t>
      </w:r>
    </w:p>
    <w:p>
      <w:pPr>
        <w:pStyle w:val="FirstParagraph"/>
      </w:pPr>
      <w:r>
        <w:t xml:space="preserve">AlertaCuenta debe evaluar razonablemente a sus proveedores según:</w:t>
      </w:r>
    </w:p>
    <w:p>
      <w:pPr>
        <w:pStyle w:val="Compact"/>
        <w:numPr>
          <w:ilvl w:val="0"/>
          <w:numId w:val="1017"/>
        </w:numPr>
      </w:pPr>
      <w:r>
        <w:t xml:space="preserve">criticidad del servicio;</w:t>
      </w:r>
    </w:p>
    <w:p>
      <w:pPr>
        <w:pStyle w:val="Compact"/>
        <w:numPr>
          <w:ilvl w:val="0"/>
          <w:numId w:val="1017"/>
        </w:numPr>
      </w:pPr>
      <w:r>
        <w:t xml:space="preserve">tipo de datos tratados;</w:t>
      </w:r>
    </w:p>
    <w:p>
      <w:pPr>
        <w:pStyle w:val="Compact"/>
        <w:numPr>
          <w:ilvl w:val="0"/>
          <w:numId w:val="1017"/>
        </w:numPr>
      </w:pPr>
      <w:r>
        <w:t xml:space="preserve">acceso a información financiera;</w:t>
      </w:r>
    </w:p>
    <w:p>
      <w:pPr>
        <w:pStyle w:val="Compact"/>
        <w:numPr>
          <w:ilvl w:val="0"/>
          <w:numId w:val="1017"/>
        </w:numPr>
      </w:pPr>
      <w:r>
        <w:t xml:space="preserve">ubicación del tratamiento;</w:t>
      </w:r>
    </w:p>
    <w:p>
      <w:pPr>
        <w:pStyle w:val="Compact"/>
        <w:numPr>
          <w:ilvl w:val="0"/>
          <w:numId w:val="1017"/>
        </w:numPr>
      </w:pPr>
      <w:r>
        <w:t xml:space="preserve">seguridad declarada;</w:t>
      </w:r>
    </w:p>
    <w:p>
      <w:pPr>
        <w:pStyle w:val="Compact"/>
        <w:numPr>
          <w:ilvl w:val="0"/>
          <w:numId w:val="1017"/>
        </w:numPr>
      </w:pPr>
      <w:r>
        <w:t xml:space="preserve">condiciones contractuales;</w:t>
      </w:r>
    </w:p>
    <w:p>
      <w:pPr>
        <w:pStyle w:val="Compact"/>
        <w:numPr>
          <w:ilvl w:val="0"/>
          <w:numId w:val="1017"/>
        </w:numPr>
      </w:pPr>
      <w:r>
        <w:t xml:space="preserve">privacidad;</w:t>
      </w:r>
    </w:p>
    <w:p>
      <w:pPr>
        <w:pStyle w:val="Compact"/>
        <w:numPr>
          <w:ilvl w:val="0"/>
          <w:numId w:val="1017"/>
        </w:numPr>
      </w:pPr>
      <w:r>
        <w:t xml:space="preserve">retención de datos;</w:t>
      </w:r>
    </w:p>
    <w:p>
      <w:pPr>
        <w:pStyle w:val="Compact"/>
        <w:numPr>
          <w:ilvl w:val="0"/>
          <w:numId w:val="1017"/>
        </w:numPr>
      </w:pPr>
      <w:r>
        <w:t xml:space="preserve">uso de datos para entrenamiento;</w:t>
      </w:r>
    </w:p>
    <w:p>
      <w:pPr>
        <w:pStyle w:val="Compact"/>
        <w:numPr>
          <w:ilvl w:val="0"/>
          <w:numId w:val="1017"/>
        </w:numPr>
      </w:pPr>
      <w:r>
        <w:t xml:space="preserve">continuidad;</w:t>
      </w:r>
    </w:p>
    <w:p>
      <w:pPr>
        <w:pStyle w:val="Compact"/>
        <w:numPr>
          <w:ilvl w:val="0"/>
          <w:numId w:val="1017"/>
        </w:numPr>
      </w:pPr>
      <w:r>
        <w:t xml:space="preserve">capacidad de eliminación;</w:t>
      </w:r>
    </w:p>
    <w:p>
      <w:pPr>
        <w:pStyle w:val="Compact"/>
        <w:numPr>
          <w:ilvl w:val="0"/>
          <w:numId w:val="1017"/>
        </w:numPr>
      </w:pPr>
      <w:r>
        <w:t xml:space="preserve">historial o reputación del proveedor.</w:t>
      </w:r>
    </w:p>
    <w:bookmarkEnd w:id="81"/>
    <w:bookmarkStart w:id="82" w:name="obligaciones-de-proveedores"/>
    <w:p>
      <w:pPr>
        <w:pStyle w:val="Heading2"/>
      </w:pPr>
      <w:r>
        <w:t xml:space="preserve">15.3 Obligaciones de proveedores</w:t>
      </w:r>
    </w:p>
    <w:p>
      <w:pPr>
        <w:pStyle w:val="FirstParagraph"/>
      </w:pPr>
      <w:r>
        <w:t xml:space="preserve">Cuando corresponda, AlertaCuenta debe procurar que los proveedores estén sujetos a obligaciones de confidencialidad, seguridad, tratamiento de datos, restricción de uso, notificación de incidentes y eliminación o devolución de datos.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7" w:name="seguridad-de-comunicaciones"/>
    <w:p>
      <w:pPr>
        <w:pStyle w:val="Heading1"/>
      </w:pPr>
      <w:r>
        <w:t xml:space="preserve">16. Seguridad de comunicaciones</w:t>
      </w:r>
    </w:p>
    <w:p>
      <w:pPr>
        <w:pStyle w:val="FirstParagraph"/>
      </w:pPr>
      <w:r>
        <w:t xml:space="preserve">AlertaCuenta debe cuidar la seguridad de sus canales de comunicación.</w:t>
      </w:r>
    </w:p>
    <w:bookmarkStart w:id="84" w:name="canales-oficiales"/>
    <w:p>
      <w:pPr>
        <w:pStyle w:val="Heading2"/>
      </w:pPr>
      <w:r>
        <w:t xml:space="preserve">16.1 Canales oficiales</w:t>
      </w:r>
    </w:p>
    <w:p>
      <w:pPr>
        <w:pStyle w:val="FirstParagraph"/>
      </w:pPr>
      <w:r>
        <w:t xml:space="preserve">Los canales oficiales deben estar claramente publicados:</w:t>
      </w:r>
    </w:p>
    <w:p>
      <w:pPr>
        <w:pStyle w:val="BodyText"/>
      </w:pPr>
      <w:r>
        <w:rPr>
          <w:b/>
          <w:bCs/>
        </w:rPr>
        <w:t xml:space="preserve">Sitio web:</w:t>
      </w:r>
      <w:r>
        <w:t xml:space="preserve"> </w:t>
      </w:r>
      <w:r>
        <w:t xml:space="preserve">[●]</w:t>
      </w:r>
      <w:r>
        <w:br/>
      </w:r>
      <w:r>
        <w:rPr>
          <w:b/>
          <w:bCs/>
        </w:rPr>
        <w:t xml:space="preserve">Soporte:</w:t>
      </w:r>
      <w:r>
        <w:t xml:space="preserve"> </w:t>
      </w:r>
      <w:r>
        <w:t xml:space="preserve">[soporte@alertacuenta.cl]</w:t>
      </w:r>
      <w:r>
        <w:br/>
      </w:r>
      <w:r>
        <w:rPr>
          <w:b/>
          <w:bCs/>
        </w:rPr>
        <w:t xml:space="preserve">Privacidad:</w:t>
      </w:r>
      <w:r>
        <w:t xml:space="preserve"> </w:t>
      </w:r>
      <w:r>
        <w:t xml:space="preserve">[privacidad@alertacuenta.cl]</w:t>
      </w:r>
      <w:r>
        <w:br/>
      </w:r>
      <w:r>
        <w:rPr>
          <w:b/>
          <w:bCs/>
        </w:rPr>
        <w:t xml:space="preserve">Seguridad:</w:t>
      </w:r>
      <w:r>
        <w:t xml:space="preserve"> </w:t>
      </w:r>
      <w:r>
        <w:t xml:space="preserve">[seguridad@alertacuenta.cl]</w:t>
      </w:r>
      <w:r>
        <w:br/>
      </w:r>
      <w:r>
        <w:rPr>
          <w:b/>
          <w:bCs/>
        </w:rPr>
        <w:t xml:space="preserve">WhatsApp o teléfono oficial:</w:t>
      </w:r>
      <w:r>
        <w:t xml:space="preserve"> </w:t>
      </w:r>
      <w:r>
        <w:t xml:space="preserve">[●]</w:t>
      </w:r>
    </w:p>
    <w:bookmarkEnd w:id="84"/>
    <w:bookmarkStart w:id="85" w:name="prevención-de-suplantación"/>
    <w:p>
      <w:pPr>
        <w:pStyle w:val="Heading2"/>
      </w:pPr>
      <w:r>
        <w:t xml:space="preserve">16.2 Prevención de suplantación</w:t>
      </w:r>
    </w:p>
    <w:p>
      <w:pPr>
        <w:pStyle w:val="FirstParagraph"/>
      </w:pPr>
      <w:r>
        <w:t xml:space="preserve">AlertaCuenta debe advertir al usuario que nunca pedirá:</w:t>
      </w:r>
    </w:p>
    <w:p>
      <w:pPr>
        <w:pStyle w:val="Compact"/>
        <w:numPr>
          <w:ilvl w:val="0"/>
          <w:numId w:val="1018"/>
        </w:numPr>
      </w:pPr>
      <w:r>
        <w:t xml:space="preserve">claves;</w:t>
      </w:r>
    </w:p>
    <w:p>
      <w:pPr>
        <w:pStyle w:val="Compact"/>
        <w:numPr>
          <w:ilvl w:val="0"/>
          <w:numId w:val="1018"/>
        </w:numPr>
      </w:pPr>
      <w:r>
        <w:t xml:space="preserve">PIN;</w:t>
      </w:r>
    </w:p>
    <w:p>
      <w:pPr>
        <w:pStyle w:val="Compact"/>
        <w:numPr>
          <w:ilvl w:val="0"/>
          <w:numId w:val="1018"/>
        </w:numPr>
      </w:pPr>
      <w:r>
        <w:t xml:space="preserve">códigos SMS;</w:t>
      </w:r>
    </w:p>
    <w:p>
      <w:pPr>
        <w:pStyle w:val="Compact"/>
        <w:numPr>
          <w:ilvl w:val="0"/>
          <w:numId w:val="1018"/>
        </w:numPr>
      </w:pPr>
      <w:r>
        <w:t xml:space="preserve">coordenadas;</w:t>
      </w:r>
    </w:p>
    <w:p>
      <w:pPr>
        <w:pStyle w:val="Compact"/>
        <w:numPr>
          <w:ilvl w:val="0"/>
          <w:numId w:val="1018"/>
        </w:numPr>
      </w:pPr>
      <w:r>
        <w:t xml:space="preserve">contraseñas;</w:t>
      </w:r>
    </w:p>
    <w:p>
      <w:pPr>
        <w:pStyle w:val="Compact"/>
        <w:numPr>
          <w:ilvl w:val="0"/>
          <w:numId w:val="1018"/>
        </w:numPr>
      </w:pPr>
      <w:r>
        <w:t xml:space="preserve">token completo;</w:t>
      </w:r>
    </w:p>
    <w:p>
      <w:pPr>
        <w:pStyle w:val="Compact"/>
        <w:numPr>
          <w:ilvl w:val="0"/>
          <w:numId w:val="1018"/>
        </w:numPr>
      </w:pPr>
      <w:r>
        <w:t xml:space="preserve">acceso remoto;</w:t>
      </w:r>
    </w:p>
    <w:p>
      <w:pPr>
        <w:pStyle w:val="Compact"/>
        <w:numPr>
          <w:ilvl w:val="0"/>
          <w:numId w:val="1018"/>
        </w:numPr>
      </w:pPr>
      <w:r>
        <w:t xml:space="preserve">instalación de apps por instrucción de desconocidos.</w:t>
      </w:r>
    </w:p>
    <w:bookmarkEnd w:id="85"/>
    <w:bookmarkStart w:id="86" w:name="comunicaciones-sensibles"/>
    <w:p>
      <w:pPr>
        <w:pStyle w:val="Heading2"/>
      </w:pPr>
      <w:r>
        <w:t xml:space="preserve">16.3 Comunicaciones sensibles</w:t>
      </w:r>
    </w:p>
    <w:p>
      <w:pPr>
        <w:pStyle w:val="FirstParagraph"/>
      </w:pPr>
      <w:r>
        <w:t xml:space="preserve">Cuando una comunicación incluya documentos, evidencia o datos personales, deben usarse canales razonablemente seguros y controles proporcionales al riesgo.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0" w:name="seguridad-del-usuario"/>
    <w:p>
      <w:pPr>
        <w:pStyle w:val="Heading1"/>
      </w:pPr>
      <w:r>
        <w:t xml:space="preserve">17. Seguridad del usuario</w:t>
      </w:r>
    </w:p>
    <w:p>
      <w:pPr>
        <w:pStyle w:val="FirstParagraph"/>
      </w:pPr>
      <w:r>
        <w:t xml:space="preserve">La seguridad de AlertaCuenta depende también de la conducta del usuario.</w:t>
      </w:r>
    </w:p>
    <w:bookmarkStart w:id="88" w:name="recomendaciones-al-usuario"/>
    <w:p>
      <w:pPr>
        <w:pStyle w:val="Heading2"/>
      </w:pPr>
      <w:r>
        <w:t xml:space="preserve">17.1 Recomendaciones al usuario</w:t>
      </w:r>
    </w:p>
    <w:p>
      <w:pPr>
        <w:pStyle w:val="FirstParagraph"/>
      </w:pPr>
      <w:r>
        <w:t xml:space="preserve">El usuario debe:</w:t>
      </w:r>
    </w:p>
    <w:p>
      <w:pPr>
        <w:pStyle w:val="Compact"/>
        <w:numPr>
          <w:ilvl w:val="0"/>
          <w:numId w:val="1019"/>
        </w:numPr>
      </w:pPr>
      <w:r>
        <w:t xml:space="preserve">usar canales oficiales;</w:t>
      </w:r>
    </w:p>
    <w:p>
      <w:pPr>
        <w:pStyle w:val="Compact"/>
        <w:numPr>
          <w:ilvl w:val="0"/>
          <w:numId w:val="1019"/>
        </w:numPr>
      </w:pPr>
      <w:r>
        <w:t xml:space="preserve">no compartir claves;</w:t>
      </w:r>
    </w:p>
    <w:p>
      <w:pPr>
        <w:pStyle w:val="Compact"/>
        <w:numPr>
          <w:ilvl w:val="0"/>
          <w:numId w:val="1019"/>
        </w:numPr>
      </w:pPr>
      <w:r>
        <w:t xml:space="preserve">no entregar códigos;</w:t>
      </w:r>
    </w:p>
    <w:p>
      <w:pPr>
        <w:pStyle w:val="Compact"/>
        <w:numPr>
          <w:ilvl w:val="0"/>
          <w:numId w:val="1019"/>
        </w:numPr>
      </w:pPr>
      <w:r>
        <w:t xml:space="preserve">no instalar apps por instrucción de desconocidos;</w:t>
      </w:r>
    </w:p>
    <w:p>
      <w:pPr>
        <w:pStyle w:val="Compact"/>
        <w:numPr>
          <w:ilvl w:val="0"/>
          <w:numId w:val="1019"/>
        </w:numPr>
      </w:pPr>
      <w:r>
        <w:t xml:space="preserve">verificar dominios y remitentes;</w:t>
      </w:r>
    </w:p>
    <w:p>
      <w:pPr>
        <w:pStyle w:val="Compact"/>
        <w:numPr>
          <w:ilvl w:val="0"/>
          <w:numId w:val="1019"/>
        </w:numPr>
      </w:pPr>
      <w:r>
        <w:t xml:space="preserve">conservar evidencia;</w:t>
      </w:r>
    </w:p>
    <w:p>
      <w:pPr>
        <w:pStyle w:val="Compact"/>
        <w:numPr>
          <w:ilvl w:val="0"/>
          <w:numId w:val="1019"/>
        </w:numPr>
      </w:pPr>
      <w:r>
        <w:t xml:space="preserve">cambiar claves desde canales oficiales si sospecha compromiso;</w:t>
      </w:r>
    </w:p>
    <w:p>
      <w:pPr>
        <w:pStyle w:val="Compact"/>
        <w:numPr>
          <w:ilvl w:val="0"/>
          <w:numId w:val="1019"/>
        </w:numPr>
      </w:pPr>
      <w:r>
        <w:t xml:space="preserve">activar MFA cuando su banco lo permita;</w:t>
      </w:r>
    </w:p>
    <w:p>
      <w:pPr>
        <w:pStyle w:val="Compact"/>
        <w:numPr>
          <w:ilvl w:val="0"/>
          <w:numId w:val="1019"/>
        </w:numPr>
      </w:pPr>
      <w:r>
        <w:t xml:space="preserve">bloquear productos en caso de urgencia;</w:t>
      </w:r>
    </w:p>
    <w:p>
      <w:pPr>
        <w:pStyle w:val="Compact"/>
        <w:numPr>
          <w:ilvl w:val="0"/>
          <w:numId w:val="1019"/>
        </w:numPr>
      </w:pPr>
      <w:r>
        <w:t xml:space="preserve">reportar comunicaciones sospechosas.</w:t>
      </w:r>
    </w:p>
    <w:bookmarkEnd w:id="88"/>
    <w:bookmarkStart w:id="89" w:name="responsabilidad-compartida"/>
    <w:p>
      <w:pPr>
        <w:pStyle w:val="Heading2"/>
      </w:pPr>
      <w:r>
        <w:t xml:space="preserve">17.2 Responsabilidad compartida</w:t>
      </w:r>
    </w:p>
    <w:p>
      <w:pPr>
        <w:pStyle w:val="FirstParagraph"/>
      </w:pPr>
      <w:r>
        <w:t xml:space="preserve">AlertaCuenta puede orientar y proteger sus propios sistemas, pero no controla la seguridad del dispositivo del usuario, su banco, su correo, su operador telefónico, sus redes, sus contraseñas ni las plataformas de terceros.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X4da11bffeb3101944add27dbc9960b1510c2829"/>
    <w:p>
      <w:pPr>
        <w:pStyle w:val="Heading1"/>
      </w:pPr>
      <w:r>
        <w:t xml:space="preserve">18. Protección de propiedad intelectual y activos internos</w:t>
      </w:r>
    </w:p>
    <w:p>
      <w:pPr>
        <w:pStyle w:val="FirstParagraph"/>
      </w:pPr>
      <w:r>
        <w:t xml:space="preserve">La seguridad también protege activos internos de AlertaCuenta, incluyendo:</w:t>
      </w:r>
    </w:p>
    <w:p>
      <w:pPr>
        <w:pStyle w:val="Compact"/>
        <w:numPr>
          <w:ilvl w:val="0"/>
          <w:numId w:val="1020"/>
        </w:numPr>
      </w:pPr>
      <w:r>
        <w:t xml:space="preserve">prompts;</w:t>
      </w:r>
    </w:p>
    <w:p>
      <w:pPr>
        <w:pStyle w:val="Compact"/>
        <w:numPr>
          <w:ilvl w:val="0"/>
          <w:numId w:val="1020"/>
        </w:numPr>
      </w:pPr>
      <w:r>
        <w:t xml:space="preserve">flujos;</w:t>
      </w:r>
    </w:p>
    <w:p>
      <w:pPr>
        <w:pStyle w:val="Compact"/>
        <w:numPr>
          <w:ilvl w:val="0"/>
          <w:numId w:val="1020"/>
        </w:numPr>
      </w:pPr>
      <w:r>
        <w:t xml:space="preserve">metodologías;</w:t>
      </w:r>
    </w:p>
    <w:p>
      <w:pPr>
        <w:pStyle w:val="Compact"/>
        <w:numPr>
          <w:ilvl w:val="0"/>
          <w:numId w:val="1020"/>
        </w:numPr>
      </w:pPr>
      <w:r>
        <w:t xml:space="preserve">documentos;</w:t>
      </w:r>
    </w:p>
    <w:p>
      <w:pPr>
        <w:pStyle w:val="Compact"/>
        <w:numPr>
          <w:ilvl w:val="0"/>
          <w:numId w:val="1020"/>
        </w:numPr>
      </w:pPr>
      <w:r>
        <w:t xml:space="preserve">taxonomías;</w:t>
      </w:r>
    </w:p>
    <w:p>
      <w:pPr>
        <w:pStyle w:val="Compact"/>
        <w:numPr>
          <w:ilvl w:val="0"/>
          <w:numId w:val="1020"/>
        </w:numPr>
      </w:pPr>
      <w:r>
        <w:t xml:space="preserve">código;</w:t>
      </w:r>
    </w:p>
    <w:p>
      <w:pPr>
        <w:pStyle w:val="Compact"/>
        <w:numPr>
          <w:ilvl w:val="0"/>
          <w:numId w:val="1020"/>
        </w:numPr>
      </w:pPr>
      <w:r>
        <w:t xml:space="preserve">modelos;</w:t>
      </w:r>
    </w:p>
    <w:p>
      <w:pPr>
        <w:pStyle w:val="Compact"/>
        <w:numPr>
          <w:ilvl w:val="0"/>
          <w:numId w:val="1020"/>
        </w:numPr>
      </w:pPr>
      <w:r>
        <w:t xml:space="preserve">configuraciones;</w:t>
      </w:r>
    </w:p>
    <w:p>
      <w:pPr>
        <w:pStyle w:val="Compact"/>
        <w:numPr>
          <w:ilvl w:val="0"/>
          <w:numId w:val="1020"/>
        </w:numPr>
      </w:pPr>
      <w:r>
        <w:t xml:space="preserve">arquitectura;</w:t>
      </w:r>
    </w:p>
    <w:p>
      <w:pPr>
        <w:pStyle w:val="Compact"/>
        <w:numPr>
          <w:ilvl w:val="0"/>
          <w:numId w:val="1020"/>
        </w:numPr>
      </w:pPr>
      <w:r>
        <w:t xml:space="preserve">datasets de prueba;</w:t>
      </w:r>
    </w:p>
    <w:p>
      <w:pPr>
        <w:pStyle w:val="Compact"/>
        <w:numPr>
          <w:ilvl w:val="0"/>
          <w:numId w:val="1020"/>
        </w:numPr>
      </w:pPr>
      <w:r>
        <w:t xml:space="preserve">criterios de evaluación;</w:t>
      </w:r>
    </w:p>
    <w:p>
      <w:pPr>
        <w:pStyle w:val="Compact"/>
        <w:numPr>
          <w:ilvl w:val="0"/>
          <w:numId w:val="1020"/>
        </w:numPr>
      </w:pPr>
      <w:r>
        <w:t xml:space="preserve">know-how;</w:t>
      </w:r>
    </w:p>
    <w:p>
      <w:pPr>
        <w:pStyle w:val="Compact"/>
        <w:numPr>
          <w:ilvl w:val="0"/>
          <w:numId w:val="1020"/>
        </w:numPr>
      </w:pPr>
      <w:r>
        <w:t xml:space="preserve">diseños de agentes;</w:t>
      </w:r>
    </w:p>
    <w:p>
      <w:pPr>
        <w:pStyle w:val="Compact"/>
        <w:numPr>
          <w:ilvl w:val="0"/>
          <w:numId w:val="1020"/>
        </w:numPr>
      </w:pPr>
      <w:r>
        <w:t xml:space="preserve">documentación técnica.</w:t>
      </w:r>
    </w:p>
    <w:p>
      <w:pPr>
        <w:pStyle w:val="FirstParagraph"/>
      </w:pPr>
      <w:r>
        <w:t xml:space="preserve">Estos activos no deben copiarse, extraerse, publicarse, reutilizarse o transferirse sin autorización.</w:t>
      </w:r>
    </w:p>
    <w:p>
      <w:r>
        <w:pict>
          <v:rect style="width:0;height:1.5pt" o:hralign="center" o:hrstd="t" o:hr="t"/>
        </w:pict>
      </w:r>
    </w:p>
    <w:bookmarkEnd w:id="91"/>
    <w:bookmarkStart w:id="92" w:name="auditoría-evidencia-y-debida-diligencia"/>
    <w:p>
      <w:pPr>
        <w:pStyle w:val="Heading1"/>
      </w:pPr>
      <w:r>
        <w:t xml:space="preserve">19. Auditoría, evidencia y debida diligencia</w:t>
      </w:r>
    </w:p>
    <w:p>
      <w:pPr>
        <w:pStyle w:val="FirstParagraph"/>
      </w:pPr>
      <w:r>
        <w:t xml:space="preserve">AlertaCuenta podrá poner a disposición de clientes, aliados, instituciones o evaluadores información razonable sobre su postura de seguridad, especialmente en contextos de hackathon, piloto, due diligence o integración.</w:t>
      </w:r>
    </w:p>
    <w:p>
      <w:pPr>
        <w:pStyle w:val="BodyText"/>
      </w:pPr>
      <w:r>
        <w:t xml:space="preserve">Esa información puede incluir:</w:t>
      </w:r>
    </w:p>
    <w:p>
      <w:pPr>
        <w:pStyle w:val="Compact"/>
        <w:numPr>
          <w:ilvl w:val="0"/>
          <w:numId w:val="1021"/>
        </w:numPr>
      </w:pPr>
      <w:r>
        <w:t xml:space="preserve">esta Declaración;</w:t>
      </w:r>
    </w:p>
    <w:p>
      <w:pPr>
        <w:pStyle w:val="Compact"/>
        <w:numPr>
          <w:ilvl w:val="0"/>
          <w:numId w:val="1021"/>
        </w:numPr>
      </w:pPr>
      <w:r>
        <w:t xml:space="preserve">Política de Privacidad;</w:t>
      </w:r>
    </w:p>
    <w:p>
      <w:pPr>
        <w:pStyle w:val="Compact"/>
        <w:numPr>
          <w:ilvl w:val="0"/>
          <w:numId w:val="1021"/>
        </w:numPr>
      </w:pPr>
      <w:r>
        <w:t xml:space="preserve">Política de Gobierno de Datos;</w:t>
      </w:r>
    </w:p>
    <w:p>
      <w:pPr>
        <w:pStyle w:val="Compact"/>
        <w:numPr>
          <w:ilvl w:val="0"/>
          <w:numId w:val="1021"/>
        </w:numPr>
      </w:pPr>
      <w:r>
        <w:t xml:space="preserve">Política de Gobernanza de IA;</w:t>
      </w:r>
    </w:p>
    <w:p>
      <w:pPr>
        <w:pStyle w:val="Compact"/>
        <w:numPr>
          <w:ilvl w:val="0"/>
          <w:numId w:val="1021"/>
        </w:numPr>
      </w:pPr>
      <w:r>
        <w:t xml:space="preserve">fichas de tratamiento;</w:t>
      </w:r>
    </w:p>
    <w:p>
      <w:pPr>
        <w:pStyle w:val="Compact"/>
        <w:numPr>
          <w:ilvl w:val="0"/>
          <w:numId w:val="1021"/>
        </w:numPr>
      </w:pPr>
      <w:r>
        <w:t xml:space="preserve">fichas de casos de uso de IA;</w:t>
      </w:r>
    </w:p>
    <w:p>
      <w:pPr>
        <w:pStyle w:val="Compact"/>
        <w:numPr>
          <w:ilvl w:val="0"/>
          <w:numId w:val="1021"/>
        </w:numPr>
      </w:pPr>
      <w:r>
        <w:t xml:space="preserve">listado de proveedores relevantes;</w:t>
      </w:r>
    </w:p>
    <w:p>
      <w:pPr>
        <w:pStyle w:val="Compact"/>
        <w:numPr>
          <w:ilvl w:val="0"/>
          <w:numId w:val="1021"/>
        </w:numPr>
      </w:pPr>
      <w:r>
        <w:t xml:space="preserve">controles implementados;</w:t>
      </w:r>
    </w:p>
    <w:p>
      <w:pPr>
        <w:pStyle w:val="Compact"/>
        <w:numPr>
          <w:ilvl w:val="0"/>
          <w:numId w:val="1021"/>
        </w:numPr>
      </w:pPr>
      <w:r>
        <w:t xml:space="preserve">matriz de riesgos;</w:t>
      </w:r>
    </w:p>
    <w:p>
      <w:pPr>
        <w:pStyle w:val="Compact"/>
        <w:numPr>
          <w:ilvl w:val="0"/>
          <w:numId w:val="1021"/>
        </w:numPr>
      </w:pPr>
      <w:r>
        <w:t xml:space="preserve">respuestas a cuestionarios;</w:t>
      </w:r>
    </w:p>
    <w:p>
      <w:pPr>
        <w:pStyle w:val="Compact"/>
        <w:numPr>
          <w:ilvl w:val="0"/>
          <w:numId w:val="1021"/>
        </w:numPr>
      </w:pPr>
      <w:r>
        <w:t xml:space="preserve">evidencia documental de controles.</w:t>
      </w:r>
    </w:p>
    <w:p>
      <w:pPr>
        <w:pStyle w:val="FirstParagraph"/>
      </w:pPr>
      <w:r>
        <w:t xml:space="preserve">Las auditorías intrusivas, pruebas técnicas o revisiones profundas deben acordarse previamente, con alcance definido y obligaciones de confidencialidad.</w:t>
      </w:r>
    </w:p>
    <w:p>
      <w:r>
        <w:pict>
          <v:rect style="width:0;height:1.5pt" o:hralign="center" o:hrstd="t" o:hr="t"/>
        </w:pict>
      </w:r>
    </w:p>
    <w:bookmarkEnd w:id="92"/>
    <w:bookmarkStart w:id="97" w:name="madurez-progresiva"/>
    <w:p>
      <w:pPr>
        <w:pStyle w:val="Heading1"/>
      </w:pPr>
      <w:r>
        <w:t xml:space="preserve">20. Madurez progresiva</w:t>
      </w:r>
    </w:p>
    <w:p>
      <w:pPr>
        <w:pStyle w:val="FirstParagraph"/>
      </w:pPr>
      <w:r>
        <w:t xml:space="preserve">AlertaCuenta puede evolucionar su postura de seguridad por etapas.</w:t>
      </w:r>
    </w:p>
    <w:bookmarkStart w:id="93" w:name="fase-hackathon-demo"/>
    <w:p>
      <w:pPr>
        <w:pStyle w:val="Heading2"/>
      </w:pPr>
      <w:r>
        <w:t xml:space="preserve">20.1 Fase hackathon / demo</w:t>
      </w:r>
    </w:p>
    <w:p>
      <w:pPr>
        <w:pStyle w:val="FirstParagraph"/>
      </w:pPr>
      <w:r>
        <w:t xml:space="preserve">Objetivo:</w:t>
      </w:r>
    </w:p>
    <w:p>
      <w:pPr>
        <w:pStyle w:val="Compact"/>
        <w:numPr>
          <w:ilvl w:val="0"/>
          <w:numId w:val="1022"/>
        </w:numPr>
      </w:pPr>
      <w:r>
        <w:t xml:space="preserve">demostrar diseño responsable;</w:t>
      </w:r>
    </w:p>
    <w:p>
      <w:pPr>
        <w:pStyle w:val="Compact"/>
        <w:numPr>
          <w:ilvl w:val="0"/>
          <w:numId w:val="1022"/>
        </w:numPr>
      </w:pPr>
      <w:r>
        <w:t xml:space="preserve">documentar políticas base;</w:t>
      </w:r>
    </w:p>
    <w:p>
      <w:pPr>
        <w:pStyle w:val="Compact"/>
        <w:numPr>
          <w:ilvl w:val="0"/>
          <w:numId w:val="1022"/>
        </w:numPr>
      </w:pPr>
      <w:r>
        <w:t xml:space="preserve">evitar datos reales innecesarios;</w:t>
      </w:r>
    </w:p>
    <w:p>
      <w:pPr>
        <w:pStyle w:val="Compact"/>
        <w:numPr>
          <w:ilvl w:val="0"/>
          <w:numId w:val="1022"/>
        </w:numPr>
      </w:pPr>
      <w:r>
        <w:t xml:space="preserve">usar casos ficticios o anonimizados;</w:t>
      </w:r>
    </w:p>
    <w:p>
      <w:pPr>
        <w:pStyle w:val="Compact"/>
        <w:numPr>
          <w:ilvl w:val="0"/>
          <w:numId w:val="1022"/>
        </w:numPr>
      </w:pPr>
      <w:r>
        <w:t xml:space="preserve">proteger credenciales;</w:t>
      </w:r>
    </w:p>
    <w:p>
      <w:pPr>
        <w:pStyle w:val="Compact"/>
        <w:numPr>
          <w:ilvl w:val="0"/>
          <w:numId w:val="1022"/>
        </w:numPr>
      </w:pPr>
      <w:r>
        <w:t xml:space="preserve">limitar accesos;</w:t>
      </w:r>
    </w:p>
    <w:p>
      <w:pPr>
        <w:pStyle w:val="Compact"/>
        <w:numPr>
          <w:ilvl w:val="0"/>
          <w:numId w:val="1022"/>
        </w:numPr>
      </w:pPr>
      <w:r>
        <w:t xml:space="preserve">mostrar arquitectura segura.</w:t>
      </w:r>
    </w:p>
    <w:bookmarkEnd w:id="93"/>
    <w:bookmarkStart w:id="94" w:name="fase-mvp-controlado"/>
    <w:p>
      <w:pPr>
        <w:pStyle w:val="Heading2"/>
      </w:pPr>
      <w:r>
        <w:t xml:space="preserve">20.2 Fase MVP controlado</w:t>
      </w:r>
    </w:p>
    <w:p>
      <w:pPr>
        <w:pStyle w:val="FirstParagraph"/>
      </w:pPr>
      <w:r>
        <w:t xml:space="preserve">Objetivo:</w:t>
      </w:r>
    </w:p>
    <w:p>
      <w:pPr>
        <w:pStyle w:val="Compact"/>
        <w:numPr>
          <w:ilvl w:val="0"/>
          <w:numId w:val="1023"/>
        </w:numPr>
      </w:pPr>
      <w:r>
        <w:t xml:space="preserve">implementar controles mínimos operativos;</w:t>
      </w:r>
    </w:p>
    <w:p>
      <w:pPr>
        <w:pStyle w:val="Compact"/>
        <w:numPr>
          <w:ilvl w:val="0"/>
          <w:numId w:val="1023"/>
        </w:numPr>
      </w:pPr>
      <w:r>
        <w:t xml:space="preserve">formalizar roles;</w:t>
      </w:r>
    </w:p>
    <w:p>
      <w:pPr>
        <w:pStyle w:val="Compact"/>
        <w:numPr>
          <w:ilvl w:val="0"/>
          <w:numId w:val="1023"/>
        </w:numPr>
      </w:pPr>
      <w:r>
        <w:t xml:space="preserve">definir proveedores;</w:t>
      </w:r>
    </w:p>
    <w:p>
      <w:pPr>
        <w:pStyle w:val="Compact"/>
        <w:numPr>
          <w:ilvl w:val="0"/>
          <w:numId w:val="1023"/>
        </w:numPr>
      </w:pPr>
      <w:r>
        <w:t xml:space="preserve">limitar datos reales;</w:t>
      </w:r>
    </w:p>
    <w:p>
      <w:pPr>
        <w:pStyle w:val="Compact"/>
        <w:numPr>
          <w:ilvl w:val="0"/>
          <w:numId w:val="1023"/>
        </w:numPr>
      </w:pPr>
      <w:r>
        <w:t xml:space="preserve">registrar tratamientos;</w:t>
      </w:r>
    </w:p>
    <w:p>
      <w:pPr>
        <w:pStyle w:val="Compact"/>
        <w:numPr>
          <w:ilvl w:val="0"/>
          <w:numId w:val="1023"/>
        </w:numPr>
      </w:pPr>
      <w:r>
        <w:t xml:space="preserve">probar respuesta ante incidentes;</w:t>
      </w:r>
    </w:p>
    <w:p>
      <w:pPr>
        <w:pStyle w:val="Compact"/>
        <w:numPr>
          <w:ilvl w:val="0"/>
          <w:numId w:val="1023"/>
        </w:numPr>
      </w:pPr>
      <w:r>
        <w:t xml:space="preserve">revisar flujos de IA;</w:t>
      </w:r>
    </w:p>
    <w:p>
      <w:pPr>
        <w:pStyle w:val="Compact"/>
        <w:numPr>
          <w:ilvl w:val="0"/>
          <w:numId w:val="1023"/>
        </w:numPr>
      </w:pPr>
      <w:r>
        <w:t xml:space="preserve">validar experiencia con usuarios.</w:t>
      </w:r>
    </w:p>
    <w:bookmarkEnd w:id="94"/>
    <w:bookmarkStart w:id="95" w:name="fase-piloto-institucional"/>
    <w:p>
      <w:pPr>
        <w:pStyle w:val="Heading2"/>
      </w:pPr>
      <w:r>
        <w:t xml:space="preserve">20.3 Fase piloto institucional</w:t>
      </w:r>
    </w:p>
    <w:p>
      <w:pPr>
        <w:pStyle w:val="FirstParagraph"/>
      </w:pPr>
      <w:r>
        <w:t xml:space="preserve">Objetivo:</w:t>
      </w:r>
    </w:p>
    <w:p>
      <w:pPr>
        <w:pStyle w:val="Compact"/>
        <w:numPr>
          <w:ilvl w:val="0"/>
          <w:numId w:val="1024"/>
        </w:numPr>
      </w:pPr>
      <w:r>
        <w:t xml:space="preserve">fortalecer DPA;</w:t>
      </w:r>
    </w:p>
    <w:p>
      <w:pPr>
        <w:pStyle w:val="Compact"/>
        <w:numPr>
          <w:ilvl w:val="0"/>
          <w:numId w:val="1024"/>
        </w:numPr>
      </w:pPr>
      <w:r>
        <w:t xml:space="preserve">definir SLA si corresponde;</w:t>
      </w:r>
    </w:p>
    <w:p>
      <w:pPr>
        <w:pStyle w:val="Compact"/>
        <w:numPr>
          <w:ilvl w:val="0"/>
          <w:numId w:val="1024"/>
        </w:numPr>
      </w:pPr>
      <w:r>
        <w:t xml:space="preserve">robustecer trazabilidad;</w:t>
      </w:r>
    </w:p>
    <w:p>
      <w:pPr>
        <w:pStyle w:val="Compact"/>
        <w:numPr>
          <w:ilvl w:val="0"/>
          <w:numId w:val="1024"/>
        </w:numPr>
      </w:pPr>
      <w:r>
        <w:t xml:space="preserve">revisar integración con terceros;</w:t>
      </w:r>
    </w:p>
    <w:p>
      <w:pPr>
        <w:pStyle w:val="Compact"/>
        <w:numPr>
          <w:ilvl w:val="0"/>
          <w:numId w:val="1024"/>
        </w:numPr>
      </w:pPr>
      <w:r>
        <w:t xml:space="preserve">establecer métricas de seguridad;</w:t>
      </w:r>
    </w:p>
    <w:p>
      <w:pPr>
        <w:pStyle w:val="Compact"/>
        <w:numPr>
          <w:ilvl w:val="0"/>
          <w:numId w:val="1024"/>
        </w:numPr>
      </w:pPr>
      <w:r>
        <w:t xml:space="preserve">mejorar monitoreo;</w:t>
      </w:r>
    </w:p>
    <w:p>
      <w:pPr>
        <w:pStyle w:val="Compact"/>
        <w:numPr>
          <w:ilvl w:val="0"/>
          <w:numId w:val="1024"/>
        </w:numPr>
      </w:pPr>
      <w:r>
        <w:t xml:space="preserve">documentar riesgos y controles.</w:t>
      </w:r>
    </w:p>
    <w:bookmarkEnd w:id="95"/>
    <w:bookmarkStart w:id="96" w:name="fase-productiva"/>
    <w:p>
      <w:pPr>
        <w:pStyle w:val="Heading2"/>
      </w:pPr>
      <w:r>
        <w:t xml:space="preserve">20.4 Fase productiva</w:t>
      </w:r>
    </w:p>
    <w:p>
      <w:pPr>
        <w:pStyle w:val="FirstParagraph"/>
      </w:pPr>
      <w:r>
        <w:t xml:space="preserve">Objetivo:</w:t>
      </w:r>
    </w:p>
    <w:p>
      <w:pPr>
        <w:pStyle w:val="Compact"/>
        <w:numPr>
          <w:ilvl w:val="0"/>
          <w:numId w:val="1025"/>
        </w:numPr>
      </w:pPr>
      <w:r>
        <w:t xml:space="preserve">consolidar gobierno de seguridad;</w:t>
      </w:r>
    </w:p>
    <w:p>
      <w:pPr>
        <w:pStyle w:val="Compact"/>
        <w:numPr>
          <w:ilvl w:val="0"/>
          <w:numId w:val="1025"/>
        </w:numPr>
      </w:pPr>
      <w:r>
        <w:t xml:space="preserve">preparar auditorías;</w:t>
      </w:r>
    </w:p>
    <w:p>
      <w:pPr>
        <w:pStyle w:val="Compact"/>
        <w:numPr>
          <w:ilvl w:val="0"/>
          <w:numId w:val="1025"/>
        </w:numPr>
      </w:pPr>
      <w:r>
        <w:t xml:space="preserve">evaluar certificaciones;</w:t>
      </w:r>
    </w:p>
    <w:p>
      <w:pPr>
        <w:pStyle w:val="Compact"/>
        <w:numPr>
          <w:ilvl w:val="0"/>
          <w:numId w:val="1025"/>
        </w:numPr>
      </w:pPr>
      <w:r>
        <w:t xml:space="preserve">robustecer continuidad;</w:t>
      </w:r>
    </w:p>
    <w:p>
      <w:pPr>
        <w:pStyle w:val="Compact"/>
        <w:numPr>
          <w:ilvl w:val="0"/>
          <w:numId w:val="1025"/>
        </w:numPr>
      </w:pPr>
      <w:r>
        <w:t xml:space="preserve">implementar controles avanzados;</w:t>
      </w:r>
    </w:p>
    <w:p>
      <w:pPr>
        <w:pStyle w:val="Compact"/>
        <w:numPr>
          <w:ilvl w:val="0"/>
          <w:numId w:val="1025"/>
        </w:numPr>
      </w:pPr>
      <w:r>
        <w:t xml:space="preserve">formalizar procesos de seguridad y privacidad.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revisión-de-esta-declaración"/>
    <w:p>
      <w:pPr>
        <w:pStyle w:val="Heading1"/>
      </w:pPr>
      <w:r>
        <w:t xml:space="preserve">21. Revisión de esta Declaración</w:t>
      </w:r>
    </w:p>
    <w:p>
      <w:pPr>
        <w:pStyle w:val="FirstParagraph"/>
      </w:pPr>
      <w:r>
        <w:t xml:space="preserve">Esta Declaración debe revisarse periódicamente o cuando existan cambios relevantes en:</w:t>
      </w:r>
    </w:p>
    <w:p>
      <w:pPr>
        <w:pStyle w:val="Compact"/>
        <w:numPr>
          <w:ilvl w:val="0"/>
          <w:numId w:val="1026"/>
        </w:numPr>
      </w:pPr>
      <w:r>
        <w:t xml:space="preserve">arquitectura;</w:t>
      </w:r>
    </w:p>
    <w:p>
      <w:pPr>
        <w:pStyle w:val="Compact"/>
        <w:numPr>
          <w:ilvl w:val="0"/>
          <w:numId w:val="1026"/>
        </w:numPr>
      </w:pPr>
      <w:r>
        <w:t xml:space="preserve">proveedores;</w:t>
      </w:r>
    </w:p>
    <w:p>
      <w:pPr>
        <w:pStyle w:val="Compact"/>
        <w:numPr>
          <w:ilvl w:val="0"/>
          <w:numId w:val="1026"/>
        </w:numPr>
      </w:pPr>
      <w:r>
        <w:t xml:space="preserve">uso de IA;</w:t>
      </w:r>
    </w:p>
    <w:p>
      <w:pPr>
        <w:pStyle w:val="Compact"/>
        <w:numPr>
          <w:ilvl w:val="0"/>
          <w:numId w:val="1026"/>
        </w:numPr>
      </w:pPr>
      <w:r>
        <w:t xml:space="preserve">tratamiento de datos financieros;</w:t>
      </w:r>
    </w:p>
    <w:p>
      <w:pPr>
        <w:pStyle w:val="Compact"/>
        <w:numPr>
          <w:ilvl w:val="0"/>
          <w:numId w:val="1026"/>
        </w:numPr>
      </w:pPr>
      <w:r>
        <w:t xml:space="preserve">volumen de usuarios;</w:t>
      </w:r>
    </w:p>
    <w:p>
      <w:pPr>
        <w:pStyle w:val="Compact"/>
        <w:numPr>
          <w:ilvl w:val="0"/>
          <w:numId w:val="1026"/>
        </w:numPr>
      </w:pPr>
      <w:r>
        <w:t xml:space="preserve">incidentes;</w:t>
      </w:r>
    </w:p>
    <w:p>
      <w:pPr>
        <w:pStyle w:val="Compact"/>
        <w:numPr>
          <w:ilvl w:val="0"/>
          <w:numId w:val="1026"/>
        </w:numPr>
      </w:pPr>
      <w:r>
        <w:t xml:space="preserve">regulación;</w:t>
      </w:r>
    </w:p>
    <w:p>
      <w:pPr>
        <w:pStyle w:val="Compact"/>
        <w:numPr>
          <w:ilvl w:val="0"/>
          <w:numId w:val="1026"/>
        </w:numPr>
      </w:pPr>
      <w:r>
        <w:t xml:space="preserve">alianzas institucionales;</w:t>
      </w:r>
    </w:p>
    <w:p>
      <w:pPr>
        <w:pStyle w:val="Compact"/>
        <w:numPr>
          <w:ilvl w:val="0"/>
          <w:numId w:val="1026"/>
        </w:numPr>
      </w:pPr>
      <w:r>
        <w:t xml:space="preserve">modelos de servicio;</w:t>
      </w:r>
    </w:p>
    <w:p>
      <w:pPr>
        <w:pStyle w:val="Compact"/>
        <w:numPr>
          <w:ilvl w:val="0"/>
          <w:numId w:val="1026"/>
        </w:numPr>
      </w:pPr>
      <w:r>
        <w:t xml:space="preserve">integraciones;</w:t>
      </w:r>
    </w:p>
    <w:p>
      <w:pPr>
        <w:pStyle w:val="Compact"/>
        <w:numPr>
          <w:ilvl w:val="0"/>
          <w:numId w:val="1026"/>
        </w:numPr>
      </w:pPr>
      <w:r>
        <w:t xml:space="preserve">riesgos detectados.</w:t>
      </w:r>
    </w:p>
    <w:p>
      <w:pPr>
        <w:pStyle w:val="FirstParagraph"/>
      </w:pPr>
      <w:r>
        <w:t xml:space="preserve">La versión vigente debe estar disponible en el Centro de Confianza de AlertaCuenta.</w:t>
      </w:r>
    </w:p>
    <w:p>
      <w:r>
        <w:pict>
          <v:rect style="width:0;height:1.5pt" o:hralign="center" o:hrstd="t" o:hr="t"/>
        </w:pict>
      </w:r>
    </w:p>
    <w:bookmarkEnd w:id="98"/>
    <w:bookmarkStart w:id="99" w:name="relación-con-otros-documentos"/>
    <w:p>
      <w:pPr>
        <w:pStyle w:val="Heading1"/>
      </w:pPr>
      <w:r>
        <w:t xml:space="preserve">22. Relación con otros documentos</w:t>
      </w:r>
    </w:p>
    <w:p>
      <w:pPr>
        <w:pStyle w:val="FirstParagraph"/>
      </w:pPr>
      <w:r>
        <w:t xml:space="preserve">Esta Declaración debe leerse junto con:</w:t>
      </w:r>
    </w:p>
    <w:p>
      <w:pPr>
        <w:pStyle w:val="Compact"/>
        <w:numPr>
          <w:ilvl w:val="0"/>
          <w:numId w:val="1027"/>
        </w:numPr>
      </w:pPr>
      <w:r>
        <w:t xml:space="preserve">Centro de Confianza AlertaCuenta;</w:t>
      </w:r>
    </w:p>
    <w:p>
      <w:pPr>
        <w:pStyle w:val="Compact"/>
        <w:numPr>
          <w:ilvl w:val="0"/>
          <w:numId w:val="1027"/>
        </w:numPr>
      </w:pPr>
      <w:r>
        <w:t xml:space="preserve">Política de Privacidad;</w:t>
      </w:r>
    </w:p>
    <w:p>
      <w:pPr>
        <w:pStyle w:val="Compact"/>
        <w:numPr>
          <w:ilvl w:val="0"/>
          <w:numId w:val="1027"/>
        </w:numPr>
      </w:pPr>
      <w:r>
        <w:t xml:space="preserve">Aviso Especial de Datos Financieros y Evidencia de Fraude;</w:t>
      </w:r>
    </w:p>
    <w:p>
      <w:pPr>
        <w:pStyle w:val="Compact"/>
        <w:numPr>
          <w:ilvl w:val="0"/>
          <w:numId w:val="1027"/>
        </w:numPr>
      </w:pPr>
      <w:r>
        <w:t xml:space="preserve">Términos de Uso;</w:t>
      </w:r>
    </w:p>
    <w:p>
      <w:pPr>
        <w:pStyle w:val="Compact"/>
        <w:numPr>
          <w:ilvl w:val="0"/>
          <w:numId w:val="1027"/>
        </w:numPr>
      </w:pPr>
      <w:r>
        <w:t xml:space="preserve">Política de Gobernanza de Inteligencia Artificial;</w:t>
      </w:r>
    </w:p>
    <w:p>
      <w:pPr>
        <w:pStyle w:val="Compact"/>
        <w:numPr>
          <w:ilvl w:val="0"/>
          <w:numId w:val="1027"/>
        </w:numPr>
      </w:pPr>
      <w:r>
        <w:t xml:space="preserve">Política de Gobierno de Datos;</w:t>
      </w:r>
    </w:p>
    <w:p>
      <w:pPr>
        <w:pStyle w:val="Compact"/>
        <w:numPr>
          <w:ilvl w:val="0"/>
          <w:numId w:val="1027"/>
        </w:numPr>
      </w:pPr>
      <w:r>
        <w:t xml:space="preserve">Política de Cookies;</w:t>
      </w:r>
    </w:p>
    <w:p>
      <w:pPr>
        <w:pStyle w:val="Compact"/>
        <w:numPr>
          <w:ilvl w:val="0"/>
          <w:numId w:val="1027"/>
        </w:numPr>
      </w:pPr>
      <w:r>
        <w:t xml:space="preserve">DPA o Acuerdo de Tratamiento de Datos, cuando corresponda;</w:t>
      </w:r>
    </w:p>
    <w:p>
      <w:pPr>
        <w:pStyle w:val="Compact"/>
        <w:numPr>
          <w:ilvl w:val="0"/>
          <w:numId w:val="1027"/>
        </w:numPr>
      </w:pPr>
      <w:r>
        <w:t xml:space="preserve">protocolos internos de seguridad, incidentes y continuidad.</w:t>
      </w:r>
    </w:p>
    <w:p>
      <w:pPr>
        <w:pStyle w:val="FirstParagraph"/>
      </w:pPr>
      <w:r>
        <w:t xml:space="preserve">En caso de contradicción, prevalecerá el documento más específico respecto de la materia particular, salvo que la ley o un contrato aplicable dispongan otra cosa.</w:t>
      </w:r>
    </w:p>
    <w:p>
      <w:r>
        <w:pict>
          <v:rect style="width:0;height:1.5pt" o:hralign="center" o:hrstd="t" o:hr="t"/>
        </w:pict>
      </w:r>
    </w:p>
    <w:bookmarkEnd w:id="99"/>
    <w:bookmarkStart w:id="100" w:name="mensaje-final"/>
    <w:p>
      <w:pPr>
        <w:pStyle w:val="Heading1"/>
      </w:pPr>
      <w:r>
        <w:t xml:space="preserve">23. Mensaje final</w:t>
      </w:r>
    </w:p>
    <w:p>
      <w:pPr>
        <w:pStyle w:val="FirstParagraph"/>
      </w:pPr>
      <w:r>
        <w:t xml:space="preserve">La seguridad de AlertaCuenta debe proteger más que datos. Debe proteger confianza, evidencia, oportunidad de acción y tranquilidad en un momento de vulnerabilidad.</w:t>
      </w:r>
    </w:p>
    <w:p>
      <w:pPr>
        <w:pStyle w:val="BodyText"/>
      </w:pPr>
      <w:r>
        <w:t xml:space="preserve">Por eso, la regla de diseño es simple:</w:t>
      </w:r>
    </w:p>
    <w:p>
      <w:pPr>
        <w:pStyle w:val="BodyText"/>
      </w:pPr>
      <w:r>
        <w:rPr>
          <w:b/>
          <w:bCs/>
        </w:rPr>
        <w:t xml:space="preserve">Pedir menos. Proteger más. Registrar lo necesario. Revisar lo crítico. No solicitar claves. No exponer evidencia. Mejorar continuamente.</w:t>
      </w:r>
    </w:p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2026-05-07T03:35:08Z</dcterms:created>
  <dcterms:modified xsi:type="dcterms:W3CDTF">2026-05-07T03:35:08Z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