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9f7c1b7394de6711df4d77563907e70f8085b66"/>
    <w:p>
      <w:pPr>
        <w:pStyle w:val="Heading1"/>
      </w:pPr>
      <w:r>
        <w:t xml:space="preserve">Política de Privacidad y Protección de Datos Personales — AlertaCuenta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MVP / Hackathon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[●]</w:t>
      </w:r>
      <w:r>
        <w:br/>
      </w:r>
      <w:r>
        <w:rPr>
          <w:b/>
          <w:bCs/>
        </w:rPr>
        <w:t xml:space="preserve">Entidad responsable:</w:t>
      </w:r>
      <w:r>
        <w:t xml:space="preserve"> </w:t>
      </w:r>
      <w:r>
        <w:t xml:space="preserve">[AlertaCuenta / razón social por definir]</w:t>
      </w:r>
      <w:r>
        <w:br/>
      </w:r>
      <w:r>
        <w:rPr>
          <w:b/>
          <w:bCs/>
        </w:rPr>
        <w:t xml:space="preserve">Sitio web o plataforma:</w:t>
      </w:r>
      <w:r>
        <w:t xml:space="preserve"> </w:t>
      </w:r>
      <w:r>
        <w:t xml:space="preserve">[●]</w:t>
      </w:r>
      <w:r>
        <w:br/>
      </w:r>
      <w:r>
        <w:rPr>
          <w:b/>
          <w:bCs/>
        </w:rPr>
        <w:t xml:space="preserve">Canal de privacidad:</w:t>
      </w:r>
      <w:r>
        <w:t xml:space="preserve"> </w:t>
      </w:r>
      <w:r>
        <w:t xml:space="preserve">[privacidad@alertacuenta.cl / formulario web]</w:t>
      </w:r>
    </w:p>
    <w:p>
      <w:r>
        <w:pict>
          <v:rect style="width:0;height:1.5pt" o:hralign="center" o:hrstd="t" o:hr="t"/>
        </w:pict>
      </w:r>
    </w:p>
    <w:bookmarkStart w:id="20" w:name="resumen-simple"/>
    <w:p>
      <w:pPr>
        <w:pStyle w:val="Heading2"/>
      </w:pPr>
      <w:r>
        <w:t xml:space="preserve">Resumen simple</w:t>
      </w:r>
    </w:p>
    <w:p>
      <w:pPr>
        <w:pStyle w:val="FirstParagraph"/>
      </w:pPr>
      <w:r>
        <w:t xml:space="preserve">AlertaCuenta es una plataforma diseñada para ayudar a personas que enfrentan una urgencia, sospecha o experiencia de fraude financiero. Para cumplir esa finalidad, podemos necesitar ciertos datos personales, información del caso y evidencia relacionada con el evento reportado.</w:t>
      </w:r>
    </w:p>
    <w:p>
      <w:pPr>
        <w:pStyle w:val="BodyText"/>
      </w:pPr>
      <w:r>
        <w:t xml:space="preserve">Nuestro compromiso es tratar esa información con cuidado, transparencia y proporcionalidad.</w:t>
      </w:r>
    </w:p>
    <w:p>
      <w:pPr>
        <w:pStyle w:val="BodyText"/>
      </w:pPr>
      <w:r>
        <w:t xml:space="preserve">En particular:</w:t>
      </w:r>
    </w:p>
    <w:p>
      <w:pPr>
        <w:pStyle w:val="Compact"/>
        <w:numPr>
          <w:ilvl w:val="0"/>
          <w:numId w:val="1001"/>
        </w:numPr>
      </w:pPr>
      <w:r>
        <w:t xml:space="preserve">usamos tus datos para orientarte, ordenar tu caso, ayudarte a preparar antecedentes y generar documentos o rutas de acción;</w:t>
      </w:r>
    </w:p>
    <w:p>
      <w:pPr>
        <w:pStyle w:val="Compact"/>
        <w:numPr>
          <w:ilvl w:val="0"/>
          <w:numId w:val="1001"/>
        </w:numPr>
      </w:pPr>
      <w:r>
        <w:t xml:space="preserve">pedimos solo la información necesaria para comprender el caso;</w:t>
      </w:r>
    </w:p>
    <w:p>
      <w:pPr>
        <w:pStyle w:val="Compact"/>
        <w:numPr>
          <w:ilvl w:val="0"/>
          <w:numId w:val="1001"/>
        </w:numPr>
      </w:pPr>
      <w:r>
        <w:t xml:space="preserve">no necesitamos ni debemos pedir tus claves, contraseñas, PIN, coordenadas, códigos SMS, códigos de autenticación ni accesos remotos;</w:t>
      </w:r>
    </w:p>
    <w:p>
      <w:pPr>
        <w:pStyle w:val="Compact"/>
        <w:numPr>
          <w:ilvl w:val="0"/>
          <w:numId w:val="1001"/>
        </w:numPr>
      </w:pPr>
      <w:r>
        <w:t xml:space="preserve">podemos usar inteligencia artificial para apoyar tareas de clasificación, resumen, ordenamiento y generación de borradores, pero la IA no decide por sí sola cuestiones críticas;</w:t>
      </w:r>
    </w:p>
    <w:p>
      <w:pPr>
        <w:pStyle w:val="Compact"/>
        <w:numPr>
          <w:ilvl w:val="0"/>
          <w:numId w:val="1001"/>
        </w:numPr>
      </w:pPr>
      <w:r>
        <w:t xml:space="preserve">puedes ejercer tus derechos sobre tus datos personales a través del canal de privacidad informado por AlertaCuenta.</w:t>
      </w:r>
    </w:p>
    <w:p>
      <w:pPr>
        <w:pStyle w:val="BlockText"/>
      </w:pPr>
      <w:r>
        <w:rPr>
          <w:b/>
          <w:bCs/>
        </w:rPr>
        <w:t xml:space="preserve">Idea central:</w:t>
      </w:r>
      <w:r>
        <w:t xml:space="preserve"> </w:t>
      </w:r>
      <w:r>
        <w:t xml:space="preserve">AlertaCuenta busca ayudarte frente al fraude sin exponerte a una segunda vulneración.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identidad-del-responsable"/>
    <w:p>
      <w:pPr>
        <w:pStyle w:val="Heading1"/>
      </w:pPr>
      <w:r>
        <w:t xml:space="preserve">1. Identidad del responsable</w:t>
      </w:r>
    </w:p>
    <w:p>
      <w:pPr>
        <w:pStyle w:val="FirstParagraph"/>
      </w:pPr>
      <w:r>
        <w:t xml:space="preserve">Para efectos de esta Política, el responsable del tratamiento de los datos personales será:</w:t>
      </w:r>
    </w:p>
    <w:p>
      <w:pPr>
        <w:pStyle w:val="BodyText"/>
      </w:pPr>
      <w:r>
        <w:rPr>
          <w:b/>
          <w:bCs/>
        </w:rPr>
        <w:t xml:space="preserve">Responsable:</w:t>
      </w:r>
      <w:r>
        <w:t xml:space="preserve"> </w:t>
      </w:r>
      <w:r>
        <w:t xml:space="preserve">[AlertaCuenta / razón social por definir]</w:t>
      </w:r>
      <w:r>
        <w:br/>
      </w:r>
      <w:r>
        <w:rPr>
          <w:b/>
          <w:bCs/>
        </w:rPr>
        <w:t xml:space="preserve">Domicilio:</w:t>
      </w:r>
      <w:r>
        <w:t xml:space="preserve"> </w:t>
      </w:r>
      <w:r>
        <w:t xml:space="preserve">[●]</w:t>
      </w:r>
      <w:r>
        <w:br/>
      </w:r>
      <w:r>
        <w:rPr>
          <w:b/>
          <w:bCs/>
        </w:rPr>
        <w:t xml:space="preserve">Correo o canal de privacidad:</w:t>
      </w:r>
      <w:r>
        <w:t xml:space="preserve"> </w:t>
      </w:r>
      <w:r>
        <w:t xml:space="preserve">[●]</w:t>
      </w:r>
      <w:r>
        <w:br/>
      </w:r>
      <w:r>
        <w:rPr>
          <w:b/>
          <w:bCs/>
        </w:rPr>
        <w:t xml:space="preserve">Formulario de solicitudes:</w:t>
      </w:r>
      <w:r>
        <w:t xml:space="preserve"> </w:t>
      </w:r>
      <w:r>
        <w:t xml:space="preserve">[●]</w:t>
      </w:r>
      <w:r>
        <w:br/>
      </w:r>
      <w:r>
        <w:rPr>
          <w:b/>
          <w:bCs/>
        </w:rPr>
        <w:t xml:space="preserve">Representante o encargado interno de privacidad:</w:t>
      </w:r>
      <w:r>
        <w:t xml:space="preserve"> </w:t>
      </w:r>
      <w:r>
        <w:t xml:space="preserve">[●]</w:t>
      </w:r>
    </w:p>
    <w:p>
      <w:pPr>
        <w:pStyle w:val="BodyText"/>
      </w:pPr>
      <w:r>
        <w:t xml:space="preserve">Mientras AlertaCuenta opere en fase de hackathon, piloto, prueba de concepto o MVP, esta Política debe entenderse como un marco de diseño y cumplimiento progresivo, sujeto a ajustes antes de su despliegue productivo final.</w:t>
      </w:r>
    </w:p>
    <w:p>
      <w:r>
        <w:pict>
          <v:rect style="width:0;height:1.5pt" o:hralign="center" o:hrstd="t" o:hr="t"/>
        </w:pict>
      </w:r>
    </w:p>
    <w:bookmarkEnd w:id="22"/>
    <w:bookmarkStart w:id="23" w:name="alcance-de-esta-política"/>
    <w:p>
      <w:pPr>
        <w:pStyle w:val="Heading1"/>
      </w:pPr>
      <w:r>
        <w:t xml:space="preserve">2. Alcance de esta Política</w:t>
      </w:r>
    </w:p>
    <w:p>
      <w:pPr>
        <w:pStyle w:val="FirstParagraph"/>
      </w:pPr>
      <w:r>
        <w:t xml:space="preserve">Esta Política aplica al tratamiento de datos personales realizado por AlertaCuenta en relación con:</w:t>
      </w:r>
    </w:p>
    <w:p>
      <w:pPr>
        <w:pStyle w:val="Compact"/>
        <w:numPr>
          <w:ilvl w:val="0"/>
          <w:numId w:val="1002"/>
        </w:numPr>
      </w:pPr>
      <w:r>
        <w:t xml:space="preserve">visitantes del sitio web;</w:t>
      </w:r>
    </w:p>
    <w:p>
      <w:pPr>
        <w:pStyle w:val="Compact"/>
        <w:numPr>
          <w:ilvl w:val="0"/>
          <w:numId w:val="1002"/>
        </w:numPr>
      </w:pPr>
      <w:r>
        <w:t xml:space="preserve">personas que completan formularios de contacto, diagnóstico, orientación o reporte;</w:t>
      </w:r>
    </w:p>
    <w:p>
      <w:pPr>
        <w:pStyle w:val="Compact"/>
        <w:numPr>
          <w:ilvl w:val="0"/>
          <w:numId w:val="1002"/>
        </w:numPr>
      </w:pPr>
      <w:r>
        <w:t xml:space="preserve">usuarios que relatan una sospecha, urgencia o caso de fraude;</w:t>
      </w:r>
    </w:p>
    <w:p>
      <w:pPr>
        <w:pStyle w:val="Compact"/>
        <w:numPr>
          <w:ilvl w:val="0"/>
          <w:numId w:val="1002"/>
        </w:numPr>
      </w:pPr>
      <w:r>
        <w:t xml:space="preserve">personas que suben antecedentes, documentos, pantallazos, audios o evidencia;</w:t>
      </w:r>
    </w:p>
    <w:p>
      <w:pPr>
        <w:pStyle w:val="Compact"/>
        <w:numPr>
          <w:ilvl w:val="0"/>
          <w:numId w:val="1002"/>
        </w:numPr>
      </w:pPr>
      <w:r>
        <w:t xml:space="preserve">usuarios de herramientas, asistentes, flujos guiados, chatbots o módulos de inteligencia artificial;</w:t>
      </w:r>
    </w:p>
    <w:p>
      <w:pPr>
        <w:pStyle w:val="Compact"/>
        <w:numPr>
          <w:ilvl w:val="0"/>
          <w:numId w:val="1002"/>
        </w:numPr>
      </w:pPr>
      <w:r>
        <w:t xml:space="preserve">representantes, familiares o terceros que actúan en apoyo de una persona afectada;</w:t>
      </w:r>
    </w:p>
    <w:p>
      <w:pPr>
        <w:pStyle w:val="Compact"/>
        <w:numPr>
          <w:ilvl w:val="0"/>
          <w:numId w:val="1002"/>
        </w:numPr>
      </w:pPr>
      <w:r>
        <w:t xml:space="preserve">aliados, evaluadores, instituciones, bancos, entidades públicas o privadas que interactúen con la plataforma en el marco de pilotos, integraciones o servicios.</w:t>
      </w:r>
    </w:p>
    <w:p>
      <w:pPr>
        <w:pStyle w:val="FirstParagraph"/>
      </w:pPr>
      <w:r>
        <w:t xml:space="preserve">Cuando AlertaCuenta trate datos por cuenta de un cliente institucional, banco, empresa, organización pública o tercero responsable, dicho tratamiento podrá regularse además por un Acuerdo de Tratamiento de Datos, DPA, convenio, contrato, piloto, orden de servicio u otro instrumento específico.</w:t>
      </w:r>
    </w:p>
    <w:p>
      <w:r>
        <w:pict>
          <v:rect style="width:0;height:1.5pt" o:hralign="center" o:hrstd="t" o:hr="t"/>
        </w:pict>
      </w:r>
    </w:p>
    <w:bookmarkEnd w:id="23"/>
    <w:bookmarkStart w:id="24" w:name="X11da330876f5451dad5f71b00788fae3f0a3e23"/>
    <w:p>
      <w:pPr>
        <w:pStyle w:val="Heading1"/>
      </w:pPr>
      <w:r>
        <w:t xml:space="preserve">3. Marco normativo y enfoque de cumplimiento</w:t>
      </w:r>
    </w:p>
    <w:p>
      <w:pPr>
        <w:pStyle w:val="FirstParagraph"/>
      </w:pPr>
      <w:r>
        <w:t xml:space="preserve">AlertaCuenta se diseña conforme a la normativa chilena aplicable en materia de protección de datos personales, incluyendo la Ley N° 19.628 y sus modificaciones, así como bajo un enfoque de cumplimiento anticipado y progresivo de la Ley N° 21.719, que regula la protección y el tratamiento de datos personales y crea la Agencia de Protección de Datos Personales.</w:t>
      </w:r>
    </w:p>
    <w:p>
      <w:pPr>
        <w:pStyle w:val="BodyText"/>
      </w:pPr>
      <w:r>
        <w:t xml:space="preserve">Cuando corresponda por contexto internacional, proveedor, usuario, cliente o alcance del tratamiento, AlertaCuenta podrá adoptar criterios compatibles con estándares internacionales de privacidad y protección de datos, incluyendo referencias de diseño inspiradas en el Reglamento General de Protección de Datos de la Unión Europea.</w:t>
      </w:r>
    </w:p>
    <w:p>
      <w:pPr>
        <w:pStyle w:val="BodyText"/>
      </w:pPr>
      <w:r>
        <w:t xml:space="preserve">Esta Política no implica certificación formal, auditoría externa concluida ni declaración de cumplimiento absoluto. Su finalidad es establecer un marco claro, prudente y verificable para el tratamiento responsable de datos personales en el contexto de una solución antifraude.</w:t>
      </w:r>
    </w:p>
    <w:p>
      <w:r>
        <w:pict>
          <v:rect style="width:0;height:1.5pt" o:hralign="center" o:hrstd="t" o:hr="t"/>
        </w:pict>
      </w:r>
    </w:p>
    <w:bookmarkEnd w:id="24"/>
    <w:bookmarkStart w:id="32" w:name="principios-que-orientan-el-tratamiento"/>
    <w:p>
      <w:pPr>
        <w:pStyle w:val="Heading1"/>
      </w:pPr>
      <w:r>
        <w:t xml:space="preserve">4. Principios que orientan el tratamiento</w:t>
      </w:r>
    </w:p>
    <w:p>
      <w:pPr>
        <w:pStyle w:val="FirstParagraph"/>
      </w:pPr>
      <w:r>
        <w:t xml:space="preserve">El tratamiento de datos personales por AlertaCuenta debe guiarse por los siguientes principios:</w:t>
      </w:r>
    </w:p>
    <w:bookmarkStart w:id="25" w:name="licitud-y-legitimidad"/>
    <w:p>
      <w:pPr>
        <w:pStyle w:val="Heading2"/>
      </w:pPr>
      <w:r>
        <w:t xml:space="preserve">4.1 Licitud y legitimidad</w:t>
      </w:r>
    </w:p>
    <w:p>
      <w:pPr>
        <w:pStyle w:val="FirstParagraph"/>
      </w:pPr>
      <w:r>
        <w:t xml:space="preserve">Los datos personales deben tratarse sobre una base legítima, informada y compatible con la finalidad del servicio.</w:t>
      </w:r>
    </w:p>
    <w:bookmarkEnd w:id="25"/>
    <w:bookmarkStart w:id="26" w:name="finalidad"/>
    <w:p>
      <w:pPr>
        <w:pStyle w:val="Heading2"/>
      </w:pPr>
      <w:r>
        <w:t xml:space="preserve">4.2 Finalidad</w:t>
      </w:r>
    </w:p>
    <w:p>
      <w:pPr>
        <w:pStyle w:val="FirstParagraph"/>
      </w:pPr>
      <w:r>
        <w:t xml:space="preserve">Los datos deben recopilarse para finalidades específicas, explícitas y relacionadas con la orientación, prevención, documentación, gestión o escalamiento de casos de fraude financiero.</w:t>
      </w:r>
    </w:p>
    <w:bookmarkEnd w:id="26"/>
    <w:bookmarkStart w:id="27" w:name="minimización"/>
    <w:p>
      <w:pPr>
        <w:pStyle w:val="Heading2"/>
      </w:pPr>
      <w:r>
        <w:t xml:space="preserve">4.3 Minimización</w:t>
      </w:r>
    </w:p>
    <w:p>
      <w:pPr>
        <w:pStyle w:val="FirstParagraph"/>
      </w:pPr>
      <w:r>
        <w:t xml:space="preserve">Solo deben pedirse y conservarse los datos necesarios para cumplir la finalidad correspondiente.</w:t>
      </w:r>
    </w:p>
    <w:bookmarkEnd w:id="27"/>
    <w:bookmarkStart w:id="28" w:name="proporcionalidad"/>
    <w:p>
      <w:pPr>
        <w:pStyle w:val="Heading2"/>
      </w:pPr>
      <w:r>
        <w:t xml:space="preserve">4.4 Proporcionalidad</w:t>
      </w:r>
    </w:p>
    <w:p>
      <w:pPr>
        <w:pStyle w:val="FirstParagraph"/>
      </w:pPr>
      <w:r>
        <w:t xml:space="preserve">El nivel de tratamiento, revisión, conservación y seguridad debe ser proporcional al tipo de dato, criticidad del caso y riesgo para el titular.</w:t>
      </w:r>
    </w:p>
    <w:bookmarkEnd w:id="28"/>
    <w:bookmarkStart w:id="29" w:name="transparencia"/>
    <w:p>
      <w:pPr>
        <w:pStyle w:val="Heading2"/>
      </w:pPr>
      <w:r>
        <w:t xml:space="preserve">4.5 Transparencia</w:t>
      </w:r>
    </w:p>
    <w:p>
      <w:pPr>
        <w:pStyle w:val="FirstParagraph"/>
      </w:pPr>
      <w:r>
        <w:t xml:space="preserve">El usuario debe poder entender qué datos se solicitan, para qué se usan, quién podría acceder a ellos y cómo ejercer sus derechos.</w:t>
      </w:r>
    </w:p>
    <w:bookmarkEnd w:id="29"/>
    <w:bookmarkStart w:id="30" w:name="seguridad-y-confidencialidad"/>
    <w:p>
      <w:pPr>
        <w:pStyle w:val="Heading2"/>
      </w:pPr>
      <w:r>
        <w:t xml:space="preserve">4.6 Seguridad y confidencialidad</w:t>
      </w:r>
    </w:p>
    <w:p>
      <w:pPr>
        <w:pStyle w:val="FirstParagraph"/>
      </w:pPr>
      <w:r>
        <w:t xml:space="preserve">Los datos deben protegerse frente a acceso no autorizado, pérdida, alteración, filtración, divulgación indebida o destrucción accidental.</w:t>
      </w:r>
    </w:p>
    <w:bookmarkEnd w:id="30"/>
    <w:bookmarkStart w:id="31" w:name="responsabilidad-activa"/>
    <w:p>
      <w:pPr>
        <w:pStyle w:val="Heading2"/>
      </w:pPr>
      <w:r>
        <w:t xml:space="preserve">4.7 Responsabilidad activa</w:t>
      </w:r>
    </w:p>
    <w:p>
      <w:pPr>
        <w:pStyle w:val="FirstParagraph"/>
      </w:pPr>
      <w:r>
        <w:t xml:space="preserve">AlertaCuenta debe procurar documentar sus decisiones relevantes de tratamiento, sus roles, sus finalidades, sus controles y sus medidas de cumplimiento.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1" w:name="datos-personales-que-podemos-tratar"/>
    <w:p>
      <w:pPr>
        <w:pStyle w:val="Heading1"/>
      </w:pPr>
      <w:r>
        <w:t xml:space="preserve">5. Datos personales que podemos tratar</w:t>
      </w:r>
    </w:p>
    <w:p>
      <w:pPr>
        <w:pStyle w:val="FirstParagraph"/>
      </w:pPr>
      <w:r>
        <w:t xml:space="preserve">Según la interacción del usuario con la plataforma, AlertaCuenta puede tratar las siguientes categorías de datos.</w:t>
      </w:r>
    </w:p>
    <w:bookmarkStart w:id="33" w:name="datos-de-identificación-y-contacto"/>
    <w:p>
      <w:pPr>
        <w:pStyle w:val="Heading2"/>
      </w:pPr>
      <w:r>
        <w:t xml:space="preserve">5.1 Datos de identificación y contacto</w:t>
      </w:r>
    </w:p>
    <w:p>
      <w:pPr>
        <w:pStyle w:val="FirstParagraph"/>
      </w:pPr>
      <w:r>
        <w:t xml:space="preserve">Pueden incluir:</w:t>
      </w:r>
    </w:p>
    <w:p>
      <w:pPr>
        <w:pStyle w:val="Compact"/>
        <w:numPr>
          <w:ilvl w:val="0"/>
          <w:numId w:val="1003"/>
        </w:numPr>
      </w:pPr>
      <w:r>
        <w:t xml:space="preserve">nombre y apellidos;</w:t>
      </w:r>
    </w:p>
    <w:p>
      <w:pPr>
        <w:pStyle w:val="Compact"/>
        <w:numPr>
          <w:ilvl w:val="0"/>
          <w:numId w:val="1003"/>
        </w:numPr>
      </w:pPr>
      <w:r>
        <w:t xml:space="preserve">RUT, solo cuando sea necesario para documentos, reclamos, validación o gestión del caso;</w:t>
      </w:r>
    </w:p>
    <w:p>
      <w:pPr>
        <w:pStyle w:val="Compact"/>
        <w:numPr>
          <w:ilvl w:val="0"/>
          <w:numId w:val="1003"/>
        </w:numPr>
      </w:pPr>
      <w:r>
        <w:t xml:space="preserve">correo electrónico;</w:t>
      </w:r>
    </w:p>
    <w:p>
      <w:pPr>
        <w:pStyle w:val="Compact"/>
        <w:numPr>
          <w:ilvl w:val="0"/>
          <w:numId w:val="1003"/>
        </w:numPr>
      </w:pPr>
      <w:r>
        <w:t xml:space="preserve">número de teléfono;</w:t>
      </w:r>
    </w:p>
    <w:p>
      <w:pPr>
        <w:pStyle w:val="Compact"/>
        <w:numPr>
          <w:ilvl w:val="0"/>
          <w:numId w:val="1003"/>
        </w:numPr>
      </w:pPr>
      <w:r>
        <w:t xml:space="preserve">comuna, ciudad o región;</w:t>
      </w:r>
    </w:p>
    <w:p>
      <w:pPr>
        <w:pStyle w:val="Compact"/>
        <w:numPr>
          <w:ilvl w:val="0"/>
          <w:numId w:val="1003"/>
        </w:numPr>
      </w:pPr>
      <w:r>
        <w:t xml:space="preserve">canal preferente de contacto;</w:t>
      </w:r>
    </w:p>
    <w:p>
      <w:pPr>
        <w:pStyle w:val="Compact"/>
        <w:numPr>
          <w:ilvl w:val="0"/>
          <w:numId w:val="1003"/>
        </w:numPr>
      </w:pPr>
      <w:r>
        <w:t xml:space="preserve">relación con la persona afectada, cuando el reporte sea realizado por un familiar, representante o tercero autorizado.</w:t>
      </w:r>
    </w:p>
    <w:bookmarkEnd w:id="33"/>
    <w:bookmarkStart w:id="34" w:name="datos-del-caso-o-evento-reportado"/>
    <w:p>
      <w:pPr>
        <w:pStyle w:val="Heading2"/>
      </w:pPr>
      <w:r>
        <w:t xml:space="preserve">5.2 Datos del caso o evento reportado</w:t>
      </w:r>
    </w:p>
    <w:p>
      <w:pPr>
        <w:pStyle w:val="FirstParagraph"/>
      </w:pPr>
      <w:r>
        <w:t xml:space="preserve">Pueden incluir:</w:t>
      </w:r>
    </w:p>
    <w:p>
      <w:pPr>
        <w:pStyle w:val="Compact"/>
        <w:numPr>
          <w:ilvl w:val="0"/>
          <w:numId w:val="1004"/>
        </w:numPr>
      </w:pPr>
      <w:r>
        <w:t xml:space="preserve">relato de los hechos;</w:t>
      </w:r>
    </w:p>
    <w:p>
      <w:pPr>
        <w:pStyle w:val="Compact"/>
        <w:numPr>
          <w:ilvl w:val="0"/>
          <w:numId w:val="1004"/>
        </w:numPr>
      </w:pPr>
      <w:r>
        <w:t xml:space="preserve">fecha y hora aproximada del evento;</w:t>
      </w:r>
    </w:p>
    <w:p>
      <w:pPr>
        <w:pStyle w:val="Compact"/>
        <w:numPr>
          <w:ilvl w:val="0"/>
          <w:numId w:val="1004"/>
        </w:numPr>
      </w:pPr>
      <w:r>
        <w:t xml:space="preserve">tipo de fraude sospechado o sufrido;</w:t>
      </w:r>
    </w:p>
    <w:p>
      <w:pPr>
        <w:pStyle w:val="Compact"/>
        <w:numPr>
          <w:ilvl w:val="0"/>
          <w:numId w:val="1004"/>
        </w:numPr>
      </w:pPr>
      <w:r>
        <w:t xml:space="preserve">banco, institución financiera, comercio, plataforma o entidad involucrada;</w:t>
      </w:r>
    </w:p>
    <w:p>
      <w:pPr>
        <w:pStyle w:val="Compact"/>
        <w:numPr>
          <w:ilvl w:val="0"/>
          <w:numId w:val="1004"/>
        </w:numPr>
      </w:pPr>
      <w:r>
        <w:t xml:space="preserve">producto afectado, como cuenta corriente, cuenta vista, tarjeta, billetera digital, crédito, línea de crédito u otro medio de pago;</w:t>
      </w:r>
    </w:p>
    <w:p>
      <w:pPr>
        <w:pStyle w:val="Compact"/>
        <w:numPr>
          <w:ilvl w:val="0"/>
          <w:numId w:val="1004"/>
        </w:numPr>
      </w:pPr>
      <w:r>
        <w:t xml:space="preserve">monto aproximado comprometido;</w:t>
      </w:r>
    </w:p>
    <w:p>
      <w:pPr>
        <w:pStyle w:val="Compact"/>
        <w:numPr>
          <w:ilvl w:val="0"/>
          <w:numId w:val="1004"/>
        </w:numPr>
      </w:pPr>
      <w:r>
        <w:t xml:space="preserve">operaciones cuestionadas;</w:t>
      </w:r>
    </w:p>
    <w:p>
      <w:pPr>
        <w:pStyle w:val="Compact"/>
        <w:numPr>
          <w:ilvl w:val="0"/>
          <w:numId w:val="1004"/>
        </w:numPr>
      </w:pPr>
      <w:r>
        <w:t xml:space="preserve">canal utilizado por el presunto fraude: llamada, SMS, WhatsApp, correo, sitio web, aplicación, transferencia, cajero, compra online u otro;</w:t>
      </w:r>
    </w:p>
    <w:p>
      <w:pPr>
        <w:pStyle w:val="Compact"/>
        <w:numPr>
          <w:ilvl w:val="0"/>
          <w:numId w:val="1004"/>
        </w:numPr>
      </w:pPr>
      <w:r>
        <w:t xml:space="preserve">acciones ya realizadas, como bloqueo, aviso al banco, reclamo, denuncia, contacto con SERNAC u otros organismos.</w:t>
      </w:r>
    </w:p>
    <w:bookmarkEnd w:id="34"/>
    <w:bookmarkStart w:id="35" w:name="evidencia-y-documentos-del-caso"/>
    <w:p>
      <w:pPr>
        <w:pStyle w:val="Heading2"/>
      </w:pPr>
      <w:r>
        <w:t xml:space="preserve">5.3 Evidencia y documentos del caso</w:t>
      </w:r>
    </w:p>
    <w:p>
      <w:pPr>
        <w:pStyle w:val="FirstParagraph"/>
      </w:pPr>
      <w:r>
        <w:t xml:space="preserve">Pueden incluir:</w:t>
      </w:r>
    </w:p>
    <w:p>
      <w:pPr>
        <w:pStyle w:val="Compact"/>
        <w:numPr>
          <w:ilvl w:val="0"/>
          <w:numId w:val="1005"/>
        </w:numPr>
      </w:pPr>
      <w:r>
        <w:t xml:space="preserve">pantallazos de mensajes, correos, llamadas o sitios sospechosos;</w:t>
      </w:r>
    </w:p>
    <w:p>
      <w:pPr>
        <w:pStyle w:val="Compact"/>
        <w:numPr>
          <w:ilvl w:val="0"/>
          <w:numId w:val="1005"/>
        </w:numPr>
      </w:pPr>
      <w:r>
        <w:t xml:space="preserve">comprobantes de transferencia, pagos, cargos o movimientos;</w:t>
      </w:r>
    </w:p>
    <w:p>
      <w:pPr>
        <w:pStyle w:val="Compact"/>
        <w:numPr>
          <w:ilvl w:val="0"/>
          <w:numId w:val="1005"/>
        </w:numPr>
      </w:pPr>
      <w:r>
        <w:t xml:space="preserve">cartolas, estados de cuenta o registros de transacciones;</w:t>
      </w:r>
    </w:p>
    <w:p>
      <w:pPr>
        <w:pStyle w:val="Compact"/>
        <w:numPr>
          <w:ilvl w:val="0"/>
          <w:numId w:val="1005"/>
        </w:numPr>
      </w:pPr>
      <w:r>
        <w:t xml:space="preserve">comunicaciones con bancos, comercios, plataformas, proveedores o terceros;</w:t>
      </w:r>
    </w:p>
    <w:p>
      <w:pPr>
        <w:pStyle w:val="Compact"/>
        <w:numPr>
          <w:ilvl w:val="0"/>
          <w:numId w:val="1005"/>
        </w:numPr>
      </w:pPr>
      <w:r>
        <w:t xml:space="preserve">reclamos presentados;</w:t>
      </w:r>
    </w:p>
    <w:p>
      <w:pPr>
        <w:pStyle w:val="Compact"/>
        <w:numPr>
          <w:ilvl w:val="0"/>
          <w:numId w:val="1005"/>
        </w:numPr>
      </w:pPr>
      <w:r>
        <w:t xml:space="preserve">respuestas, rechazos o cartas de instituciones;</w:t>
      </w:r>
    </w:p>
    <w:p>
      <w:pPr>
        <w:pStyle w:val="Compact"/>
        <w:numPr>
          <w:ilvl w:val="0"/>
          <w:numId w:val="1005"/>
        </w:numPr>
      </w:pPr>
      <w:r>
        <w:t xml:space="preserve">constancias, denuncias o antecedentes policiales;</w:t>
      </w:r>
    </w:p>
    <w:p>
      <w:pPr>
        <w:pStyle w:val="Compact"/>
        <w:numPr>
          <w:ilvl w:val="0"/>
          <w:numId w:val="1005"/>
        </w:numPr>
      </w:pPr>
      <w:r>
        <w:t xml:space="preserve">documentos generados por la plataforma;</w:t>
      </w:r>
    </w:p>
    <w:p>
      <w:pPr>
        <w:pStyle w:val="Compact"/>
        <w:numPr>
          <w:ilvl w:val="0"/>
          <w:numId w:val="1005"/>
        </w:numPr>
      </w:pPr>
      <w:r>
        <w:t xml:space="preserve">audios, transcripciones o archivos entregados voluntariamente por el usuario.</w:t>
      </w:r>
    </w:p>
    <w:bookmarkEnd w:id="35"/>
    <w:bookmarkStart w:id="36" w:name="datos-financieros-limitados"/>
    <w:p>
      <w:pPr>
        <w:pStyle w:val="Heading2"/>
      </w:pPr>
      <w:r>
        <w:t xml:space="preserve">5.4 Datos financieros limitados</w:t>
      </w:r>
    </w:p>
    <w:p>
      <w:pPr>
        <w:pStyle w:val="FirstParagraph"/>
      </w:pPr>
      <w:r>
        <w:t xml:space="preserve">AlertaCuenta puede tratar información financiera limitada cuando sea necesaria para comprender el evento reportado, identificar operaciones cuestionadas o preparar antecedentes.</w:t>
      </w:r>
    </w:p>
    <w:p>
      <w:pPr>
        <w:pStyle w:val="BodyText"/>
      </w:pPr>
      <w:r>
        <w:t xml:space="preserve">Estos datos pueden incluir:</w:t>
      </w:r>
    </w:p>
    <w:p>
      <w:pPr>
        <w:pStyle w:val="Compact"/>
        <w:numPr>
          <w:ilvl w:val="0"/>
          <w:numId w:val="1006"/>
        </w:numPr>
      </w:pPr>
      <w:r>
        <w:t xml:space="preserve">nombre de la institución financiera;</w:t>
      </w:r>
    </w:p>
    <w:p>
      <w:pPr>
        <w:pStyle w:val="Compact"/>
        <w:numPr>
          <w:ilvl w:val="0"/>
          <w:numId w:val="1006"/>
        </w:numPr>
      </w:pPr>
      <w:r>
        <w:t xml:space="preserve">tipo de producto afectado;</w:t>
      </w:r>
    </w:p>
    <w:p>
      <w:pPr>
        <w:pStyle w:val="Compact"/>
        <w:numPr>
          <w:ilvl w:val="0"/>
          <w:numId w:val="1006"/>
        </w:numPr>
      </w:pPr>
      <w:r>
        <w:t xml:space="preserve">últimos dígitos de una cuenta o tarjeta, cuando sea necesario para identificar el caso;</w:t>
      </w:r>
    </w:p>
    <w:p>
      <w:pPr>
        <w:pStyle w:val="Compact"/>
        <w:numPr>
          <w:ilvl w:val="0"/>
          <w:numId w:val="1006"/>
        </w:numPr>
      </w:pPr>
      <w:r>
        <w:t xml:space="preserve">movimientos específicos asociados al fraude;</w:t>
      </w:r>
    </w:p>
    <w:p>
      <w:pPr>
        <w:pStyle w:val="Compact"/>
        <w:numPr>
          <w:ilvl w:val="0"/>
          <w:numId w:val="1006"/>
        </w:numPr>
      </w:pPr>
      <w:r>
        <w:t xml:space="preserve">montos, fechas y descripciones de transacciones;</w:t>
      </w:r>
    </w:p>
    <w:p>
      <w:pPr>
        <w:pStyle w:val="Compact"/>
        <w:numPr>
          <w:ilvl w:val="0"/>
          <w:numId w:val="1006"/>
        </w:numPr>
      </w:pPr>
      <w:r>
        <w:t xml:space="preserve">antecedentes de reclamos o respuestas bancarias.</w:t>
      </w:r>
    </w:p>
    <w:p>
      <w:pPr>
        <w:pStyle w:val="FirstParagraph"/>
      </w:pPr>
      <w:r>
        <w:t xml:space="preserve">AlertaCuenta debe evitar recopilar información financiera excesiva o no relacionada con el caso.</w:t>
      </w:r>
    </w:p>
    <w:bookmarkEnd w:id="36"/>
    <w:bookmarkStart w:id="37" w:name="datos-técnicos-de-navegación-y-seguridad"/>
    <w:p>
      <w:pPr>
        <w:pStyle w:val="Heading2"/>
      </w:pPr>
      <w:r>
        <w:t xml:space="preserve">5.5 Datos técnicos, de navegación y seguridad</w:t>
      </w:r>
    </w:p>
    <w:p>
      <w:pPr>
        <w:pStyle w:val="FirstParagraph"/>
      </w:pPr>
      <w:r>
        <w:t xml:space="preserve">Pueden incluir:</w:t>
      </w:r>
    </w:p>
    <w:p>
      <w:pPr>
        <w:pStyle w:val="Compact"/>
        <w:numPr>
          <w:ilvl w:val="0"/>
          <w:numId w:val="1007"/>
        </w:numPr>
      </w:pPr>
      <w:r>
        <w:t xml:space="preserve">dirección IP;</w:t>
      </w:r>
    </w:p>
    <w:p>
      <w:pPr>
        <w:pStyle w:val="Compact"/>
        <w:numPr>
          <w:ilvl w:val="0"/>
          <w:numId w:val="1007"/>
        </w:numPr>
      </w:pPr>
      <w:r>
        <w:t xml:space="preserve">identificadores de dispositivo o navegador;</w:t>
      </w:r>
    </w:p>
    <w:p>
      <w:pPr>
        <w:pStyle w:val="Compact"/>
        <w:numPr>
          <w:ilvl w:val="0"/>
          <w:numId w:val="1007"/>
        </w:numPr>
      </w:pPr>
      <w:r>
        <w:t xml:space="preserve">registros de acceso;</w:t>
      </w:r>
    </w:p>
    <w:p>
      <w:pPr>
        <w:pStyle w:val="Compact"/>
        <w:numPr>
          <w:ilvl w:val="0"/>
          <w:numId w:val="1007"/>
        </w:numPr>
      </w:pPr>
      <w:r>
        <w:t xml:space="preserve">fecha, hora y duración de sesiones;</w:t>
      </w:r>
    </w:p>
    <w:p>
      <w:pPr>
        <w:pStyle w:val="Compact"/>
        <w:numPr>
          <w:ilvl w:val="0"/>
          <w:numId w:val="1007"/>
        </w:numPr>
      </w:pPr>
      <w:r>
        <w:t xml:space="preserve">eventos técnicos de uso;</w:t>
      </w:r>
    </w:p>
    <w:p>
      <w:pPr>
        <w:pStyle w:val="Compact"/>
        <w:numPr>
          <w:ilvl w:val="0"/>
          <w:numId w:val="1007"/>
        </w:numPr>
      </w:pPr>
      <w:r>
        <w:t xml:space="preserve">logs de errores;</w:t>
      </w:r>
    </w:p>
    <w:p>
      <w:pPr>
        <w:pStyle w:val="Compact"/>
        <w:numPr>
          <w:ilvl w:val="0"/>
          <w:numId w:val="1007"/>
        </w:numPr>
      </w:pPr>
      <w:r>
        <w:t xml:space="preserve">información de seguridad, monitoreo o prevención de abuso;</w:t>
      </w:r>
    </w:p>
    <w:p>
      <w:pPr>
        <w:pStyle w:val="Compact"/>
        <w:numPr>
          <w:ilvl w:val="0"/>
          <w:numId w:val="1007"/>
        </w:numPr>
      </w:pPr>
      <w:r>
        <w:t xml:space="preserve">preferencias de cookies o consentimiento.</w:t>
      </w:r>
    </w:p>
    <w:bookmarkEnd w:id="37"/>
    <w:bookmarkStart w:id="38" w:name="datos-de-comunicaciones"/>
    <w:p>
      <w:pPr>
        <w:pStyle w:val="Heading2"/>
      </w:pPr>
      <w:r>
        <w:t xml:space="preserve">5.6 Datos de comunicaciones</w:t>
      </w:r>
    </w:p>
    <w:p>
      <w:pPr>
        <w:pStyle w:val="FirstParagraph"/>
      </w:pPr>
      <w:r>
        <w:t xml:space="preserve">Pueden incluir:</w:t>
      </w:r>
    </w:p>
    <w:p>
      <w:pPr>
        <w:pStyle w:val="Compact"/>
        <w:numPr>
          <w:ilvl w:val="0"/>
          <w:numId w:val="1008"/>
        </w:numPr>
      </w:pPr>
      <w:r>
        <w:t xml:space="preserve">mensajes enviados por formularios;</w:t>
      </w:r>
    </w:p>
    <w:p>
      <w:pPr>
        <w:pStyle w:val="Compact"/>
        <w:numPr>
          <w:ilvl w:val="0"/>
          <w:numId w:val="1008"/>
        </w:numPr>
      </w:pPr>
      <w:r>
        <w:t xml:space="preserve">conversaciones con asistentes o chatbots;</w:t>
      </w:r>
    </w:p>
    <w:p>
      <w:pPr>
        <w:pStyle w:val="Compact"/>
        <w:numPr>
          <w:ilvl w:val="0"/>
          <w:numId w:val="1008"/>
        </w:numPr>
      </w:pPr>
      <w:r>
        <w:t xml:space="preserve">correos electrónicos;</w:t>
      </w:r>
    </w:p>
    <w:p>
      <w:pPr>
        <w:pStyle w:val="Compact"/>
        <w:numPr>
          <w:ilvl w:val="0"/>
          <w:numId w:val="1008"/>
        </w:numPr>
      </w:pPr>
      <w:r>
        <w:t xml:space="preserve">llamadas o audios, cuando el usuario opte por relatar su caso de esa forma;</w:t>
      </w:r>
    </w:p>
    <w:p>
      <w:pPr>
        <w:pStyle w:val="Compact"/>
        <w:numPr>
          <w:ilvl w:val="0"/>
          <w:numId w:val="1008"/>
        </w:numPr>
      </w:pPr>
      <w:r>
        <w:t xml:space="preserve">respuestas entregadas por la plataforma;</w:t>
      </w:r>
    </w:p>
    <w:p>
      <w:pPr>
        <w:pStyle w:val="Compact"/>
        <w:numPr>
          <w:ilvl w:val="0"/>
          <w:numId w:val="1008"/>
        </w:numPr>
      </w:pPr>
      <w:r>
        <w:t xml:space="preserve">solicitudes de soporte o privacidad.</w:t>
      </w:r>
    </w:p>
    <w:bookmarkEnd w:id="38"/>
    <w:bookmarkStart w:id="39" w:name="Xef9997c529c2cf2f5464eaa2b521bd0c976a142"/>
    <w:p>
      <w:pPr>
        <w:pStyle w:val="Heading2"/>
      </w:pPr>
      <w:r>
        <w:t xml:space="preserve">5.7 Datos tratados por sistemas de inteligencia artificial</w:t>
      </w:r>
    </w:p>
    <w:p>
      <w:pPr>
        <w:pStyle w:val="FirstParagraph"/>
      </w:pPr>
      <w:r>
        <w:t xml:space="preserve">Cuando AlertaCuenta use IA, pueden tratarse:</w:t>
      </w:r>
    </w:p>
    <w:p>
      <w:pPr>
        <w:pStyle w:val="Compact"/>
        <w:numPr>
          <w:ilvl w:val="0"/>
          <w:numId w:val="1009"/>
        </w:numPr>
      </w:pPr>
      <w:r>
        <w:t xml:space="preserve">prompts o instrucciones del usuario;</w:t>
      </w:r>
    </w:p>
    <w:p>
      <w:pPr>
        <w:pStyle w:val="Compact"/>
        <w:numPr>
          <w:ilvl w:val="0"/>
          <w:numId w:val="1009"/>
        </w:numPr>
      </w:pPr>
      <w:r>
        <w:t xml:space="preserve">respuestas del asistente;</w:t>
      </w:r>
    </w:p>
    <w:p>
      <w:pPr>
        <w:pStyle w:val="Compact"/>
        <w:numPr>
          <w:ilvl w:val="0"/>
          <w:numId w:val="1009"/>
        </w:numPr>
      </w:pPr>
      <w:r>
        <w:t xml:space="preserve">resúmenes del caso;</w:t>
      </w:r>
    </w:p>
    <w:p>
      <w:pPr>
        <w:pStyle w:val="Compact"/>
        <w:numPr>
          <w:ilvl w:val="0"/>
          <w:numId w:val="1009"/>
        </w:numPr>
      </w:pPr>
      <w:r>
        <w:t xml:space="preserve">clasificaciones preliminares;</w:t>
      </w:r>
    </w:p>
    <w:p>
      <w:pPr>
        <w:pStyle w:val="Compact"/>
        <w:numPr>
          <w:ilvl w:val="0"/>
          <w:numId w:val="1009"/>
        </w:numPr>
      </w:pPr>
      <w:r>
        <w:t xml:space="preserve">documentos generados;</w:t>
      </w:r>
    </w:p>
    <w:p>
      <w:pPr>
        <w:pStyle w:val="Compact"/>
        <w:numPr>
          <w:ilvl w:val="0"/>
          <w:numId w:val="1009"/>
        </w:numPr>
      </w:pPr>
      <w:r>
        <w:t xml:space="preserve">metadatos de uso;</w:t>
      </w:r>
    </w:p>
    <w:p>
      <w:pPr>
        <w:pStyle w:val="Compact"/>
        <w:numPr>
          <w:ilvl w:val="0"/>
          <w:numId w:val="1009"/>
        </w:numPr>
      </w:pPr>
      <w:r>
        <w:t xml:space="preserve">evaluaciones internas de calidad, seguridad o trazabilidad.</w:t>
      </w:r>
    </w:p>
    <w:bookmarkEnd w:id="39"/>
    <w:bookmarkStart w:id="40" w:name="datos-sensibles-o-de-especial-protección"/>
    <w:p>
      <w:pPr>
        <w:pStyle w:val="Heading2"/>
      </w:pPr>
      <w:r>
        <w:t xml:space="preserve">5.8 Datos sensibles o de especial protección</w:t>
      </w:r>
    </w:p>
    <w:p>
      <w:pPr>
        <w:pStyle w:val="FirstParagraph"/>
      </w:pPr>
      <w:r>
        <w:t xml:space="preserve">AlertaCuenta no busca recopilar deliberadamente datos sensibles que no sean necesarios para la finalidad del servicio. Sin embargo, el usuario podría incluir accidental o voluntariamente información sensible en relatos, documentos, audios o evidencia.</w:t>
      </w:r>
    </w:p>
    <w:p>
      <w:pPr>
        <w:pStyle w:val="BodyText"/>
      </w:pPr>
      <w:r>
        <w:t xml:space="preserve">En esos casos, AlertaCuenta debe aplicar criterios reforzados de minimización, seguridad, acceso restringido y eliminación o anonimización cuando corresponda.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datos-que-alertacuenta-no-debe-pedir"/>
    <w:p>
      <w:pPr>
        <w:pStyle w:val="Heading1"/>
      </w:pPr>
      <w:r>
        <w:t xml:space="preserve">6. Datos que AlertaCuenta no debe pedir</w:t>
      </w:r>
    </w:p>
    <w:p>
      <w:pPr>
        <w:pStyle w:val="FirstParagraph"/>
      </w:pPr>
      <w:r>
        <w:t xml:space="preserve">AlertaCuenta no necesita y no debe solicitar:</w:t>
      </w:r>
    </w:p>
    <w:p>
      <w:pPr>
        <w:pStyle w:val="Compact"/>
        <w:numPr>
          <w:ilvl w:val="0"/>
          <w:numId w:val="1010"/>
        </w:numPr>
      </w:pPr>
      <w:r>
        <w:t xml:space="preserve">claves bancarias;</w:t>
      </w:r>
    </w:p>
    <w:p>
      <w:pPr>
        <w:pStyle w:val="Compact"/>
        <w:numPr>
          <w:ilvl w:val="0"/>
          <w:numId w:val="1010"/>
        </w:numPr>
      </w:pPr>
      <w:r>
        <w:t xml:space="preserve">contraseñas;</w:t>
      </w:r>
    </w:p>
    <w:p>
      <w:pPr>
        <w:pStyle w:val="Compact"/>
        <w:numPr>
          <w:ilvl w:val="0"/>
          <w:numId w:val="1010"/>
        </w:numPr>
      </w:pPr>
      <w:r>
        <w:t xml:space="preserve">PIN;</w:t>
      </w:r>
    </w:p>
    <w:p>
      <w:pPr>
        <w:pStyle w:val="Compact"/>
        <w:numPr>
          <w:ilvl w:val="0"/>
          <w:numId w:val="1010"/>
        </w:numPr>
      </w:pPr>
      <w:r>
        <w:t xml:space="preserve">coordenadas de tarjeta de seguridad;</w:t>
      </w:r>
    </w:p>
    <w:p>
      <w:pPr>
        <w:pStyle w:val="Compact"/>
        <w:numPr>
          <w:ilvl w:val="0"/>
          <w:numId w:val="1010"/>
        </w:numPr>
      </w:pPr>
      <w:r>
        <w:t xml:space="preserve">códigos SMS;</w:t>
      </w:r>
    </w:p>
    <w:p>
      <w:pPr>
        <w:pStyle w:val="Compact"/>
        <w:numPr>
          <w:ilvl w:val="0"/>
          <w:numId w:val="1010"/>
        </w:numPr>
      </w:pPr>
      <w:r>
        <w:t xml:space="preserve">códigos de autenticación;</w:t>
      </w:r>
    </w:p>
    <w:p>
      <w:pPr>
        <w:pStyle w:val="Compact"/>
        <w:numPr>
          <w:ilvl w:val="0"/>
          <w:numId w:val="1010"/>
        </w:numPr>
      </w:pPr>
      <w:r>
        <w:t xml:space="preserve">claves dinámicas;</w:t>
      </w:r>
    </w:p>
    <w:p>
      <w:pPr>
        <w:pStyle w:val="Compact"/>
        <w:numPr>
          <w:ilvl w:val="0"/>
          <w:numId w:val="1010"/>
        </w:numPr>
      </w:pPr>
      <w:r>
        <w:t xml:space="preserve">token completo;</w:t>
      </w:r>
    </w:p>
    <w:p>
      <w:pPr>
        <w:pStyle w:val="Compact"/>
        <w:numPr>
          <w:ilvl w:val="0"/>
          <w:numId w:val="1010"/>
        </w:numPr>
      </w:pPr>
      <w:r>
        <w:t xml:space="preserve">acceso remoto al teléfono o computador;</w:t>
      </w:r>
    </w:p>
    <w:p>
      <w:pPr>
        <w:pStyle w:val="Compact"/>
        <w:numPr>
          <w:ilvl w:val="0"/>
          <w:numId w:val="1010"/>
        </w:numPr>
      </w:pPr>
      <w:r>
        <w:t xml:space="preserve">instalación de aplicaciones de control remoto;</w:t>
      </w:r>
    </w:p>
    <w:p>
      <w:pPr>
        <w:pStyle w:val="Compact"/>
        <w:numPr>
          <w:ilvl w:val="0"/>
          <w:numId w:val="1010"/>
        </w:numPr>
      </w:pPr>
      <w:r>
        <w:t xml:space="preserve">fotografía completa de tarjetas por ambos lados;</w:t>
      </w:r>
    </w:p>
    <w:p>
      <w:pPr>
        <w:pStyle w:val="Compact"/>
        <w:numPr>
          <w:ilvl w:val="0"/>
          <w:numId w:val="1010"/>
        </w:numPr>
      </w:pPr>
      <w:r>
        <w:t xml:space="preserve">CVV o código de seguridad de tarjetas;</w:t>
      </w:r>
    </w:p>
    <w:p>
      <w:pPr>
        <w:pStyle w:val="Compact"/>
        <w:numPr>
          <w:ilvl w:val="0"/>
          <w:numId w:val="1010"/>
        </w:numPr>
      </w:pPr>
      <w:r>
        <w:t xml:space="preserve">credenciales de correo electrónico, banco, billetera digital o cualquier cuenta personal.</w:t>
      </w:r>
    </w:p>
    <w:p>
      <w:pPr>
        <w:pStyle w:val="FirstParagraph"/>
      </w:pPr>
      <w:r>
        <w:t xml:space="preserve">Si el usuario entrega accidentalmente esta información, AlertaCuenta debe procurar eliminarla, bloquearla, anonimizarla o tratarla bajo un protocolo reforzado, según corresponda.</w:t>
      </w:r>
    </w:p>
    <w:p>
      <w:pPr>
        <w:pStyle w:val="BlockText"/>
      </w:pPr>
      <w:r>
        <w:rPr>
          <w:b/>
          <w:bCs/>
        </w:rPr>
        <w:t xml:space="preserve">Advertencia al usuario:</w:t>
      </w:r>
      <w:r>
        <w:t xml:space="preserve"> </w:t>
      </w:r>
      <w:r>
        <w:t xml:space="preserve">si alguien te pide claves, códigos o acceso remoto en nombre de AlertaCuenta, no los entregues y repórtalo de inmediato por el canal oficial.</w:t>
      </w:r>
    </w:p>
    <w:p>
      <w:r>
        <w:pict>
          <v:rect style="width:0;height:1.5pt" o:hralign="center" o:hrstd="t" o:hr="t"/>
        </w:pict>
      </w:r>
    </w:p>
    <w:bookmarkEnd w:id="42"/>
    <w:bookmarkStart w:id="43" w:name="fuentes-desde-las-cuales-obtenemos-datos"/>
    <w:p>
      <w:pPr>
        <w:pStyle w:val="Heading1"/>
      </w:pPr>
      <w:r>
        <w:t xml:space="preserve">7. Fuentes desde las cuales obtenemos datos</w:t>
      </w:r>
    </w:p>
    <w:p>
      <w:pPr>
        <w:pStyle w:val="FirstParagraph"/>
      </w:pPr>
      <w:r>
        <w:t xml:space="preserve">Los datos pueden provenir de:</w:t>
      </w:r>
    </w:p>
    <w:p>
      <w:pPr>
        <w:pStyle w:val="Compact"/>
        <w:numPr>
          <w:ilvl w:val="0"/>
          <w:numId w:val="1011"/>
        </w:numPr>
      </w:pPr>
      <w:r>
        <w:t xml:space="preserve">información entregada directamente por el usuario;</w:t>
      </w:r>
    </w:p>
    <w:p>
      <w:pPr>
        <w:pStyle w:val="Compact"/>
        <w:numPr>
          <w:ilvl w:val="0"/>
          <w:numId w:val="1011"/>
        </w:numPr>
      </w:pPr>
      <w:r>
        <w:t xml:space="preserve">formularios de reporte, diagnóstico o contacto;</w:t>
      </w:r>
    </w:p>
    <w:p>
      <w:pPr>
        <w:pStyle w:val="Compact"/>
        <w:numPr>
          <w:ilvl w:val="0"/>
          <w:numId w:val="1011"/>
        </w:numPr>
      </w:pPr>
      <w:r>
        <w:t xml:space="preserve">documentos, pantallazos, audios o archivos subidos por el usuario;</w:t>
      </w:r>
    </w:p>
    <w:p>
      <w:pPr>
        <w:pStyle w:val="Compact"/>
        <w:numPr>
          <w:ilvl w:val="0"/>
          <w:numId w:val="1011"/>
        </w:numPr>
      </w:pPr>
      <w:r>
        <w:t xml:space="preserve">comunicaciones con soporte o equipos autorizados;</w:t>
      </w:r>
    </w:p>
    <w:p>
      <w:pPr>
        <w:pStyle w:val="Compact"/>
        <w:numPr>
          <w:ilvl w:val="0"/>
          <w:numId w:val="1011"/>
        </w:numPr>
      </w:pPr>
      <w:r>
        <w:t xml:space="preserve">sistemas técnicos del sitio o plataforma;</w:t>
      </w:r>
    </w:p>
    <w:p>
      <w:pPr>
        <w:pStyle w:val="Compact"/>
        <w:numPr>
          <w:ilvl w:val="0"/>
          <w:numId w:val="1011"/>
        </w:numPr>
      </w:pPr>
      <w:r>
        <w:t xml:space="preserve">cookies o tecnologías similares, según preferencias del usuario;</w:t>
      </w:r>
    </w:p>
    <w:p>
      <w:pPr>
        <w:pStyle w:val="Compact"/>
        <w:numPr>
          <w:ilvl w:val="0"/>
          <w:numId w:val="1011"/>
        </w:numPr>
      </w:pPr>
      <w:r>
        <w:t xml:space="preserve">terceros autorizados por el usuario;</w:t>
      </w:r>
    </w:p>
    <w:p>
      <w:pPr>
        <w:pStyle w:val="Compact"/>
        <w:numPr>
          <w:ilvl w:val="0"/>
          <w:numId w:val="1011"/>
        </w:numPr>
      </w:pPr>
      <w:r>
        <w:t xml:space="preserve">clientes institucionales, aliados o integraciones, cuando exista base contractual o autorización válida;</w:t>
      </w:r>
    </w:p>
    <w:p>
      <w:pPr>
        <w:pStyle w:val="Compact"/>
        <w:numPr>
          <w:ilvl w:val="0"/>
          <w:numId w:val="1011"/>
        </w:numPr>
      </w:pPr>
      <w:r>
        <w:t xml:space="preserve">fuentes públicas o institucionales, cuando sea necesario para verificar información general o preparar orientación.</w:t>
      </w:r>
    </w:p>
    <w:p>
      <w:r>
        <w:pict>
          <v:rect style="width:0;height:1.5pt" o:hralign="center" o:hrstd="t" o:hr="t"/>
        </w:pict>
      </w:r>
    </w:p>
    <w:bookmarkEnd w:id="43"/>
    <w:bookmarkStart w:id="53" w:name="finalidades-del-tratamiento"/>
    <w:p>
      <w:pPr>
        <w:pStyle w:val="Heading1"/>
      </w:pPr>
      <w:r>
        <w:t xml:space="preserve">8. Finalidades del tratamiento</w:t>
      </w:r>
    </w:p>
    <w:p>
      <w:pPr>
        <w:pStyle w:val="FirstParagraph"/>
      </w:pPr>
      <w:r>
        <w:t xml:space="preserve">AlertaCuenta puede tratar datos personales para las siguientes finalidades.</w:t>
      </w:r>
    </w:p>
    <w:bookmarkStart w:id="44" w:name="X45c8e8d813131a2ee8e2a922d78f5e698792a4a"/>
    <w:p>
      <w:pPr>
        <w:pStyle w:val="Heading2"/>
      </w:pPr>
      <w:r>
        <w:t xml:space="preserve">8.1 Atención de urgencias, sospechas o reportes</w:t>
      </w:r>
    </w:p>
    <w:p>
      <w:pPr>
        <w:pStyle w:val="FirstParagraph"/>
      </w:pPr>
      <w:r>
        <w:t xml:space="preserve">Recibir, ordenar y procesar información inicial entregada por el usuario sobre una posible situación de fraude financiero.</w:t>
      </w:r>
    </w:p>
    <w:bookmarkEnd w:id="44"/>
    <w:bookmarkStart w:id="45" w:name="orientación-preventiva"/>
    <w:p>
      <w:pPr>
        <w:pStyle w:val="Heading2"/>
      </w:pPr>
      <w:r>
        <w:t xml:space="preserve">8.2 Orientación preventiva</w:t>
      </w:r>
    </w:p>
    <w:p>
      <w:pPr>
        <w:pStyle w:val="FirstParagraph"/>
      </w:pPr>
      <w:r>
        <w:t xml:space="preserve">Ayudar al usuario a identificar señales de alerta, medidas inmediatas de resguardo y pasos iniciales para proteger cuentas, evidencia o derechos.</w:t>
      </w:r>
    </w:p>
    <w:bookmarkEnd w:id="45"/>
    <w:bookmarkStart w:id="46" w:name="clasificación-preliminar-del-caso"/>
    <w:p>
      <w:pPr>
        <w:pStyle w:val="Heading2"/>
      </w:pPr>
      <w:r>
        <w:t xml:space="preserve">8.3 Clasificación preliminar del caso</w:t>
      </w:r>
    </w:p>
    <w:p>
      <w:pPr>
        <w:pStyle w:val="FirstParagraph"/>
      </w:pPr>
      <w:r>
        <w:t xml:space="preserve">Identificar si el caso parece corresponder a una urgencia activa, intento de fraude, fraude consumado, operación desconocida, problema de consumo, error operacional, disputa comercial u otra categoría preliminar.</w:t>
      </w:r>
    </w:p>
    <w:bookmarkEnd w:id="46"/>
    <w:bookmarkStart w:id="47" w:name="ordenamiento-de-evidencia"/>
    <w:p>
      <w:pPr>
        <w:pStyle w:val="Heading2"/>
      </w:pPr>
      <w:r>
        <w:t xml:space="preserve">8.4 Ordenamiento de evidencia</w:t>
      </w:r>
    </w:p>
    <w:p>
      <w:pPr>
        <w:pStyle w:val="FirstParagraph"/>
      </w:pPr>
      <w:r>
        <w:t xml:space="preserve">Ayudar al usuario a reunir, estructurar y conservar antecedentes relevantes del caso.</w:t>
      </w:r>
    </w:p>
    <w:bookmarkEnd w:id="47"/>
    <w:bookmarkStart w:id="48" w:name="generación-de-documentos"/>
    <w:p>
      <w:pPr>
        <w:pStyle w:val="Heading2"/>
      </w:pPr>
      <w:r>
        <w:t xml:space="preserve">8.5 Generación de documentos</w:t>
      </w:r>
    </w:p>
    <w:p>
      <w:pPr>
        <w:pStyle w:val="FirstParagraph"/>
      </w:pPr>
      <w:r>
        <w:t xml:space="preserve">Preparar borradores, cartas, reclamos, minutas, checklists, resúmenes o documentos asociados a bancos, instituciones, comercios, autoridades, SERNAC u otros canales pertinentes.</w:t>
      </w:r>
    </w:p>
    <w:bookmarkEnd w:id="48"/>
    <w:bookmarkStart w:id="49" w:name="comunicación-con-el-usuario"/>
    <w:p>
      <w:pPr>
        <w:pStyle w:val="Heading2"/>
      </w:pPr>
      <w:r>
        <w:t xml:space="preserve">8.6 Comunicación con el usuario</w:t>
      </w:r>
    </w:p>
    <w:p>
      <w:pPr>
        <w:pStyle w:val="FirstParagraph"/>
      </w:pPr>
      <w:r>
        <w:t xml:space="preserve">Enviar información relevante sobre el caso, instrucciones, actualizaciones, documentos, alertas, confirmaciones, respuestas a solicitudes o comunicaciones operativas.</w:t>
      </w:r>
    </w:p>
    <w:bookmarkEnd w:id="49"/>
    <w:bookmarkStart w:id="50" w:name="Xaef0625fc1e40fd84d9d522938b436366243a48"/>
    <w:p>
      <w:pPr>
        <w:pStyle w:val="Heading2"/>
      </w:pPr>
      <w:r>
        <w:t xml:space="preserve">8.7 Seguridad, prevención de abuso y continuidad operativa</w:t>
      </w:r>
    </w:p>
    <w:p>
      <w:pPr>
        <w:pStyle w:val="FirstParagraph"/>
      </w:pPr>
      <w:r>
        <w:t xml:space="preserve">Detectar uso indebido, prevenir fraude contra la plataforma, controlar accesos, monitorear eventos técnicos, resolver errores, proteger infraestructura y mantener continuidad del servicio.</w:t>
      </w:r>
    </w:p>
    <w:bookmarkEnd w:id="50"/>
    <w:bookmarkStart w:id="51" w:name="mejora-de-producto-y-calidad"/>
    <w:p>
      <w:pPr>
        <w:pStyle w:val="Heading2"/>
      </w:pPr>
      <w:r>
        <w:t xml:space="preserve">8.8 Mejora de producto y calidad</w:t>
      </w:r>
    </w:p>
    <w:p>
      <w:pPr>
        <w:pStyle w:val="FirstParagraph"/>
      </w:pPr>
      <w:r>
        <w:t xml:space="preserve">Analizar el funcionamiento de la plataforma, mejorar flujos, corregir errores, entrenar procedimientos internos, evaluar calidad de respuestas y optimizar la experiencia de usuario.</w:t>
      </w:r>
    </w:p>
    <w:p>
      <w:pPr>
        <w:pStyle w:val="BodyText"/>
      </w:pPr>
      <w:r>
        <w:t xml:space="preserve">Cuando sea posible, estas mejoras deberán realizarse usando datos agregados, anonimizados o minimizados.</w:t>
      </w:r>
    </w:p>
    <w:bookmarkEnd w:id="51"/>
    <w:bookmarkStart w:id="52" w:name="Xfdd198024daa6fb91c310974080efbfc3a21377"/>
    <w:p>
      <w:pPr>
        <w:pStyle w:val="Heading2"/>
      </w:pPr>
      <w:r>
        <w:t xml:space="preserve">8.9 Cumplimiento legal, auditoría y defensa de derechos</w:t>
      </w:r>
    </w:p>
    <w:p>
      <w:pPr>
        <w:pStyle w:val="FirstParagraph"/>
      </w:pPr>
      <w:r>
        <w:t xml:space="preserve">Conservar o tratar información cuando sea necesario para cumplir obligaciones legales, responder requerimientos válidos, documentar actuaciones, resolver controversias, ejercer derechos o defender intereses legítimos.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0" w:name="bases-de-legitimación"/>
    <w:p>
      <w:pPr>
        <w:pStyle w:val="Heading1"/>
      </w:pPr>
      <w:r>
        <w:t xml:space="preserve">9. Bases de legitimación</w:t>
      </w:r>
    </w:p>
    <w:p>
      <w:pPr>
        <w:pStyle w:val="FirstParagraph"/>
      </w:pPr>
      <w:r>
        <w:t xml:space="preserve">Dependiendo del caso concreto, AlertaCuenta podrá tratar datos personales con base en una o más de las siguientes causales:</w:t>
      </w:r>
    </w:p>
    <w:bookmarkStart w:id="54" w:name="consentimiento-del-titular"/>
    <w:p>
      <w:pPr>
        <w:pStyle w:val="Heading2"/>
      </w:pPr>
      <w:r>
        <w:t xml:space="preserve">9.1 Consentimiento del titular</w:t>
      </w:r>
    </w:p>
    <w:p>
      <w:pPr>
        <w:pStyle w:val="FirstParagraph"/>
      </w:pPr>
      <w:r>
        <w:t xml:space="preserve">Cuando el usuario entrega voluntariamente sus datos, acepta esta Política, completa formularios, sube documentos, solicita orientación o autoriza una finalidad específica.</w:t>
      </w:r>
    </w:p>
    <w:bookmarkEnd w:id="54"/>
    <w:bookmarkStart w:id="55" w:name="X2929d9da89448066f39511602b5389c46314349"/>
    <w:p>
      <w:pPr>
        <w:pStyle w:val="Heading2"/>
      </w:pPr>
      <w:r>
        <w:t xml:space="preserve">9.2 Ejecución de medidas precontractuales o contractuales</w:t>
      </w:r>
    </w:p>
    <w:p>
      <w:pPr>
        <w:pStyle w:val="FirstParagraph"/>
      </w:pPr>
      <w:r>
        <w:t xml:space="preserve">Cuando el tratamiento sea necesario para evaluar, prestar, gestionar o ejecutar un servicio solicitado por el usuario.</w:t>
      </w:r>
    </w:p>
    <w:bookmarkEnd w:id="55"/>
    <w:bookmarkStart w:id="56" w:name="cumplimiento-de-obligaciones-legales"/>
    <w:p>
      <w:pPr>
        <w:pStyle w:val="Heading2"/>
      </w:pPr>
      <w:r>
        <w:t xml:space="preserve">9.3 Cumplimiento de obligaciones legales</w:t>
      </w:r>
    </w:p>
    <w:p>
      <w:pPr>
        <w:pStyle w:val="FirstParagraph"/>
      </w:pPr>
      <w:r>
        <w:t xml:space="preserve">Cuando el tratamiento sea necesario para cumplir obligaciones normativas, requerimientos válidos de autoridad o deberes legales aplicables.</w:t>
      </w:r>
    </w:p>
    <w:bookmarkEnd w:id="56"/>
    <w:bookmarkStart w:id="57" w:name="interés-legítimo"/>
    <w:p>
      <w:pPr>
        <w:pStyle w:val="Heading2"/>
      </w:pPr>
      <w:r>
        <w:t xml:space="preserve">9.4 Interés legítimo</w:t>
      </w:r>
    </w:p>
    <w:p>
      <w:pPr>
        <w:pStyle w:val="FirstParagraph"/>
      </w:pPr>
      <w:r>
        <w:t xml:space="preserve">Cuando AlertaCuenta tenga un interés legítimo en seguridad, mejora del servicio, prevención de abuso, defensa de derechos, continuidad operativa o análisis interno, siempre que no prevalezcan los derechos y libertades del titular.</w:t>
      </w:r>
    </w:p>
    <w:bookmarkEnd w:id="57"/>
    <w:bookmarkStart w:id="58" w:name="X0e190b53c019d4d267c52b3fd16040941fb1bef"/>
    <w:p>
      <w:pPr>
        <w:pStyle w:val="Heading2"/>
      </w:pPr>
      <w:r>
        <w:t xml:space="preserve">9.5 Formulación, ejercicio o defensa de derechos</w:t>
      </w:r>
    </w:p>
    <w:p>
      <w:pPr>
        <w:pStyle w:val="FirstParagraph"/>
      </w:pPr>
      <w:r>
        <w:t xml:space="preserve">Cuando el tratamiento sea necesario para preparar antecedentes, reclamos, comunicaciones, defensas, solicitudes o documentos vinculados a un caso, procedimiento o controversia.</w:t>
      </w:r>
    </w:p>
    <w:bookmarkEnd w:id="58"/>
    <w:bookmarkStart w:id="59" w:name="tratamiento-de-datos-sensibles"/>
    <w:p>
      <w:pPr>
        <w:pStyle w:val="Heading2"/>
      </w:pPr>
      <w:r>
        <w:t xml:space="preserve">9.6 Tratamiento de datos sensibles</w:t>
      </w:r>
    </w:p>
    <w:p>
      <w:pPr>
        <w:pStyle w:val="FirstParagraph"/>
      </w:pPr>
      <w:r>
        <w:t xml:space="preserve">Si excepcionalmente se tratan datos sensibles, AlertaCuenta deberá contar con consentimiento expreso del titular o con otra base legal suficiente, según corresponda.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Xd19eaebdabbe532991e20bae35e49d6308759ee"/>
    <w:p>
      <w:pPr>
        <w:pStyle w:val="Heading1"/>
      </w:pPr>
      <w:r>
        <w:t xml:space="preserve">10. Uso de inteligencia artificial y decisiones automatizadas</w:t>
      </w:r>
    </w:p>
    <w:p>
      <w:pPr>
        <w:pStyle w:val="FirstParagraph"/>
      </w:pPr>
      <w:r>
        <w:t xml:space="preserve">AlertaCuenta puede utilizar sistemas de inteligencia artificial, modelos fundacionales, asistentes, clasificadores, motores de búsqueda, automatizaciones o herramientas analíticas para apoyar la operación de la plataforma.</w:t>
      </w:r>
    </w:p>
    <w:bookmarkStart w:id="61" w:name="usos-permitidos-de-ia"/>
    <w:p>
      <w:pPr>
        <w:pStyle w:val="Heading2"/>
      </w:pPr>
      <w:r>
        <w:t xml:space="preserve">10.1 Usos permitidos de IA</w:t>
      </w:r>
    </w:p>
    <w:p>
      <w:pPr>
        <w:pStyle w:val="FirstParagraph"/>
      </w:pPr>
      <w:r>
        <w:t xml:space="preserve">La IA puede utilizarse para:</w:t>
      </w:r>
    </w:p>
    <w:p>
      <w:pPr>
        <w:pStyle w:val="Compact"/>
        <w:numPr>
          <w:ilvl w:val="0"/>
          <w:numId w:val="1012"/>
        </w:numPr>
      </w:pPr>
      <w:r>
        <w:t xml:space="preserve">transcribir relatos en audio;</w:t>
      </w:r>
    </w:p>
    <w:p>
      <w:pPr>
        <w:pStyle w:val="Compact"/>
        <w:numPr>
          <w:ilvl w:val="0"/>
          <w:numId w:val="1012"/>
        </w:numPr>
      </w:pPr>
      <w:r>
        <w:t xml:space="preserve">resumir hechos;</w:t>
      </w:r>
    </w:p>
    <w:p>
      <w:pPr>
        <w:pStyle w:val="Compact"/>
        <w:numPr>
          <w:ilvl w:val="0"/>
          <w:numId w:val="1012"/>
        </w:numPr>
      </w:pPr>
      <w:r>
        <w:t xml:space="preserve">ordenar cronologías;</w:t>
      </w:r>
    </w:p>
    <w:p>
      <w:pPr>
        <w:pStyle w:val="Compact"/>
        <w:numPr>
          <w:ilvl w:val="0"/>
          <w:numId w:val="1012"/>
        </w:numPr>
      </w:pPr>
      <w:r>
        <w:t xml:space="preserve">identificar información faltante;</w:t>
      </w:r>
    </w:p>
    <w:p>
      <w:pPr>
        <w:pStyle w:val="Compact"/>
        <w:numPr>
          <w:ilvl w:val="0"/>
          <w:numId w:val="1012"/>
        </w:numPr>
      </w:pPr>
      <w:r>
        <w:t xml:space="preserve">clasificar preliminarmente el tipo de evento;</w:t>
      </w:r>
    </w:p>
    <w:p>
      <w:pPr>
        <w:pStyle w:val="Compact"/>
        <w:numPr>
          <w:ilvl w:val="0"/>
          <w:numId w:val="1012"/>
        </w:numPr>
      </w:pPr>
      <w:r>
        <w:t xml:space="preserve">sugerir próximos pasos;</w:t>
      </w:r>
    </w:p>
    <w:p>
      <w:pPr>
        <w:pStyle w:val="Compact"/>
        <w:numPr>
          <w:ilvl w:val="0"/>
          <w:numId w:val="1012"/>
        </w:numPr>
      </w:pPr>
      <w:r>
        <w:t xml:space="preserve">preparar borradores de documentos;</w:t>
      </w:r>
    </w:p>
    <w:p>
      <w:pPr>
        <w:pStyle w:val="Compact"/>
        <w:numPr>
          <w:ilvl w:val="0"/>
          <w:numId w:val="1012"/>
        </w:numPr>
      </w:pPr>
      <w:r>
        <w:t xml:space="preserve">generar checklists;</w:t>
      </w:r>
    </w:p>
    <w:p>
      <w:pPr>
        <w:pStyle w:val="Compact"/>
        <w:numPr>
          <w:ilvl w:val="0"/>
          <w:numId w:val="1012"/>
        </w:numPr>
      </w:pPr>
      <w:r>
        <w:t xml:space="preserve">detectar inconsistencias;</w:t>
      </w:r>
    </w:p>
    <w:p>
      <w:pPr>
        <w:pStyle w:val="Compact"/>
        <w:numPr>
          <w:ilvl w:val="0"/>
          <w:numId w:val="1012"/>
        </w:numPr>
      </w:pPr>
      <w:r>
        <w:t xml:space="preserve">apoyar revisiones internas de calidad y seguridad.</w:t>
      </w:r>
    </w:p>
    <w:bookmarkEnd w:id="61"/>
    <w:bookmarkStart w:id="62" w:name="límites-de-la-ia"/>
    <w:p>
      <w:pPr>
        <w:pStyle w:val="Heading2"/>
      </w:pPr>
      <w:r>
        <w:t xml:space="preserve">10.2 Límites de la IA</w:t>
      </w:r>
    </w:p>
    <w:p>
      <w:pPr>
        <w:pStyle w:val="FirstParagraph"/>
      </w:pPr>
      <w:r>
        <w:t xml:space="preserve">Los sistemas de IA pueden cometer errores, generar resultados incompletos, interpretar mal información o producir respuestas no adecuadas a un caso particular.</w:t>
      </w:r>
    </w:p>
    <w:p>
      <w:pPr>
        <w:pStyle w:val="BodyText"/>
      </w:pPr>
      <w:r>
        <w:t xml:space="preserve">Por eso, la IA de AlertaCuenta:</w:t>
      </w:r>
    </w:p>
    <w:p>
      <w:pPr>
        <w:pStyle w:val="Compact"/>
        <w:numPr>
          <w:ilvl w:val="0"/>
          <w:numId w:val="1013"/>
        </w:numPr>
      </w:pPr>
      <w:r>
        <w:t xml:space="preserve">no garantiza recuperación de dinero;</w:t>
      </w:r>
    </w:p>
    <w:p>
      <w:pPr>
        <w:pStyle w:val="Compact"/>
        <w:numPr>
          <w:ilvl w:val="0"/>
          <w:numId w:val="1013"/>
        </w:numPr>
      </w:pPr>
      <w:r>
        <w:t xml:space="preserve">no determina por sí sola responsabilidad legal;</w:t>
      </w:r>
    </w:p>
    <w:p>
      <w:pPr>
        <w:pStyle w:val="Compact"/>
        <w:numPr>
          <w:ilvl w:val="0"/>
          <w:numId w:val="1013"/>
        </w:numPr>
      </w:pPr>
      <w:r>
        <w:t xml:space="preserve">no reemplaza asesoría profesional cuando el caso lo requiera;</w:t>
      </w:r>
    </w:p>
    <w:p>
      <w:pPr>
        <w:pStyle w:val="Compact"/>
        <w:numPr>
          <w:ilvl w:val="0"/>
          <w:numId w:val="1013"/>
        </w:numPr>
      </w:pPr>
      <w:r>
        <w:t xml:space="preserve">no debe ser la única base para decisiones críticas;</w:t>
      </w:r>
    </w:p>
    <w:p>
      <w:pPr>
        <w:pStyle w:val="Compact"/>
        <w:numPr>
          <w:ilvl w:val="0"/>
          <w:numId w:val="1013"/>
        </w:numPr>
      </w:pPr>
      <w:r>
        <w:t xml:space="preserve">no debe usarse para automatizar decisiones de alto impacto sin revisión humana proporcional.</w:t>
      </w:r>
    </w:p>
    <w:bookmarkEnd w:id="62"/>
    <w:bookmarkStart w:id="63" w:name="revisión-humana-proporcional"/>
    <w:p>
      <w:pPr>
        <w:pStyle w:val="Heading2"/>
      </w:pPr>
      <w:r>
        <w:t xml:space="preserve">10.3 Revisión humana proporcional</w:t>
      </w:r>
    </w:p>
    <w:p>
      <w:pPr>
        <w:pStyle w:val="FirstParagraph"/>
      </w:pPr>
      <w:r>
        <w:t xml:space="preserve">AlertaCuenta debe aplicar revisión humana proporcional al riesgo, especialmente en documentos legales, casos complejos, información sensible, posibles conflictos, escalamiento institucional o decisiones que puedan afectar derechos del usuario.</w:t>
      </w:r>
    </w:p>
    <w:bookmarkEnd w:id="63"/>
    <w:bookmarkStart w:id="64" w:name="entrenamiento-y-mejora-de-modelos"/>
    <w:p>
      <w:pPr>
        <w:pStyle w:val="Heading2"/>
      </w:pPr>
      <w:r>
        <w:t xml:space="preserve">10.4 Entrenamiento y mejora de modelos</w:t>
      </w:r>
    </w:p>
    <w:p>
      <w:pPr>
        <w:pStyle w:val="FirstParagraph"/>
      </w:pPr>
      <w:r>
        <w:t xml:space="preserve">Como regla general, AlertaCuenta no debe utilizar información identificable del usuario para entrenar modelos generales de propósito amplio sin autorización expresa o base jurídica suficiente.</w:t>
      </w:r>
    </w:p>
    <w:p>
      <w:pPr>
        <w:pStyle w:val="BodyText"/>
      </w:pPr>
      <w:r>
        <w:t xml:space="preserve">Cuando sea necesario mejorar sistemas, flujos o modelos, deberá priorizarse el uso de información agregada, anonimizada, sintética, minimizada o debidamente autorizada.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X016ecde7712c605c733264d80e04ce779be471d"/>
    <w:p>
      <w:pPr>
        <w:pStyle w:val="Heading1"/>
      </w:pPr>
      <w:r>
        <w:t xml:space="preserve">11. Destinatarios y terceros con acceso a datos</w:t>
      </w:r>
    </w:p>
    <w:p>
      <w:pPr>
        <w:pStyle w:val="FirstParagraph"/>
      </w:pPr>
      <w:r>
        <w:t xml:space="preserve">AlertaCuenta puede compartir o permitir acceso a datos personales solo cuando sea necesario para las finalidades informadas, con medidas razonables de confidencialidad y seguridad.</w:t>
      </w:r>
    </w:p>
    <w:p>
      <w:pPr>
        <w:pStyle w:val="BodyText"/>
      </w:pPr>
      <w:r>
        <w:t xml:space="preserve">Los destinatarios pueden incluir:</w:t>
      </w:r>
    </w:p>
    <w:p>
      <w:pPr>
        <w:pStyle w:val="Compact"/>
        <w:numPr>
          <w:ilvl w:val="0"/>
          <w:numId w:val="1014"/>
        </w:numPr>
      </w:pPr>
      <w:r>
        <w:t xml:space="preserve">proveedores de hosting, nube o infraestructura;</w:t>
      </w:r>
    </w:p>
    <w:p>
      <w:pPr>
        <w:pStyle w:val="Compact"/>
        <w:numPr>
          <w:ilvl w:val="0"/>
          <w:numId w:val="1014"/>
        </w:numPr>
      </w:pPr>
      <w:r>
        <w:t xml:space="preserve">proveedores de seguridad, monitoreo o respaldo;</w:t>
      </w:r>
    </w:p>
    <w:p>
      <w:pPr>
        <w:pStyle w:val="Compact"/>
        <w:numPr>
          <w:ilvl w:val="0"/>
          <w:numId w:val="1014"/>
        </w:numPr>
      </w:pPr>
      <w:r>
        <w:t xml:space="preserve">proveedores de inteligencia artificial, automatización o analítica;</w:t>
      </w:r>
    </w:p>
    <w:p>
      <w:pPr>
        <w:pStyle w:val="Compact"/>
        <w:numPr>
          <w:ilvl w:val="0"/>
          <w:numId w:val="1014"/>
        </w:numPr>
      </w:pPr>
      <w:r>
        <w:t xml:space="preserve">proveedores de formularios, comunicaciones, correo, mensajería o soporte;</w:t>
      </w:r>
    </w:p>
    <w:p>
      <w:pPr>
        <w:pStyle w:val="Compact"/>
        <w:numPr>
          <w:ilvl w:val="0"/>
          <w:numId w:val="1014"/>
        </w:numPr>
      </w:pPr>
      <w:r>
        <w:t xml:space="preserve">profesionales o equipos autorizados que revisen casos;</w:t>
      </w:r>
    </w:p>
    <w:p>
      <w:pPr>
        <w:pStyle w:val="Compact"/>
        <w:numPr>
          <w:ilvl w:val="0"/>
          <w:numId w:val="1014"/>
        </w:numPr>
      </w:pPr>
      <w:r>
        <w:t xml:space="preserve">aliados institucionales o comerciales, cuando el usuario lo autorice o exista base suficiente;</w:t>
      </w:r>
    </w:p>
    <w:p>
      <w:pPr>
        <w:pStyle w:val="Compact"/>
        <w:numPr>
          <w:ilvl w:val="0"/>
          <w:numId w:val="1014"/>
        </w:numPr>
      </w:pPr>
      <w:r>
        <w:t xml:space="preserve">bancos, comercios, plataformas, SERNAC, policías, autoridades o tribunales, cuando el usuario solicite o autorice preparar comunicaciones o antecedentes dirigidos a ellos;</w:t>
      </w:r>
    </w:p>
    <w:p>
      <w:pPr>
        <w:pStyle w:val="Compact"/>
        <w:numPr>
          <w:ilvl w:val="0"/>
          <w:numId w:val="1014"/>
        </w:numPr>
      </w:pPr>
      <w:r>
        <w:t xml:space="preserve">autoridades competentes, cuando exista obligación legal o requerimiento válido.</w:t>
      </w:r>
    </w:p>
    <w:p>
      <w:pPr>
        <w:pStyle w:val="FirstParagraph"/>
      </w:pPr>
      <w:r>
        <w:t xml:space="preserve">AlertaCuenta debe procurar que sus proveedores relevantes estén sujetos a obligaciones de confidencialidad, seguridad y tratamiento de datos conforme al rol que corresponda.</w:t>
      </w:r>
    </w:p>
    <w:p>
      <w:r>
        <w:pict>
          <v:rect style="width:0;height:1.5pt" o:hralign="center" o:hrstd="t" o:hr="t"/>
        </w:pict>
      </w:r>
    </w:p>
    <w:bookmarkEnd w:id="66"/>
    <w:bookmarkStart w:id="67" w:name="transferencias-internacionales"/>
    <w:p>
      <w:pPr>
        <w:pStyle w:val="Heading1"/>
      </w:pPr>
      <w:r>
        <w:t xml:space="preserve">12. Transferencias internacionales</w:t>
      </w:r>
    </w:p>
    <w:p>
      <w:pPr>
        <w:pStyle w:val="FirstParagraph"/>
      </w:pPr>
      <w:r>
        <w:t xml:space="preserve">Dado el carácter digital de la plataforma, ciertos datos pueden almacenarse, procesarse o accederse desde proveedores ubicados fuera de Chile, por ejemplo servicios cloud, inteligencia artificial, analítica, soporte, correo o infraestructura.</w:t>
      </w:r>
    </w:p>
    <w:p>
      <w:pPr>
        <w:pStyle w:val="BodyText"/>
      </w:pPr>
      <w:r>
        <w:t xml:space="preserve">Cuando corresponda, AlertaCuenta procurará utilizar mecanismos adecuados para dichas transferencias, incluyendo contratos, cláusulas de tratamiento de datos, salvaguardas técnicas y organizativas, evaluación de proveedores o mecanismos equivalentes conforme a la normativa aplicable.</w:t>
      </w:r>
    </w:p>
    <w:p>
      <w:r>
        <w:pict>
          <v:rect style="width:0;height:1.5pt" o:hralign="center" o:hrstd="t" o:hr="t"/>
        </w:pict>
      </w:r>
    </w:p>
    <w:bookmarkEnd w:id="67"/>
    <w:bookmarkStart w:id="68" w:name="conservación-de-datos"/>
    <w:p>
      <w:pPr>
        <w:pStyle w:val="Heading1"/>
      </w:pPr>
      <w:r>
        <w:t xml:space="preserve">13. Conservación de datos</w:t>
      </w:r>
    </w:p>
    <w:p>
      <w:pPr>
        <w:pStyle w:val="FirstParagraph"/>
      </w:pPr>
      <w:r>
        <w:t xml:space="preserve">AlertaCuenta conservará los datos personales solo durante el tiempo necesario para cumplir las finalidades informadas, prestar el servicio, atender solicitudes, mantener trazabilidad razonable, cumplir obligaciones legales, resolver controversias, proteger derechos o mantener seguridad operativa.</w:t>
      </w:r>
    </w:p>
    <w:p>
      <w:pPr>
        <w:pStyle w:val="BodyText"/>
      </w:pPr>
      <w:r>
        <w:t xml:space="preserve">Los criterios de conservación podrán depender de:</w:t>
      </w:r>
    </w:p>
    <w:p>
      <w:pPr>
        <w:pStyle w:val="Compact"/>
        <w:numPr>
          <w:ilvl w:val="0"/>
          <w:numId w:val="1015"/>
        </w:numPr>
      </w:pPr>
      <w:r>
        <w:t xml:space="preserve">tipo de dato;</w:t>
      </w:r>
    </w:p>
    <w:p>
      <w:pPr>
        <w:pStyle w:val="Compact"/>
        <w:numPr>
          <w:ilvl w:val="0"/>
          <w:numId w:val="1015"/>
        </w:numPr>
      </w:pPr>
      <w:r>
        <w:t xml:space="preserve">etapa del caso;</w:t>
      </w:r>
    </w:p>
    <w:p>
      <w:pPr>
        <w:pStyle w:val="Compact"/>
        <w:numPr>
          <w:ilvl w:val="0"/>
          <w:numId w:val="1015"/>
        </w:numPr>
      </w:pPr>
      <w:r>
        <w:t xml:space="preserve">existencia de documentos generados;</w:t>
      </w:r>
    </w:p>
    <w:p>
      <w:pPr>
        <w:pStyle w:val="Compact"/>
        <w:numPr>
          <w:ilvl w:val="0"/>
          <w:numId w:val="1015"/>
        </w:numPr>
      </w:pPr>
      <w:r>
        <w:t xml:space="preserve">obligaciones legales o contractuales;</w:t>
      </w:r>
    </w:p>
    <w:p>
      <w:pPr>
        <w:pStyle w:val="Compact"/>
        <w:numPr>
          <w:ilvl w:val="0"/>
          <w:numId w:val="1015"/>
        </w:numPr>
      </w:pPr>
      <w:r>
        <w:t xml:space="preserve">necesidad de auditoría o trazabilidad;</w:t>
      </w:r>
    </w:p>
    <w:p>
      <w:pPr>
        <w:pStyle w:val="Compact"/>
        <w:numPr>
          <w:ilvl w:val="0"/>
          <w:numId w:val="1015"/>
        </w:numPr>
      </w:pPr>
      <w:r>
        <w:t xml:space="preserve">solicitudes de eliminación del usuario;</w:t>
      </w:r>
    </w:p>
    <w:p>
      <w:pPr>
        <w:pStyle w:val="Compact"/>
        <w:numPr>
          <w:ilvl w:val="0"/>
          <w:numId w:val="1015"/>
        </w:numPr>
      </w:pPr>
      <w:r>
        <w:t xml:space="preserve">riesgos de seguridad o defensa de derechos.</w:t>
      </w:r>
    </w:p>
    <w:p>
      <w:pPr>
        <w:pStyle w:val="FirstParagraph"/>
      </w:pPr>
      <w:r>
        <w:t xml:space="preserve">Cuando los datos ya no sean necesarios, AlertaCuenta deberá procurar su eliminación, anonimización, bloqueo o conservación restringida, según corresponda.</w:t>
      </w:r>
    </w:p>
    <w:p>
      <w:r>
        <w:pict>
          <v:rect style="width:0;height:1.5pt" o:hralign="center" o:hrstd="t" o:hr="t"/>
        </w:pict>
      </w:r>
    </w:p>
    <w:bookmarkEnd w:id="68"/>
    <w:bookmarkStart w:id="69" w:name="seguridad-y-confidencialidad-1"/>
    <w:p>
      <w:pPr>
        <w:pStyle w:val="Heading1"/>
      </w:pPr>
      <w:r>
        <w:t xml:space="preserve">14. Seguridad y confidencialidad</w:t>
      </w:r>
    </w:p>
    <w:p>
      <w:pPr>
        <w:pStyle w:val="FirstParagraph"/>
      </w:pPr>
      <w:r>
        <w:t xml:space="preserve">AlertaCuenta debe adoptar medidas técnicas, organizativas y administrativas proporcionales para proteger los datos personales y la evidencia de fraude.</w:t>
      </w:r>
    </w:p>
    <w:p>
      <w:pPr>
        <w:pStyle w:val="BodyText"/>
      </w:pPr>
      <w:r>
        <w:t xml:space="preserve">Estas medidas pueden incluir:</w:t>
      </w:r>
    </w:p>
    <w:p>
      <w:pPr>
        <w:pStyle w:val="Compact"/>
        <w:numPr>
          <w:ilvl w:val="0"/>
          <w:numId w:val="1016"/>
        </w:numPr>
      </w:pPr>
      <w:r>
        <w:t xml:space="preserve">control de acceso basado en roles;</w:t>
      </w:r>
    </w:p>
    <w:p>
      <w:pPr>
        <w:pStyle w:val="Compact"/>
        <w:numPr>
          <w:ilvl w:val="0"/>
          <w:numId w:val="1016"/>
        </w:numPr>
      </w:pPr>
      <w:r>
        <w:t xml:space="preserve">principio de mínimo privilegio;</w:t>
      </w:r>
    </w:p>
    <w:p>
      <w:pPr>
        <w:pStyle w:val="Compact"/>
        <w:numPr>
          <w:ilvl w:val="0"/>
          <w:numId w:val="1016"/>
        </w:numPr>
      </w:pPr>
      <w:r>
        <w:t xml:space="preserve">autenticación multifactor para accesos internos críticos;</w:t>
      </w:r>
    </w:p>
    <w:p>
      <w:pPr>
        <w:pStyle w:val="Compact"/>
        <w:numPr>
          <w:ilvl w:val="0"/>
          <w:numId w:val="1016"/>
        </w:numPr>
      </w:pPr>
      <w:r>
        <w:t xml:space="preserve">cifrado en tránsito;</w:t>
      </w:r>
    </w:p>
    <w:p>
      <w:pPr>
        <w:pStyle w:val="Compact"/>
        <w:numPr>
          <w:ilvl w:val="0"/>
          <w:numId w:val="1016"/>
        </w:numPr>
      </w:pPr>
      <w:r>
        <w:t xml:space="preserve">cifrado en reposo cuando corresponda;</w:t>
      </w:r>
    </w:p>
    <w:p>
      <w:pPr>
        <w:pStyle w:val="Compact"/>
        <w:numPr>
          <w:ilvl w:val="0"/>
          <w:numId w:val="1016"/>
        </w:numPr>
      </w:pPr>
      <w:r>
        <w:t xml:space="preserve">segregación de ambientes;</w:t>
      </w:r>
    </w:p>
    <w:p>
      <w:pPr>
        <w:pStyle w:val="Compact"/>
        <w:numPr>
          <w:ilvl w:val="0"/>
          <w:numId w:val="1016"/>
        </w:numPr>
      </w:pPr>
      <w:r>
        <w:t xml:space="preserve">gestión segura de credenciales;</w:t>
      </w:r>
    </w:p>
    <w:p>
      <w:pPr>
        <w:pStyle w:val="Compact"/>
        <w:numPr>
          <w:ilvl w:val="0"/>
          <w:numId w:val="1016"/>
        </w:numPr>
      </w:pPr>
      <w:r>
        <w:t xml:space="preserve">registros de actividad relevante;</w:t>
      </w:r>
    </w:p>
    <w:p>
      <w:pPr>
        <w:pStyle w:val="Compact"/>
        <w:numPr>
          <w:ilvl w:val="0"/>
          <w:numId w:val="1016"/>
        </w:numPr>
      </w:pPr>
      <w:r>
        <w:t xml:space="preserve">monitoreo de eventos anómalos;</w:t>
      </w:r>
    </w:p>
    <w:p>
      <w:pPr>
        <w:pStyle w:val="Compact"/>
        <w:numPr>
          <w:ilvl w:val="0"/>
          <w:numId w:val="1016"/>
        </w:numPr>
      </w:pPr>
      <w:r>
        <w:t xml:space="preserve">respaldos;</w:t>
      </w:r>
    </w:p>
    <w:p>
      <w:pPr>
        <w:pStyle w:val="Compact"/>
        <w:numPr>
          <w:ilvl w:val="0"/>
          <w:numId w:val="1016"/>
        </w:numPr>
      </w:pPr>
      <w:r>
        <w:t xml:space="preserve">revisión de vulnerabilidades;</w:t>
      </w:r>
    </w:p>
    <w:p>
      <w:pPr>
        <w:pStyle w:val="Compact"/>
        <w:numPr>
          <w:ilvl w:val="0"/>
          <w:numId w:val="1016"/>
        </w:numPr>
      </w:pPr>
      <w:r>
        <w:t xml:space="preserve">medidas de respuesta ante incidentes;</w:t>
      </w:r>
    </w:p>
    <w:p>
      <w:pPr>
        <w:pStyle w:val="Compact"/>
        <w:numPr>
          <w:ilvl w:val="0"/>
          <w:numId w:val="1016"/>
        </w:numPr>
      </w:pPr>
      <w:r>
        <w:t xml:space="preserve">acuerdos de confidencialidad;</w:t>
      </w:r>
    </w:p>
    <w:p>
      <w:pPr>
        <w:pStyle w:val="Compact"/>
        <w:numPr>
          <w:ilvl w:val="0"/>
          <w:numId w:val="1016"/>
        </w:numPr>
      </w:pPr>
      <w:r>
        <w:t xml:space="preserve">eliminación o anonimización de datos no necesarios.</w:t>
      </w:r>
    </w:p>
    <w:p>
      <w:pPr>
        <w:pStyle w:val="FirstParagraph"/>
      </w:pPr>
      <w:r>
        <w:t xml:space="preserve">Ninguna medida de seguridad elimina completamente el riesgo. Sin embargo, AlertaCuenta debe procurar que sus controles sean razonables, proporcionales y coherentes con la sensibilidad del servicio.</w:t>
      </w:r>
    </w:p>
    <w:p>
      <w:r>
        <w:pict>
          <v:rect style="width:0;height:1.5pt" o:hralign="center" o:hrstd="t" o:hr="t"/>
        </w:pict>
      </w:r>
    </w:p>
    <w:bookmarkEnd w:id="69"/>
    <w:bookmarkStart w:id="70" w:name="incidentes-de-seguridad"/>
    <w:p>
      <w:pPr>
        <w:pStyle w:val="Heading1"/>
      </w:pPr>
      <w:r>
        <w:t xml:space="preserve">15. Incidentes de seguridad</w:t>
      </w:r>
    </w:p>
    <w:p>
      <w:pPr>
        <w:pStyle w:val="FirstParagraph"/>
      </w:pPr>
      <w:r>
        <w:t xml:space="preserve">Si AlertaCuenta identifica un incidente de seguridad que pueda afectar datos personales, deberá activar un proceso razonable de análisis, contención, mitigación, documentación y comunicación.</w:t>
      </w:r>
    </w:p>
    <w:p>
      <w:pPr>
        <w:pStyle w:val="BodyText"/>
      </w:pPr>
      <w:r>
        <w:t xml:space="preserve">Cuando corresponda, AlertaCuenta notificará a los usuarios, clientes, aliados, autoridades o terceros pertinentes conforme a la normativa aplicable, contratos vigentes y nivel de riesgo del incidente.</w:t>
      </w:r>
    </w:p>
    <w:p>
      <w:pPr>
        <w:pStyle w:val="BodyText"/>
      </w:pPr>
      <w:r>
        <w:t xml:space="preserve">Los compromisos específicos de notificación, plazos, responsables y canales podrán detallarse en la Declaración de Seguridad, DPA, contrato o protocolo interno correspondiente.</w:t>
      </w:r>
    </w:p>
    <w:p>
      <w:r>
        <w:pict>
          <v:rect style="width:0;height:1.5pt" o:hralign="center" o:hrstd="t" o:hr="t"/>
        </w:pict>
      </w:r>
    </w:p>
    <w:bookmarkEnd w:id="70"/>
    <w:bookmarkStart w:id="77" w:name="derechos-de-los-titulares"/>
    <w:p>
      <w:pPr>
        <w:pStyle w:val="Heading1"/>
      </w:pPr>
      <w:r>
        <w:t xml:space="preserve">16. Derechos de los titulares</w:t>
      </w:r>
    </w:p>
    <w:p>
      <w:pPr>
        <w:pStyle w:val="FirstParagraph"/>
      </w:pPr>
      <w:r>
        <w:t xml:space="preserve">Los titulares de datos personales pueden ejercer los derechos reconocidos por la normativa aplicable.</w:t>
      </w:r>
    </w:p>
    <w:p>
      <w:pPr>
        <w:pStyle w:val="BodyText"/>
      </w:pPr>
      <w:r>
        <w:t xml:space="preserve">Estos derechos pueden incluir:</w:t>
      </w:r>
    </w:p>
    <w:bookmarkStart w:id="71" w:name="acceso"/>
    <w:p>
      <w:pPr>
        <w:pStyle w:val="Heading2"/>
      </w:pPr>
      <w:r>
        <w:t xml:space="preserve">16.1 Acceso</w:t>
      </w:r>
    </w:p>
    <w:p>
      <w:pPr>
        <w:pStyle w:val="FirstParagraph"/>
      </w:pPr>
      <w:r>
        <w:t xml:space="preserve">Solicitar información sobre si AlertaCuenta trata datos personales del titular y acceder a ellos cuando corresponda.</w:t>
      </w:r>
    </w:p>
    <w:bookmarkEnd w:id="71"/>
    <w:bookmarkStart w:id="72" w:name="rectificación"/>
    <w:p>
      <w:pPr>
        <w:pStyle w:val="Heading2"/>
      </w:pPr>
      <w:r>
        <w:t xml:space="preserve">16.2 Rectificación</w:t>
      </w:r>
    </w:p>
    <w:p>
      <w:pPr>
        <w:pStyle w:val="FirstParagraph"/>
      </w:pPr>
      <w:r>
        <w:t xml:space="preserve">Solicitar la corrección de datos inexactos, incompletos o desactualizados.</w:t>
      </w:r>
    </w:p>
    <w:bookmarkEnd w:id="72"/>
    <w:bookmarkStart w:id="73" w:name="supresión-o-cancelación"/>
    <w:p>
      <w:pPr>
        <w:pStyle w:val="Heading2"/>
      </w:pPr>
      <w:r>
        <w:t xml:space="preserve">16.3 Supresión o cancelación</w:t>
      </w:r>
    </w:p>
    <w:p>
      <w:pPr>
        <w:pStyle w:val="FirstParagraph"/>
      </w:pPr>
      <w:r>
        <w:t xml:space="preserve">Solicitar la eliminación de datos cuando no exista base para su conservación o cuando proceda conforme a la ley.</w:t>
      </w:r>
    </w:p>
    <w:bookmarkEnd w:id="73"/>
    <w:bookmarkStart w:id="74" w:name="oposición"/>
    <w:p>
      <w:pPr>
        <w:pStyle w:val="Heading2"/>
      </w:pPr>
      <w:r>
        <w:t xml:space="preserve">16.4 Oposición</w:t>
      </w:r>
    </w:p>
    <w:p>
      <w:pPr>
        <w:pStyle w:val="FirstParagraph"/>
      </w:pPr>
      <w:r>
        <w:t xml:space="preserve">Oponerse a determinados tratamientos cuando corresponda conforme a la normativa aplicable.</w:t>
      </w:r>
    </w:p>
    <w:bookmarkEnd w:id="74"/>
    <w:bookmarkStart w:id="75" w:name="portabilidad"/>
    <w:p>
      <w:pPr>
        <w:pStyle w:val="Heading2"/>
      </w:pPr>
      <w:r>
        <w:t xml:space="preserve">16.5 Portabilidad</w:t>
      </w:r>
    </w:p>
    <w:p>
      <w:pPr>
        <w:pStyle w:val="FirstParagraph"/>
      </w:pPr>
      <w:r>
        <w:t xml:space="preserve">Solicitar la entrega de datos en un formato estructurado, genérico y de uso común, cuando sea técnicamente posible y legalmente procedente.</w:t>
      </w:r>
    </w:p>
    <w:bookmarkEnd w:id="75"/>
    <w:bookmarkStart w:id="76" w:name="retiro-del-consentimiento"/>
    <w:p>
      <w:pPr>
        <w:pStyle w:val="Heading2"/>
      </w:pPr>
      <w:r>
        <w:t xml:space="preserve">16.6 Retiro del consentimiento</w:t>
      </w:r>
    </w:p>
    <w:p>
      <w:pPr>
        <w:pStyle w:val="FirstParagraph"/>
      </w:pPr>
      <w:r>
        <w:t xml:space="preserve">Retirar el consentimiento cuando el tratamiento se base en él, sin afectar la licitud del tratamiento realizado con anterioridad.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cómo-ejercer-derechos"/>
    <w:p>
      <w:pPr>
        <w:pStyle w:val="Heading1"/>
      </w:pPr>
      <w:r>
        <w:t xml:space="preserve">17. Cómo ejercer derechos</w:t>
      </w:r>
    </w:p>
    <w:p>
      <w:pPr>
        <w:pStyle w:val="FirstParagraph"/>
      </w:pPr>
      <w:r>
        <w:t xml:space="preserve">Para ejercer derechos o realizar consultas de privacidad, el titular puede contactar a AlertaCuenta mediante:</w:t>
      </w:r>
    </w:p>
    <w:p>
      <w:pPr>
        <w:pStyle w:val="BodyText"/>
      </w:pPr>
      <w:r>
        <w:rPr>
          <w:b/>
          <w:bCs/>
        </w:rPr>
        <w:t xml:space="preserve">Correo:</w:t>
      </w:r>
      <w:r>
        <w:t xml:space="preserve"> </w:t>
      </w:r>
      <w:r>
        <w:t xml:space="preserve">[privacidad@alertacuenta.cl]</w:t>
      </w:r>
      <w:r>
        <w:br/>
      </w:r>
      <w:r>
        <w:rPr>
          <w:b/>
          <w:bCs/>
        </w:rPr>
        <w:t xml:space="preserve">Formulario:</w:t>
      </w:r>
      <w:r>
        <w:t xml:space="preserve"> </w:t>
      </w:r>
      <w:r>
        <w:t xml:space="preserve">[●]</w:t>
      </w:r>
      <w:r>
        <w:br/>
      </w:r>
      <w:r>
        <w:rPr>
          <w:b/>
          <w:bCs/>
        </w:rPr>
        <w:t xml:space="preserve">Asunto sugerido:</w:t>
      </w:r>
      <w:r>
        <w:t xml:space="preserve"> </w:t>
      </w:r>
      <w:r>
        <w:t xml:space="preserve">Solicitud de derechos de datos personales</w:t>
      </w:r>
    </w:p>
    <w:p>
      <w:pPr>
        <w:pStyle w:val="BodyText"/>
      </w:pPr>
      <w:r>
        <w:t xml:space="preserve">La solicitud debe incluir, al menos:</w:t>
      </w:r>
    </w:p>
    <w:p>
      <w:pPr>
        <w:pStyle w:val="Compact"/>
        <w:numPr>
          <w:ilvl w:val="0"/>
          <w:numId w:val="1017"/>
        </w:numPr>
      </w:pPr>
      <w:r>
        <w:t xml:space="preserve">nombre del solicitante;</w:t>
      </w:r>
    </w:p>
    <w:p>
      <w:pPr>
        <w:pStyle w:val="Compact"/>
        <w:numPr>
          <w:ilvl w:val="0"/>
          <w:numId w:val="1017"/>
        </w:numPr>
      </w:pPr>
      <w:r>
        <w:t xml:space="preserve">medio de contacto;</w:t>
      </w:r>
    </w:p>
    <w:p>
      <w:pPr>
        <w:pStyle w:val="Compact"/>
        <w:numPr>
          <w:ilvl w:val="0"/>
          <w:numId w:val="1017"/>
        </w:numPr>
      </w:pPr>
      <w:r>
        <w:t xml:space="preserve">derecho que desea ejercer;</w:t>
      </w:r>
    </w:p>
    <w:p>
      <w:pPr>
        <w:pStyle w:val="Compact"/>
        <w:numPr>
          <w:ilvl w:val="0"/>
          <w:numId w:val="1017"/>
        </w:numPr>
      </w:pPr>
      <w:r>
        <w:t xml:space="preserve">descripción clara de la solicitud;</w:t>
      </w:r>
    </w:p>
    <w:p>
      <w:pPr>
        <w:pStyle w:val="Compact"/>
        <w:numPr>
          <w:ilvl w:val="0"/>
          <w:numId w:val="1017"/>
        </w:numPr>
      </w:pPr>
      <w:r>
        <w:t xml:space="preserve">antecedentes que permitan verificar identidad o representación cuando corresponda;</w:t>
      </w:r>
    </w:p>
    <w:p>
      <w:pPr>
        <w:pStyle w:val="Compact"/>
        <w:numPr>
          <w:ilvl w:val="0"/>
          <w:numId w:val="1017"/>
        </w:numPr>
      </w:pPr>
      <w:r>
        <w:t xml:space="preserve">datos o caso específico al que se refiere la solicitud, si aplica.</w:t>
      </w:r>
    </w:p>
    <w:p>
      <w:pPr>
        <w:pStyle w:val="FirstParagraph"/>
      </w:pPr>
      <w:r>
        <w:t xml:space="preserve">AlertaCuenta responderá dentro del plazo legal aplicable o dentro de un plazo razonable en fase de MVP, informando si necesita antecedentes adicionales para procesar la solicitud.</w:t>
      </w:r>
    </w:p>
    <w:p>
      <w:r>
        <w:pict>
          <v:rect style="width:0;height:1.5pt" o:hralign="center" o:hrstd="t" o:hr="t"/>
        </w:pict>
      </w:r>
    </w:p>
    <w:bookmarkEnd w:id="78"/>
    <w:bookmarkStart w:id="79" w:name="X57bc16b13f8eeb9a11df99a7d31c707f8c0f0cb"/>
    <w:p>
      <w:pPr>
        <w:pStyle w:val="Heading1"/>
      </w:pPr>
      <w:r>
        <w:t xml:space="preserve">18. Menores de edad, terceros y representación</w:t>
      </w:r>
    </w:p>
    <w:p>
      <w:pPr>
        <w:pStyle w:val="FirstParagraph"/>
      </w:pPr>
      <w:r>
        <w:t xml:space="preserve">AlertaCuenta no está dirigida especialmente a menores de edad. Si un menor de edad requiere ayuda por un caso de fraude o vulneración financiera, deberá actuar con apoyo de su representante legal o adulto responsable cuando corresponda.</w:t>
      </w:r>
    </w:p>
    <w:p>
      <w:pPr>
        <w:pStyle w:val="BodyText"/>
      </w:pPr>
      <w:r>
        <w:t xml:space="preserve">Si una persona entrega datos de terceros, declara contar con autorización suficiente o con una base legítima para hacerlo. Esto puede ocurrir, por ejemplo, cuando un familiar ayuda a una persona mayor, una víctima delega el reporte o un representante prepara antecedentes.</w:t>
      </w:r>
    </w:p>
    <w:p>
      <w:pPr>
        <w:pStyle w:val="BodyText"/>
      </w:pPr>
      <w:r>
        <w:t xml:space="preserve">AlertaCuenta podrá solicitar antecedentes adicionales para verificar representación o legitimidad cuando el caso lo requiera.</w:t>
      </w:r>
    </w:p>
    <w:p>
      <w:r>
        <w:pict>
          <v:rect style="width:0;height:1.5pt" o:hralign="center" o:hrstd="t" o:hr="t"/>
        </w:pict>
      </w:r>
    </w:p>
    <w:bookmarkEnd w:id="79"/>
    <w:bookmarkStart w:id="80" w:name="cookies-y-tecnologías-similares"/>
    <w:p>
      <w:pPr>
        <w:pStyle w:val="Heading1"/>
      </w:pPr>
      <w:r>
        <w:t xml:space="preserve">19. Cookies y tecnologías similares</w:t>
      </w:r>
    </w:p>
    <w:p>
      <w:pPr>
        <w:pStyle w:val="FirstParagraph"/>
      </w:pPr>
      <w:r>
        <w:t xml:space="preserve">El sitio de AlertaCuenta puede utilizar cookies y tecnologías similares para funcionamiento técnico, seguridad, medición, análisis y mejora de experiencia.</w:t>
      </w:r>
    </w:p>
    <w:p>
      <w:pPr>
        <w:pStyle w:val="BodyText"/>
      </w:pPr>
      <w:r>
        <w:t xml:space="preserve">Las cookies estrictamente necesarias pueden operar para permitir navegación, seguridad básica, gestión de preferencias o prestación del servicio solicitado.</w:t>
      </w:r>
    </w:p>
    <w:p>
      <w:pPr>
        <w:pStyle w:val="BodyText"/>
      </w:pPr>
      <w:r>
        <w:t xml:space="preserve">Las cookies analíticas, de preferencias o marketing, cuando existan y no sean esenciales, deberán quedar sujetas a consentimiento previo cuando corresponda.</w:t>
      </w:r>
    </w:p>
    <w:p>
      <w:pPr>
        <w:pStyle w:val="BodyText"/>
      </w:pPr>
      <w:r>
        <w:t xml:space="preserve">El detalle de categorías, finalidades y configuración se regulará en la Política de Cookies de AlertaCuenta.</w:t>
      </w:r>
    </w:p>
    <w:p>
      <w:r>
        <w:pict>
          <v:rect style="width:0;height:1.5pt" o:hralign="center" o:hrstd="t" o:hr="t"/>
        </w:pict>
      </w:r>
    </w:p>
    <w:bookmarkEnd w:id="80"/>
    <w:bookmarkStart w:id="81" w:name="comunicaciones"/>
    <w:p>
      <w:pPr>
        <w:pStyle w:val="Heading1"/>
      </w:pPr>
      <w:r>
        <w:t xml:space="preserve">20. Comunicaciones</w:t>
      </w:r>
    </w:p>
    <w:p>
      <w:pPr>
        <w:pStyle w:val="FirstParagraph"/>
      </w:pPr>
      <w:r>
        <w:t xml:space="preserve">AlertaCuenta puede enviar comunicaciones operativas, de seguridad, soporte, seguimiento, información del caso, confirmación de recepción, documentos generados, actualizaciones relevantes o respuestas a solicitudes.</w:t>
      </w:r>
    </w:p>
    <w:p>
      <w:pPr>
        <w:pStyle w:val="BodyText"/>
      </w:pPr>
      <w:r>
        <w:t xml:space="preserve">Las comunicaciones comerciales o informativas no esenciales podrán quedar sujetas a consentimiento, preferencias del usuario o mecanismos de exclusión cuando corresponda.</w:t>
      </w:r>
    </w:p>
    <w:p>
      <w:r>
        <w:pict>
          <v:rect style="width:0;height:1.5pt" o:hralign="center" o:hrstd="t" o:hr="t"/>
        </w:pict>
      </w:r>
    </w:p>
    <w:bookmarkEnd w:id="81"/>
    <w:bookmarkStart w:id="82" w:name="cambios-a-esta-política"/>
    <w:p>
      <w:pPr>
        <w:pStyle w:val="Heading1"/>
      </w:pPr>
      <w:r>
        <w:t xml:space="preserve">21. Cambios a esta Política</w:t>
      </w:r>
    </w:p>
    <w:p>
      <w:pPr>
        <w:pStyle w:val="FirstParagraph"/>
      </w:pPr>
      <w:r>
        <w:t xml:space="preserve">AlertaCuenta podrá actualizar esta Política para reflejar cambios legales, técnicos, operativos, de proveedores, de modelo de negocio o de gobernanza.</w:t>
      </w:r>
    </w:p>
    <w:p>
      <w:pPr>
        <w:pStyle w:val="BodyText"/>
      </w:pPr>
      <w:r>
        <w:t xml:space="preserve">La versión vigente será la publicada en el sitio web o repositorio oficial de AlertaCuenta, con indicación de fecha de actualización.</w:t>
      </w:r>
    </w:p>
    <w:p>
      <w:pPr>
        <w:pStyle w:val="BodyText"/>
      </w:pPr>
      <w:r>
        <w:t xml:space="preserve">Si los cambios son relevantes, AlertaCuenta procurará informarlos mediante canales razonables, especialmente cuando afecten finalidades, bases de tratamiento, categorías de datos, proveedores relevantes o derechos de los usuarios.</w:t>
      </w:r>
    </w:p>
    <w:p>
      <w:r>
        <w:pict>
          <v:rect style="width:0;height:1.5pt" o:hralign="center" o:hrstd="t" o:hr="t"/>
        </w:pict>
      </w:r>
    </w:p>
    <w:bookmarkEnd w:id="82"/>
    <w:bookmarkStart w:id="83" w:name="lectura-conjunta"/>
    <w:p>
      <w:pPr>
        <w:pStyle w:val="Heading1"/>
      </w:pPr>
      <w:r>
        <w:t xml:space="preserve">22. Lectura conjunta</w:t>
      </w:r>
    </w:p>
    <w:p>
      <w:pPr>
        <w:pStyle w:val="FirstParagraph"/>
      </w:pPr>
      <w:r>
        <w:t xml:space="preserve">Esta Política debe leerse junto con los siguientes documentos del Centro de Confianza AlertaCuenta:</w:t>
      </w:r>
    </w:p>
    <w:p>
      <w:pPr>
        <w:pStyle w:val="Compact"/>
        <w:numPr>
          <w:ilvl w:val="0"/>
          <w:numId w:val="1018"/>
        </w:numPr>
      </w:pPr>
      <w:r>
        <w:t xml:space="preserve">Centro de Confianza;</w:t>
      </w:r>
    </w:p>
    <w:p>
      <w:pPr>
        <w:pStyle w:val="Compact"/>
        <w:numPr>
          <w:ilvl w:val="0"/>
          <w:numId w:val="1018"/>
        </w:numPr>
      </w:pPr>
      <w:r>
        <w:t xml:space="preserve">Aviso Especial de Datos Financieros y Evidencia de Fraude;</w:t>
      </w:r>
    </w:p>
    <w:p>
      <w:pPr>
        <w:pStyle w:val="Compact"/>
        <w:numPr>
          <w:ilvl w:val="0"/>
          <w:numId w:val="1018"/>
        </w:numPr>
      </w:pPr>
      <w:r>
        <w:t xml:space="preserve">Términos de Uso;</w:t>
      </w:r>
    </w:p>
    <w:p>
      <w:pPr>
        <w:pStyle w:val="Compact"/>
        <w:numPr>
          <w:ilvl w:val="0"/>
          <w:numId w:val="1018"/>
        </w:numPr>
      </w:pPr>
      <w:r>
        <w:t xml:space="preserve">Política de Cookies;</w:t>
      </w:r>
    </w:p>
    <w:p>
      <w:pPr>
        <w:pStyle w:val="Compact"/>
        <w:numPr>
          <w:ilvl w:val="0"/>
          <w:numId w:val="1018"/>
        </w:numPr>
      </w:pPr>
      <w:r>
        <w:t xml:space="preserve">Declaración de Seguridad de la Información;</w:t>
      </w:r>
    </w:p>
    <w:p>
      <w:pPr>
        <w:pStyle w:val="Compact"/>
        <w:numPr>
          <w:ilvl w:val="0"/>
          <w:numId w:val="1018"/>
        </w:numPr>
      </w:pPr>
      <w:r>
        <w:t xml:space="preserve">Política de Gobierno de Datos;</w:t>
      </w:r>
    </w:p>
    <w:p>
      <w:pPr>
        <w:pStyle w:val="Compact"/>
        <w:numPr>
          <w:ilvl w:val="0"/>
          <w:numId w:val="1018"/>
        </w:numPr>
      </w:pPr>
      <w:r>
        <w:t xml:space="preserve">Política de Gobernanza de Inteligencia Artificial;</w:t>
      </w:r>
    </w:p>
    <w:p>
      <w:pPr>
        <w:pStyle w:val="Compact"/>
        <w:numPr>
          <w:ilvl w:val="0"/>
          <w:numId w:val="1018"/>
        </w:numPr>
      </w:pPr>
      <w:r>
        <w:t xml:space="preserve">DPA o Acuerdo de Tratamiento de Datos, cuando corresponda.</w:t>
      </w:r>
    </w:p>
    <w:p>
      <w:r>
        <w:pict>
          <v:rect style="width:0;height:1.5pt" o:hralign="center" o:hrstd="t" o:hr="t"/>
        </w:pict>
      </w:r>
    </w:p>
    <w:bookmarkEnd w:id="83"/>
    <w:bookmarkStart w:id="84" w:name="mensaje-final-al-usuario"/>
    <w:p>
      <w:pPr>
        <w:pStyle w:val="Heading1"/>
      </w:pPr>
      <w:r>
        <w:t xml:space="preserve">23. Mensaje final al usuario</w:t>
      </w:r>
    </w:p>
    <w:p>
      <w:pPr>
        <w:pStyle w:val="FirstParagraph"/>
      </w:pPr>
      <w:r>
        <w:t xml:space="preserve">AlertaCuenta trata información delicada porque los casos de fraude financiero pueden afectar dinero, identidad, tranquilidad y confianza. Por eso, esta Política no debe entenderse como una formalidad aislada, sino como parte del diseño de una plataforma que busca proteger a las personas desde el primer contacto.</w:t>
      </w:r>
    </w:p>
    <w:p>
      <w:pPr>
        <w:pStyle w:val="BodyText"/>
      </w:pPr>
      <w:r>
        <w:rPr>
          <w:b/>
          <w:bCs/>
        </w:rPr>
        <w:t xml:space="preserve">No compartas claves. No entregues códigos. No instales aplicaciones por instrucción de desconocidos. Conserva evidencia. Usa canales oficiales. Y pide ayuda a tiempo.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2026-05-07T03:28:30Z</dcterms:created>
  <dcterms:modified xsi:type="dcterms:W3CDTF">2026-05-07T03:28:30Z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