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eb84a767aa3016644c38b2bdb80d9b68a31f69"/>
    <w:p>
      <w:pPr>
        <w:pStyle w:val="Heading1"/>
      </w:pPr>
      <w:r>
        <w:t xml:space="preserve">Política de Gobernanza de Inteligencia Artificial — AlertaCuenta</w:t>
      </w:r>
    </w:p>
    <w:p>
      <w:pPr>
        <w:pStyle w:val="FirstParagraph"/>
      </w:pPr>
      <w:r>
        <w:rPr>
          <w:b/>
          <w:bCs/>
        </w:rPr>
        <w:t xml:space="preserve">Versión:</w:t>
      </w:r>
      <w:r>
        <w:t xml:space="preserve"> </w:t>
      </w:r>
      <w:r>
        <w:t xml:space="preserve">MVP / Hackathon</w:t>
      </w:r>
      <w:r>
        <w:br/>
      </w:r>
      <w:r>
        <w:rPr>
          <w:b/>
          <w:bCs/>
        </w:rPr>
        <w:t xml:space="preserve">Fecha:</w:t>
      </w:r>
      <w:r>
        <w:t xml:space="preserve"> </w:t>
      </w:r>
      <w:r>
        <w:t xml:space="preserve">[●]</w:t>
      </w:r>
      <w:r>
        <w:br/>
      </w:r>
      <w:r>
        <w:rPr>
          <w:b/>
          <w:bCs/>
        </w:rPr>
        <w:t xml:space="preserve">Entidad responsable:</w:t>
      </w:r>
      <w:r>
        <w:t xml:space="preserve"> </w:t>
      </w:r>
      <w:r>
        <w:t xml:space="preserve">[AlertaCuenta / razón social por definir]</w:t>
      </w:r>
      <w:r>
        <w:br/>
      </w:r>
      <w:r>
        <w:rPr>
          <w:b/>
          <w:bCs/>
        </w:rPr>
        <w:t xml:space="preserve">Ámbito:</w:t>
      </w:r>
      <w:r>
        <w:t xml:space="preserve"> </w:t>
      </w:r>
      <w:r>
        <w:t xml:space="preserve">Plataforma, asistentes, flujos guiados, automatizaciones, generación documental y análisis de casos</w:t>
      </w:r>
      <w:r>
        <w:br/>
      </w:r>
      <w:r>
        <w:rPr>
          <w:b/>
          <w:bCs/>
        </w:rPr>
        <w:t xml:space="preserve">Canal de contacto:</w:t>
      </w:r>
      <w:r>
        <w:t xml:space="preserve"> </w:t>
      </w:r>
      <w:r>
        <w:t xml:space="preserve">[soporte@alertacuenta.cl / formulario web]</w:t>
      </w:r>
      <w:r>
        <w:br/>
      </w:r>
      <w:r>
        <w:rPr>
          <w:b/>
          <w:bCs/>
        </w:rPr>
        <w:t xml:space="preserve">Canal de privacidad:</w:t>
      </w:r>
      <w:r>
        <w:t xml:space="preserve"> </w:t>
      </w:r>
      <w:r>
        <w:t xml:space="preserve">[privacidad@alertacuenta.cl / formulario web]</w:t>
      </w:r>
    </w:p>
    <w:p>
      <w:r>
        <w:pict>
          <v:rect style="width:0;height:1.5pt" o:hralign="center" o:hrstd="t" o:hr="t"/>
        </w:pict>
      </w:r>
    </w:p>
    <w:bookmarkStart w:id="20" w:name="resumen-simple"/>
    <w:p>
      <w:pPr>
        <w:pStyle w:val="Heading2"/>
      </w:pPr>
      <w:r>
        <w:t xml:space="preserve">Resumen simple</w:t>
      </w:r>
    </w:p>
    <w:p>
      <w:pPr>
        <w:pStyle w:val="FirstParagraph"/>
      </w:pPr>
      <w:r>
        <w:t xml:space="preserve">AlertaCuenta puede utilizar inteligencia artificial para ayudar a personas que enfrentan una urgencia, sospecha o experiencia de fraude financiero. La IA puede ordenar relatos, transcribir audios, clasificar preliminarmente casos, identificar información faltante, sugerir medidas iniciales y generar borradores de documentos.</w:t>
      </w:r>
    </w:p>
    <w:p>
      <w:pPr>
        <w:pStyle w:val="BodyText"/>
      </w:pPr>
      <w:r>
        <w:t xml:space="preserve">Pero la IA no debe decidir sola cuestiones críticas.</w:t>
      </w:r>
    </w:p>
    <w:p>
      <w:pPr>
        <w:pStyle w:val="BodyText"/>
      </w:pPr>
      <w:r>
        <w:t xml:space="preserve">En AlertaCuenta, la inteligencia artificial debe funcionar como una herramienta de apoyo, no como sustituto automático del juicio humano, la revisión profesional, los canales oficiales del banco o las decisiones de autoridades competentes.</w:t>
      </w:r>
    </w:p>
    <w:p>
      <w:pPr>
        <w:pStyle w:val="BlockText"/>
      </w:pPr>
      <w:r>
        <w:rPr>
          <w:b/>
          <w:bCs/>
        </w:rPr>
        <w:t xml:space="preserve">Principio central:</w:t>
      </w:r>
      <w:r>
        <w:t xml:space="preserve"> </w:t>
      </w:r>
      <w:r>
        <w:t xml:space="preserve">mientras mayor sea el impacto del caso, mayor debe ser la revisión, trazabilidad y supervisión humana.</w:t>
      </w:r>
    </w:p>
    <w:p>
      <w:r>
        <w:pict>
          <v:rect style="width:0;height:1.5pt" o:hralign="center" o:hrstd="t" o:hr="t"/>
        </w:pict>
      </w:r>
    </w:p>
    <w:bookmarkEnd w:id="20"/>
    <w:bookmarkEnd w:id="21"/>
    <w:bookmarkStart w:id="22" w:name="objetivo-de-esta-política"/>
    <w:p>
      <w:pPr>
        <w:pStyle w:val="Heading1"/>
      </w:pPr>
      <w:r>
        <w:t xml:space="preserve">1. Objetivo de esta Política</w:t>
      </w:r>
    </w:p>
    <w:p>
      <w:pPr>
        <w:pStyle w:val="FirstParagraph"/>
      </w:pPr>
      <w:r>
        <w:t xml:space="preserve">Esta Política establece el marco de uso responsable, seguro y trazable de sistemas de inteligencia artificial en AlertaCuenta.</w:t>
      </w:r>
    </w:p>
    <w:p>
      <w:pPr>
        <w:pStyle w:val="BodyText"/>
      </w:pPr>
      <w:r>
        <w:t xml:space="preserve">Su objetivo es definir principios, límites, responsabilidades y controles para que la IA se utilice de manera:</w:t>
      </w:r>
    </w:p>
    <w:p>
      <w:pPr>
        <w:pStyle w:val="Compact"/>
        <w:numPr>
          <w:ilvl w:val="0"/>
          <w:numId w:val="1001"/>
        </w:numPr>
      </w:pPr>
      <w:r>
        <w:t xml:space="preserve">legítima;</w:t>
      </w:r>
    </w:p>
    <w:p>
      <w:pPr>
        <w:pStyle w:val="Compact"/>
        <w:numPr>
          <w:ilvl w:val="0"/>
          <w:numId w:val="1001"/>
        </w:numPr>
      </w:pPr>
      <w:r>
        <w:t xml:space="preserve">segura;</w:t>
      </w:r>
    </w:p>
    <w:p>
      <w:pPr>
        <w:pStyle w:val="Compact"/>
        <w:numPr>
          <w:ilvl w:val="0"/>
          <w:numId w:val="1001"/>
        </w:numPr>
      </w:pPr>
      <w:r>
        <w:t xml:space="preserve">transparente;</w:t>
      </w:r>
    </w:p>
    <w:p>
      <w:pPr>
        <w:pStyle w:val="Compact"/>
        <w:numPr>
          <w:ilvl w:val="0"/>
          <w:numId w:val="1001"/>
        </w:numPr>
      </w:pPr>
      <w:r>
        <w:t xml:space="preserve">proporcional al riesgo;</w:t>
      </w:r>
    </w:p>
    <w:p>
      <w:pPr>
        <w:pStyle w:val="Compact"/>
        <w:numPr>
          <w:ilvl w:val="0"/>
          <w:numId w:val="1001"/>
        </w:numPr>
      </w:pPr>
      <w:r>
        <w:t xml:space="preserve">útil para el usuario;</w:t>
      </w:r>
    </w:p>
    <w:p>
      <w:pPr>
        <w:pStyle w:val="Compact"/>
        <w:numPr>
          <w:ilvl w:val="0"/>
          <w:numId w:val="1001"/>
        </w:numPr>
      </w:pPr>
      <w:r>
        <w:t xml:space="preserve">respetuosa de sus datos;</w:t>
      </w:r>
    </w:p>
    <w:p>
      <w:pPr>
        <w:pStyle w:val="Compact"/>
        <w:numPr>
          <w:ilvl w:val="0"/>
          <w:numId w:val="1001"/>
        </w:numPr>
      </w:pPr>
      <w:r>
        <w:t xml:space="preserve">coherente con la finalidad antifraude de la plataforma;</w:t>
      </w:r>
    </w:p>
    <w:p>
      <w:pPr>
        <w:pStyle w:val="Compact"/>
        <w:numPr>
          <w:ilvl w:val="0"/>
          <w:numId w:val="1001"/>
        </w:numPr>
      </w:pPr>
      <w:r>
        <w:t xml:space="preserve">sujeta a revisión humana cuando corresponda.</w:t>
      </w:r>
    </w:p>
    <w:p>
      <w:pPr>
        <w:pStyle w:val="FirstParagraph"/>
      </w:pPr>
      <w:r>
        <w:t xml:space="preserve">Esta Política forma parte del Centro de Confianza de AlertaCuenta y debe leerse junto con la Política de Privacidad, los Términos de Uso, el Aviso Especial de Datos Financieros y Evidencia de Fraude, la Declaración de Seguridad de la Información y la Política de Gobierno de Datos.</w:t>
      </w:r>
    </w:p>
    <w:p>
      <w:r>
        <w:pict>
          <v:rect style="width:0;height:1.5pt" o:hralign="center" o:hrstd="t" o:hr="t"/>
        </w:pict>
      </w:r>
    </w:p>
    <w:bookmarkEnd w:id="22"/>
    <w:bookmarkStart w:id="23" w:name="alcance"/>
    <w:p>
      <w:pPr>
        <w:pStyle w:val="Heading1"/>
      </w:pPr>
      <w:r>
        <w:t xml:space="preserve">2. Alcance</w:t>
      </w:r>
    </w:p>
    <w:p>
      <w:pPr>
        <w:pStyle w:val="FirstParagraph"/>
      </w:pPr>
      <w:r>
        <w:t xml:space="preserve">Esta Política aplica a los sistemas, herramientas, modelos, asistentes, flujos, automatizaciones y proveedores de IA utilizados por AlertaCuenta.</w:t>
      </w:r>
    </w:p>
    <w:p>
      <w:pPr>
        <w:pStyle w:val="BodyText"/>
      </w:pPr>
      <w:r>
        <w:t xml:space="preserve">Puede cubrir, entre otros:</w:t>
      </w:r>
    </w:p>
    <w:p>
      <w:pPr>
        <w:pStyle w:val="Compact"/>
        <w:numPr>
          <w:ilvl w:val="0"/>
          <w:numId w:val="1002"/>
        </w:numPr>
      </w:pPr>
      <w:r>
        <w:t xml:space="preserve">asistentes conversacionales;</w:t>
      </w:r>
    </w:p>
    <w:p>
      <w:pPr>
        <w:pStyle w:val="Compact"/>
        <w:numPr>
          <w:ilvl w:val="0"/>
          <w:numId w:val="1002"/>
        </w:numPr>
      </w:pPr>
      <w:r>
        <w:t xml:space="preserve">chatbots de primera respuesta;</w:t>
      </w:r>
    </w:p>
    <w:p>
      <w:pPr>
        <w:pStyle w:val="Compact"/>
        <w:numPr>
          <w:ilvl w:val="0"/>
          <w:numId w:val="1002"/>
        </w:numPr>
      </w:pPr>
      <w:r>
        <w:t xml:space="preserve">transcripción de audio a texto;</w:t>
      </w:r>
    </w:p>
    <w:p>
      <w:pPr>
        <w:pStyle w:val="Compact"/>
        <w:numPr>
          <w:ilvl w:val="0"/>
          <w:numId w:val="1002"/>
        </w:numPr>
      </w:pPr>
      <w:r>
        <w:t xml:space="preserve">clasificación preliminar de eventos;</w:t>
      </w:r>
    </w:p>
    <w:p>
      <w:pPr>
        <w:pStyle w:val="Compact"/>
        <w:numPr>
          <w:ilvl w:val="0"/>
          <w:numId w:val="1002"/>
        </w:numPr>
      </w:pPr>
      <w:r>
        <w:t xml:space="preserve">extracción de datos desde relatos o documentos;</w:t>
      </w:r>
    </w:p>
    <w:p>
      <w:pPr>
        <w:pStyle w:val="Compact"/>
        <w:numPr>
          <w:ilvl w:val="0"/>
          <w:numId w:val="1002"/>
        </w:numPr>
      </w:pPr>
      <w:r>
        <w:t xml:space="preserve">generación de resúmenes;</w:t>
      </w:r>
    </w:p>
    <w:p>
      <w:pPr>
        <w:pStyle w:val="Compact"/>
        <w:numPr>
          <w:ilvl w:val="0"/>
          <w:numId w:val="1002"/>
        </w:numPr>
      </w:pPr>
      <w:r>
        <w:t xml:space="preserve">generación de checklists;</w:t>
      </w:r>
    </w:p>
    <w:p>
      <w:pPr>
        <w:pStyle w:val="Compact"/>
        <w:numPr>
          <w:ilvl w:val="0"/>
          <w:numId w:val="1002"/>
        </w:numPr>
      </w:pPr>
      <w:r>
        <w:t xml:space="preserve">preparación de borradores de reclamos, cartas, minutas o documentos;</w:t>
      </w:r>
    </w:p>
    <w:p>
      <w:pPr>
        <w:pStyle w:val="Compact"/>
        <w:numPr>
          <w:ilvl w:val="0"/>
          <w:numId w:val="1002"/>
        </w:numPr>
      </w:pPr>
      <w:r>
        <w:t xml:space="preserve">análisis de evidencia;</w:t>
      </w:r>
    </w:p>
    <w:p>
      <w:pPr>
        <w:pStyle w:val="Compact"/>
        <w:numPr>
          <w:ilvl w:val="0"/>
          <w:numId w:val="1002"/>
        </w:numPr>
      </w:pPr>
      <w:r>
        <w:t xml:space="preserve">priorización de urgencias;</w:t>
      </w:r>
    </w:p>
    <w:p>
      <w:pPr>
        <w:pStyle w:val="Compact"/>
        <w:numPr>
          <w:ilvl w:val="0"/>
          <w:numId w:val="1002"/>
        </w:numPr>
      </w:pPr>
      <w:r>
        <w:t xml:space="preserve">detección de información faltante;</w:t>
      </w:r>
    </w:p>
    <w:p>
      <w:pPr>
        <w:pStyle w:val="Compact"/>
        <w:numPr>
          <w:ilvl w:val="0"/>
          <w:numId w:val="1002"/>
        </w:numPr>
      </w:pPr>
      <w:r>
        <w:t xml:space="preserve">evaluación de consistencia del relato;</w:t>
      </w:r>
    </w:p>
    <w:p>
      <w:pPr>
        <w:pStyle w:val="Compact"/>
        <w:numPr>
          <w:ilvl w:val="0"/>
          <w:numId w:val="1002"/>
        </w:numPr>
      </w:pPr>
      <w:r>
        <w:t xml:space="preserve">sistemas de monitoreo, seguridad o prevención de abuso;</w:t>
      </w:r>
    </w:p>
    <w:p>
      <w:pPr>
        <w:pStyle w:val="Compact"/>
        <w:numPr>
          <w:ilvl w:val="0"/>
          <w:numId w:val="1002"/>
        </w:numPr>
      </w:pPr>
      <w:r>
        <w:t xml:space="preserve">herramientas internas de revisión o soporte.</w:t>
      </w:r>
    </w:p>
    <w:p>
      <w:pPr>
        <w:pStyle w:val="FirstParagraph"/>
      </w:pPr>
      <w:r>
        <w:t xml:space="preserve">Esta Política aplica tanto a IA desarrollada internamente como a modelos, APIs, servicios o componentes provistos por terceros.</w:t>
      </w:r>
    </w:p>
    <w:p>
      <w:r>
        <w:pict>
          <v:rect style="width:0;height:1.5pt" o:hralign="center" o:hrstd="t" o:hr="t"/>
        </w:pict>
      </w:r>
    </w:p>
    <w:bookmarkEnd w:id="23"/>
    <w:bookmarkStart w:id="33" w:name="principios-rectores"/>
    <w:p>
      <w:pPr>
        <w:pStyle w:val="Heading1"/>
      </w:pPr>
      <w:r>
        <w:t xml:space="preserve">3. Principios rectores</w:t>
      </w:r>
    </w:p>
    <w:p>
      <w:pPr>
        <w:pStyle w:val="FirstParagraph"/>
      </w:pPr>
      <w:r>
        <w:t xml:space="preserve">El uso de IA en AlertaCuenta debe orientarse por los siguientes principios.</w:t>
      </w:r>
    </w:p>
    <w:bookmarkStart w:id="24" w:name="legalidad-y-finalidad-legítima"/>
    <w:p>
      <w:pPr>
        <w:pStyle w:val="Heading2"/>
      </w:pPr>
      <w:r>
        <w:t xml:space="preserve">3.1 Legalidad y finalidad legítima</w:t>
      </w:r>
    </w:p>
    <w:p>
      <w:pPr>
        <w:pStyle w:val="FirstParagraph"/>
      </w:pPr>
      <w:r>
        <w:t xml:space="preserve">La IA debe utilizarse para finalidades compatibles con el servicio: orientar, contener, ordenar evidencia, preparar antecedentes, generar documentos, mejorar seguridad y apoyar la gestión de casos de fraude financiero.</w:t>
      </w:r>
    </w:p>
    <w:p>
      <w:pPr>
        <w:pStyle w:val="BodyText"/>
      </w:pPr>
      <w:r>
        <w:t xml:space="preserve">No debe utilizarse para finalidades incompatibles, abusivas, fraudulentas, discriminatorias, engañosas o no informadas.</w:t>
      </w:r>
    </w:p>
    <w:bookmarkEnd w:id="24"/>
    <w:bookmarkStart w:id="25" w:name="protección-del-usuario-vulnerable"/>
    <w:p>
      <w:pPr>
        <w:pStyle w:val="Heading2"/>
      </w:pPr>
      <w:r>
        <w:t xml:space="preserve">3.2 Protección del usuario vulnerable</w:t>
      </w:r>
    </w:p>
    <w:p>
      <w:pPr>
        <w:pStyle w:val="FirstParagraph"/>
      </w:pPr>
      <w:r>
        <w:t xml:space="preserve">AlertaCuenta atiende a personas que pueden estar bajo presión, miedo, confusión, vergüenza, urgencia o pérdida patrimonial. Por ello, la IA debe diseñarse para reducir fricción, evitar abuso, comunicar con claridad y no aumentar el riesgo de error o exposición.</w:t>
      </w:r>
    </w:p>
    <w:bookmarkEnd w:id="25"/>
    <w:bookmarkStart w:id="26" w:name="supervisión-humana-proporcional"/>
    <w:p>
      <w:pPr>
        <w:pStyle w:val="Heading2"/>
      </w:pPr>
      <w:r>
        <w:t xml:space="preserve">3.3 Supervisión humana proporcional</w:t>
      </w:r>
    </w:p>
    <w:p>
      <w:pPr>
        <w:pStyle w:val="FirstParagraph"/>
      </w:pPr>
      <w:r>
        <w:t xml:space="preserve">La revisión humana debe aumentar según la criticidad del caso, el tipo de documento, el nivel de incertidumbre, la sensibilidad de los datos y el posible impacto para el usuario.</w:t>
      </w:r>
    </w:p>
    <w:bookmarkEnd w:id="26"/>
    <w:bookmarkStart w:id="27" w:name="transparencia-razonable"/>
    <w:p>
      <w:pPr>
        <w:pStyle w:val="Heading2"/>
      </w:pPr>
      <w:r>
        <w:t xml:space="preserve">3.4 Transparencia razonable</w:t>
      </w:r>
    </w:p>
    <w:p>
      <w:pPr>
        <w:pStyle w:val="FirstParagraph"/>
      </w:pPr>
      <w:r>
        <w:t xml:space="preserve">El usuario debe poder entender cuándo está interactuando con un sistema automatizado o asistido por IA, cuál es su función general y cuáles son sus límites.</w:t>
      </w:r>
    </w:p>
    <w:bookmarkEnd w:id="27"/>
    <w:bookmarkStart w:id="28" w:name="seguridad-y-resiliencia"/>
    <w:p>
      <w:pPr>
        <w:pStyle w:val="Heading2"/>
      </w:pPr>
      <w:r>
        <w:t xml:space="preserve">3.5 Seguridad y resiliencia</w:t>
      </w:r>
    </w:p>
    <w:p>
      <w:pPr>
        <w:pStyle w:val="FirstParagraph"/>
      </w:pPr>
      <w:r>
        <w:t xml:space="preserve">Los sistemas de IA deben operar con controles razonables para prevenir abuso, manipulación, exposición de información, prompt injection, extracción indebida, generación de contenido dañino o pérdida de integridad del sistema.</w:t>
      </w:r>
    </w:p>
    <w:bookmarkEnd w:id="28"/>
    <w:bookmarkStart w:id="29" w:name="calidad-de-datos-e-información"/>
    <w:p>
      <w:pPr>
        <w:pStyle w:val="Heading2"/>
      </w:pPr>
      <w:r>
        <w:t xml:space="preserve">3.6 Calidad de datos e información</w:t>
      </w:r>
    </w:p>
    <w:p>
      <w:pPr>
        <w:pStyle w:val="FirstParagraph"/>
      </w:pPr>
      <w:r>
        <w:t xml:space="preserve">La calidad del resultado depende de la calidad del relato, documentos y antecedentes entregados. La plataforma debe advertir al usuario cuando falte información relevante o existan inconsistencias.</w:t>
      </w:r>
    </w:p>
    <w:bookmarkEnd w:id="29"/>
    <w:bookmarkStart w:id="30" w:name="minimización-de-datos"/>
    <w:p>
      <w:pPr>
        <w:pStyle w:val="Heading2"/>
      </w:pPr>
      <w:r>
        <w:t xml:space="preserve">3.7 Minimización de datos</w:t>
      </w:r>
    </w:p>
    <w:p>
      <w:pPr>
        <w:pStyle w:val="FirstParagraph"/>
      </w:pPr>
      <w:r>
        <w:t xml:space="preserve">La IA debe utilizar solo la información necesaria para cumplir la finalidad correspondiente. Debe evitarse enviar datos excesivos, innecesarios o especialmente riesgosos a modelos o proveedores externos.</w:t>
      </w:r>
    </w:p>
    <w:bookmarkEnd w:id="30"/>
    <w:bookmarkStart w:id="31" w:name="trazabilidad"/>
    <w:p>
      <w:pPr>
        <w:pStyle w:val="Heading2"/>
      </w:pPr>
      <w:r>
        <w:t xml:space="preserve">3.8 Trazabilidad</w:t>
      </w:r>
    </w:p>
    <w:p>
      <w:pPr>
        <w:pStyle w:val="FirstParagraph"/>
      </w:pPr>
      <w:r>
        <w:t xml:space="preserve">Cuando sea razonable, las decisiones, outputs, versiones, prompts relevantes, documentos generados, revisiones y acciones críticas deben quedar registradas para permitir auditoría, mejora y revisión posterior.</w:t>
      </w:r>
    </w:p>
    <w:bookmarkEnd w:id="31"/>
    <w:bookmarkStart w:id="32" w:name="X22375401806d95789730d11e6d464282cb6a4cf"/>
    <w:p>
      <w:pPr>
        <w:pStyle w:val="Heading2"/>
      </w:pPr>
      <w:r>
        <w:t xml:space="preserve">3.9 No sustitución automática de criterio profesional</w:t>
      </w:r>
    </w:p>
    <w:p>
      <w:pPr>
        <w:pStyle w:val="FirstParagraph"/>
      </w:pPr>
      <w:r>
        <w:t xml:space="preserve">La IA puede asistir, pero no debe reemplazar automáticamente el criterio humano en materias legales, financieras, regulatorias, de seguridad o de alto impacto para el usuario.</w:t>
      </w:r>
    </w:p>
    <w:p>
      <w:r>
        <w:pict>
          <v:rect style="width:0;height:1.5pt" o:hralign="center" o:hrstd="t" o:hr="t"/>
        </w:pict>
      </w:r>
    </w:p>
    <w:bookmarkEnd w:id="32"/>
    <w:bookmarkEnd w:id="33"/>
    <w:bookmarkStart w:id="42" w:name="usos-permitidos-de-ia"/>
    <w:p>
      <w:pPr>
        <w:pStyle w:val="Heading1"/>
      </w:pPr>
      <w:r>
        <w:t xml:space="preserve">4. Usos permitidos de IA</w:t>
      </w:r>
    </w:p>
    <w:p>
      <w:pPr>
        <w:pStyle w:val="FirstParagraph"/>
      </w:pPr>
      <w:r>
        <w:t xml:space="preserve">AlertaCuenta puede utilizar IA para apoyar tareas como las siguientes.</w:t>
      </w:r>
    </w:p>
    <w:bookmarkStart w:id="34" w:name="contención-y-orientación-inicial"/>
    <w:p>
      <w:pPr>
        <w:pStyle w:val="Heading2"/>
      </w:pPr>
      <w:r>
        <w:t xml:space="preserve">4.1 Contención y orientación inicial</w:t>
      </w:r>
    </w:p>
    <w:p>
      <w:pPr>
        <w:pStyle w:val="FirstParagraph"/>
      </w:pPr>
      <w:r>
        <w:t xml:space="preserve">La IA puede ayudar a entregar mensajes de calma, primeros pasos, advertencias de seguridad y rutas iniciales de acción.</w:t>
      </w:r>
    </w:p>
    <w:p>
      <w:pPr>
        <w:pStyle w:val="BodyText"/>
      </w:pPr>
      <w:r>
        <w:t xml:space="preserve">Ejemplos:</w:t>
      </w:r>
    </w:p>
    <w:p>
      <w:pPr>
        <w:pStyle w:val="Compact"/>
        <w:numPr>
          <w:ilvl w:val="0"/>
          <w:numId w:val="1003"/>
        </w:numPr>
      </w:pPr>
      <w:r>
        <w:t xml:space="preserve">cortar una comunicación sospechosa;</w:t>
      </w:r>
    </w:p>
    <w:p>
      <w:pPr>
        <w:pStyle w:val="Compact"/>
        <w:numPr>
          <w:ilvl w:val="0"/>
          <w:numId w:val="1003"/>
        </w:numPr>
      </w:pPr>
      <w:r>
        <w:t xml:space="preserve">no entregar claves ni códigos;</w:t>
      </w:r>
    </w:p>
    <w:p>
      <w:pPr>
        <w:pStyle w:val="Compact"/>
        <w:numPr>
          <w:ilvl w:val="0"/>
          <w:numId w:val="1003"/>
        </w:numPr>
      </w:pPr>
      <w:r>
        <w:t xml:space="preserve">contactar al banco por canales oficiales;</w:t>
      </w:r>
    </w:p>
    <w:p>
      <w:pPr>
        <w:pStyle w:val="Compact"/>
        <w:numPr>
          <w:ilvl w:val="0"/>
          <w:numId w:val="1003"/>
        </w:numPr>
      </w:pPr>
      <w:r>
        <w:t xml:space="preserve">bloquear productos si corresponde;</w:t>
      </w:r>
    </w:p>
    <w:p>
      <w:pPr>
        <w:pStyle w:val="Compact"/>
        <w:numPr>
          <w:ilvl w:val="0"/>
          <w:numId w:val="1003"/>
        </w:numPr>
      </w:pPr>
      <w:r>
        <w:t xml:space="preserve">conservar evidencia;</w:t>
      </w:r>
    </w:p>
    <w:p>
      <w:pPr>
        <w:pStyle w:val="Compact"/>
        <w:numPr>
          <w:ilvl w:val="0"/>
          <w:numId w:val="1003"/>
        </w:numPr>
      </w:pPr>
      <w:r>
        <w:t xml:space="preserve">ordenar la cronología.</w:t>
      </w:r>
    </w:p>
    <w:bookmarkEnd w:id="34"/>
    <w:bookmarkStart w:id="35" w:name="relato-asistido-del-caso"/>
    <w:p>
      <w:pPr>
        <w:pStyle w:val="Heading2"/>
      </w:pPr>
      <w:r>
        <w:t xml:space="preserve">4.2 Relato asistido del caso</w:t>
      </w:r>
    </w:p>
    <w:p>
      <w:pPr>
        <w:pStyle w:val="FirstParagraph"/>
      </w:pPr>
      <w:r>
        <w:t xml:space="preserve">La IA puede ayudar al usuario a contar lo ocurrido mediante preguntas simples, lenguaje claro y estructura progresiva.</w:t>
      </w:r>
    </w:p>
    <w:p>
      <w:pPr>
        <w:pStyle w:val="BodyText"/>
      </w:pPr>
      <w:r>
        <w:t xml:space="preserve">Puede transformar un relato desordenado en una cronología más clara, siempre sujeta a revisión del usuario.</w:t>
      </w:r>
    </w:p>
    <w:bookmarkEnd w:id="35"/>
    <w:bookmarkStart w:id="36" w:name="transcripción-de-audio"/>
    <w:p>
      <w:pPr>
        <w:pStyle w:val="Heading2"/>
      </w:pPr>
      <w:r>
        <w:t xml:space="preserve">4.3 Transcripción de audio</w:t>
      </w:r>
    </w:p>
    <w:p>
      <w:pPr>
        <w:pStyle w:val="FirstParagraph"/>
      </w:pPr>
      <w:r>
        <w:t xml:space="preserve">La IA puede transcribir audios enviados por el usuario para facilitar el acceso a personas que no pueden o no quieren escribir extensamente.</w:t>
      </w:r>
    </w:p>
    <w:p>
      <w:pPr>
        <w:pStyle w:val="BodyText"/>
      </w:pPr>
      <w:r>
        <w:t xml:space="preserve">La transcripción puede contener errores y debe poder revisarse o corregirse.</w:t>
      </w:r>
    </w:p>
    <w:bookmarkEnd w:id="36"/>
    <w:bookmarkStart w:id="37" w:name="clasificación-preliminar-del-evento"/>
    <w:p>
      <w:pPr>
        <w:pStyle w:val="Heading2"/>
      </w:pPr>
      <w:r>
        <w:t xml:space="preserve">4.4 Clasificación preliminar del evento</w:t>
      </w:r>
    </w:p>
    <w:p>
      <w:pPr>
        <w:pStyle w:val="FirstParagraph"/>
      </w:pPr>
      <w:r>
        <w:t xml:space="preserve">La IA puede clasificar preliminarmente el caso como, por ejemplo:</w:t>
      </w:r>
    </w:p>
    <w:p>
      <w:pPr>
        <w:pStyle w:val="Compact"/>
        <w:numPr>
          <w:ilvl w:val="0"/>
          <w:numId w:val="1004"/>
        </w:numPr>
      </w:pPr>
      <w:r>
        <w:t xml:space="preserve">urgencia activa;</w:t>
      </w:r>
    </w:p>
    <w:p>
      <w:pPr>
        <w:pStyle w:val="Compact"/>
        <w:numPr>
          <w:ilvl w:val="0"/>
          <w:numId w:val="1004"/>
        </w:numPr>
      </w:pPr>
      <w:r>
        <w:t xml:space="preserve">intento de fraude;</w:t>
      </w:r>
    </w:p>
    <w:p>
      <w:pPr>
        <w:pStyle w:val="Compact"/>
        <w:numPr>
          <w:ilvl w:val="0"/>
          <w:numId w:val="1004"/>
        </w:numPr>
      </w:pPr>
      <w:r>
        <w:t xml:space="preserve">fraude consumado;</w:t>
      </w:r>
    </w:p>
    <w:p>
      <w:pPr>
        <w:pStyle w:val="Compact"/>
        <w:numPr>
          <w:ilvl w:val="0"/>
          <w:numId w:val="1004"/>
        </w:numPr>
      </w:pPr>
      <w:r>
        <w:t xml:space="preserve">phishing;</w:t>
      </w:r>
    </w:p>
    <w:p>
      <w:pPr>
        <w:pStyle w:val="Compact"/>
        <w:numPr>
          <w:ilvl w:val="0"/>
          <w:numId w:val="1004"/>
        </w:numPr>
      </w:pPr>
      <w:r>
        <w:t xml:space="preserve">vishing;</w:t>
      </w:r>
    </w:p>
    <w:p>
      <w:pPr>
        <w:pStyle w:val="Compact"/>
        <w:numPr>
          <w:ilvl w:val="0"/>
          <w:numId w:val="1004"/>
        </w:numPr>
      </w:pPr>
      <w:r>
        <w:t xml:space="preserve">smishing;</w:t>
      </w:r>
    </w:p>
    <w:p>
      <w:pPr>
        <w:pStyle w:val="Compact"/>
        <w:numPr>
          <w:ilvl w:val="0"/>
          <w:numId w:val="1004"/>
        </w:numPr>
      </w:pPr>
      <w:r>
        <w:t xml:space="preserve">transferencia desconocida;</w:t>
      </w:r>
    </w:p>
    <w:p>
      <w:pPr>
        <w:pStyle w:val="Compact"/>
        <w:numPr>
          <w:ilvl w:val="0"/>
          <w:numId w:val="1004"/>
        </w:numPr>
      </w:pPr>
      <w:r>
        <w:t xml:space="preserve">cargo no reconocido;</w:t>
      </w:r>
    </w:p>
    <w:p>
      <w:pPr>
        <w:pStyle w:val="Compact"/>
        <w:numPr>
          <w:ilvl w:val="0"/>
          <w:numId w:val="1004"/>
        </w:numPr>
      </w:pPr>
      <w:r>
        <w:t xml:space="preserve">uso indebido de tarjeta;</w:t>
      </w:r>
    </w:p>
    <w:p>
      <w:pPr>
        <w:pStyle w:val="Compact"/>
        <w:numPr>
          <w:ilvl w:val="0"/>
          <w:numId w:val="1004"/>
        </w:numPr>
      </w:pPr>
      <w:r>
        <w:t xml:space="preserve">compra online problemática;</w:t>
      </w:r>
    </w:p>
    <w:p>
      <w:pPr>
        <w:pStyle w:val="Compact"/>
        <w:numPr>
          <w:ilvl w:val="0"/>
          <w:numId w:val="1004"/>
        </w:numPr>
      </w:pPr>
      <w:r>
        <w:t xml:space="preserve">disputa comercial;</w:t>
      </w:r>
    </w:p>
    <w:p>
      <w:pPr>
        <w:pStyle w:val="Compact"/>
        <w:numPr>
          <w:ilvl w:val="0"/>
          <w:numId w:val="1004"/>
        </w:numPr>
      </w:pPr>
      <w:r>
        <w:t xml:space="preserve">posible error operacional;</w:t>
      </w:r>
    </w:p>
    <w:p>
      <w:pPr>
        <w:pStyle w:val="Compact"/>
        <w:numPr>
          <w:ilvl w:val="0"/>
          <w:numId w:val="1004"/>
        </w:numPr>
      </w:pPr>
      <w:r>
        <w:t xml:space="preserve">caso que requiere revisión humana.</w:t>
      </w:r>
    </w:p>
    <w:p>
      <w:pPr>
        <w:pStyle w:val="FirstParagraph"/>
      </w:pPr>
      <w:r>
        <w:t xml:space="preserve">Esta clasificación no es definitiva.</w:t>
      </w:r>
    </w:p>
    <w:bookmarkEnd w:id="37"/>
    <w:bookmarkStart w:id="38" w:name="identificación-de-información-faltante"/>
    <w:p>
      <w:pPr>
        <w:pStyle w:val="Heading2"/>
      </w:pPr>
      <w:r>
        <w:t xml:space="preserve">4.5 Identificación de información faltante</w:t>
      </w:r>
    </w:p>
    <w:p>
      <w:pPr>
        <w:pStyle w:val="FirstParagraph"/>
      </w:pPr>
      <w:r>
        <w:t xml:space="preserve">La IA puede detectar datos necesarios que aún no han sido entregados, como fecha, monto, banco, comprobante, denuncia, reclamo o respuesta de la institución.</w:t>
      </w:r>
    </w:p>
    <w:bookmarkEnd w:id="38"/>
    <w:bookmarkStart w:id="39" w:name="ordenamiento-de-evidencia"/>
    <w:p>
      <w:pPr>
        <w:pStyle w:val="Heading2"/>
      </w:pPr>
      <w:r>
        <w:t xml:space="preserve">4.6 Ordenamiento de evidencia</w:t>
      </w:r>
    </w:p>
    <w:p>
      <w:pPr>
        <w:pStyle w:val="FirstParagraph"/>
      </w:pPr>
      <w:r>
        <w:t xml:space="preserve">La IA puede ayudar a clasificar documentos y antecedentes en categorías como:</w:t>
      </w:r>
    </w:p>
    <w:p>
      <w:pPr>
        <w:pStyle w:val="Compact"/>
        <w:numPr>
          <w:ilvl w:val="0"/>
          <w:numId w:val="1005"/>
        </w:numPr>
      </w:pPr>
      <w:r>
        <w:t xml:space="preserve">evidencia de contacto fraudulento;</w:t>
      </w:r>
    </w:p>
    <w:p>
      <w:pPr>
        <w:pStyle w:val="Compact"/>
        <w:numPr>
          <w:ilvl w:val="0"/>
          <w:numId w:val="1005"/>
        </w:numPr>
      </w:pPr>
      <w:r>
        <w:t xml:space="preserve">evidencia de operación financiera;</w:t>
      </w:r>
    </w:p>
    <w:p>
      <w:pPr>
        <w:pStyle w:val="Compact"/>
        <w:numPr>
          <w:ilvl w:val="0"/>
          <w:numId w:val="1005"/>
        </w:numPr>
      </w:pPr>
      <w:r>
        <w:t xml:space="preserve">evidencia de reacción del usuario;</w:t>
      </w:r>
    </w:p>
    <w:p>
      <w:pPr>
        <w:pStyle w:val="Compact"/>
        <w:numPr>
          <w:ilvl w:val="0"/>
          <w:numId w:val="1005"/>
        </w:numPr>
      </w:pPr>
      <w:r>
        <w:t xml:space="preserve">evidencia de respuesta institucional;</w:t>
      </w:r>
    </w:p>
    <w:p>
      <w:pPr>
        <w:pStyle w:val="Compact"/>
        <w:numPr>
          <w:ilvl w:val="0"/>
          <w:numId w:val="1005"/>
        </w:numPr>
      </w:pPr>
      <w:r>
        <w:t xml:space="preserve">evidencia complementaria.</w:t>
      </w:r>
    </w:p>
    <w:bookmarkEnd w:id="39"/>
    <w:bookmarkStart w:id="40" w:name="generación-de-documentos"/>
    <w:p>
      <w:pPr>
        <w:pStyle w:val="Heading2"/>
      </w:pPr>
      <w:r>
        <w:t xml:space="preserve">4.7 Generación de documentos</w:t>
      </w:r>
    </w:p>
    <w:p>
      <w:pPr>
        <w:pStyle w:val="FirstParagraph"/>
      </w:pPr>
      <w:r>
        <w:t xml:space="preserve">La IA puede preparar borradores de:</w:t>
      </w:r>
    </w:p>
    <w:p>
      <w:pPr>
        <w:pStyle w:val="Compact"/>
        <w:numPr>
          <w:ilvl w:val="0"/>
          <w:numId w:val="1006"/>
        </w:numPr>
      </w:pPr>
      <w:r>
        <w:t xml:space="preserve">resumen del caso;</w:t>
      </w:r>
    </w:p>
    <w:p>
      <w:pPr>
        <w:pStyle w:val="Compact"/>
        <w:numPr>
          <w:ilvl w:val="0"/>
          <w:numId w:val="1006"/>
        </w:numPr>
      </w:pPr>
      <w:r>
        <w:t xml:space="preserve">carta al banco;</w:t>
      </w:r>
    </w:p>
    <w:p>
      <w:pPr>
        <w:pStyle w:val="Compact"/>
        <w:numPr>
          <w:ilvl w:val="0"/>
          <w:numId w:val="1006"/>
        </w:numPr>
      </w:pPr>
      <w:r>
        <w:t xml:space="preserve">reclamo formal;</w:t>
      </w:r>
    </w:p>
    <w:p>
      <w:pPr>
        <w:pStyle w:val="Compact"/>
        <w:numPr>
          <w:ilvl w:val="0"/>
          <w:numId w:val="1006"/>
        </w:numPr>
      </w:pPr>
      <w:r>
        <w:t xml:space="preserve">minuta de hechos;</w:t>
      </w:r>
    </w:p>
    <w:p>
      <w:pPr>
        <w:pStyle w:val="Compact"/>
        <w:numPr>
          <w:ilvl w:val="0"/>
          <w:numId w:val="1006"/>
        </w:numPr>
      </w:pPr>
      <w:r>
        <w:t xml:space="preserve">checklist de antecedentes;</w:t>
      </w:r>
    </w:p>
    <w:p>
      <w:pPr>
        <w:pStyle w:val="Compact"/>
        <w:numPr>
          <w:ilvl w:val="0"/>
          <w:numId w:val="1006"/>
        </w:numPr>
      </w:pPr>
      <w:r>
        <w:t xml:space="preserve">carta de seguimiento;</w:t>
      </w:r>
    </w:p>
    <w:p>
      <w:pPr>
        <w:pStyle w:val="Compact"/>
        <w:numPr>
          <w:ilvl w:val="0"/>
          <w:numId w:val="1006"/>
        </w:numPr>
      </w:pPr>
      <w:r>
        <w:t xml:space="preserve">solicitud de información;</w:t>
      </w:r>
    </w:p>
    <w:p>
      <w:pPr>
        <w:pStyle w:val="Compact"/>
        <w:numPr>
          <w:ilvl w:val="0"/>
          <w:numId w:val="1006"/>
        </w:numPr>
      </w:pPr>
      <w:r>
        <w:t xml:space="preserve">borrador de presentación ante institución o canal correspondiente.</w:t>
      </w:r>
    </w:p>
    <w:p>
      <w:pPr>
        <w:pStyle w:val="FirstParagraph"/>
      </w:pPr>
      <w:r>
        <w:t xml:space="preserve">Los documentos deben revisarse antes de su uso.</w:t>
      </w:r>
    </w:p>
    <w:bookmarkEnd w:id="40"/>
    <w:bookmarkStart w:id="41" w:name="mejora-de-calidad-y-seguridad"/>
    <w:p>
      <w:pPr>
        <w:pStyle w:val="Heading2"/>
      </w:pPr>
      <w:r>
        <w:t xml:space="preserve">4.8 Mejora de calidad y seguridad</w:t>
      </w:r>
    </w:p>
    <w:p>
      <w:pPr>
        <w:pStyle w:val="FirstParagraph"/>
      </w:pPr>
      <w:r>
        <w:t xml:space="preserve">La IA puede utilizarse para detectar errores, duplicidades, inconsistencias, lenguaje confuso, omisiones, señales de abuso, intentos de manipulación o riesgos de seguridad.</w:t>
      </w:r>
    </w:p>
    <w:p>
      <w:r>
        <w:pict>
          <v:rect style="width:0;height:1.5pt" o:hralign="center" o:hrstd="t" o:hr="t"/>
        </w:pict>
      </w:r>
    </w:p>
    <w:bookmarkEnd w:id="41"/>
    <w:bookmarkEnd w:id="42"/>
    <w:bookmarkStart w:id="43" w:name="usos-prohibidos-o-no-autorizados"/>
    <w:p>
      <w:pPr>
        <w:pStyle w:val="Heading1"/>
      </w:pPr>
      <w:r>
        <w:t xml:space="preserve">5. Usos prohibidos o no autorizados</w:t>
      </w:r>
    </w:p>
    <w:p>
      <w:pPr>
        <w:pStyle w:val="FirstParagraph"/>
      </w:pPr>
      <w:r>
        <w:t xml:space="preserve">Queda prohibido utilizar sistemas de IA de AlertaCuenta para:</w:t>
      </w:r>
    </w:p>
    <w:p>
      <w:pPr>
        <w:pStyle w:val="Compact"/>
        <w:numPr>
          <w:ilvl w:val="0"/>
          <w:numId w:val="1007"/>
        </w:numPr>
      </w:pPr>
      <w:r>
        <w:t xml:space="preserve">cometer fraude;</w:t>
      </w:r>
    </w:p>
    <w:p>
      <w:pPr>
        <w:pStyle w:val="Compact"/>
        <w:numPr>
          <w:ilvl w:val="0"/>
          <w:numId w:val="1007"/>
        </w:numPr>
      </w:pPr>
      <w:r>
        <w:t xml:space="preserve">fabricar evidencia;</w:t>
      </w:r>
    </w:p>
    <w:p>
      <w:pPr>
        <w:pStyle w:val="Compact"/>
        <w:numPr>
          <w:ilvl w:val="0"/>
          <w:numId w:val="1007"/>
        </w:numPr>
      </w:pPr>
      <w:r>
        <w:t xml:space="preserve">simular casos falsos;</w:t>
      </w:r>
    </w:p>
    <w:p>
      <w:pPr>
        <w:pStyle w:val="Compact"/>
        <w:numPr>
          <w:ilvl w:val="0"/>
          <w:numId w:val="1007"/>
        </w:numPr>
      </w:pPr>
      <w:r>
        <w:t xml:space="preserve">suplantar personas;</w:t>
      </w:r>
    </w:p>
    <w:p>
      <w:pPr>
        <w:pStyle w:val="Compact"/>
        <w:numPr>
          <w:ilvl w:val="0"/>
          <w:numId w:val="1007"/>
        </w:numPr>
      </w:pPr>
      <w:r>
        <w:t xml:space="preserve">manipular documentos;</w:t>
      </w:r>
    </w:p>
    <w:p>
      <w:pPr>
        <w:pStyle w:val="Compact"/>
        <w:numPr>
          <w:ilvl w:val="0"/>
          <w:numId w:val="1007"/>
        </w:numPr>
      </w:pPr>
      <w:r>
        <w:t xml:space="preserve">generar reclamos falsos;</w:t>
      </w:r>
    </w:p>
    <w:p>
      <w:pPr>
        <w:pStyle w:val="Compact"/>
        <w:numPr>
          <w:ilvl w:val="0"/>
          <w:numId w:val="1007"/>
        </w:numPr>
      </w:pPr>
      <w:r>
        <w:t xml:space="preserve">engañar bancos, comercios, autoridades o terceros;</w:t>
      </w:r>
    </w:p>
    <w:p>
      <w:pPr>
        <w:pStyle w:val="Compact"/>
        <w:numPr>
          <w:ilvl w:val="0"/>
          <w:numId w:val="1007"/>
        </w:numPr>
      </w:pPr>
      <w:r>
        <w:t xml:space="preserve">obtener claves, códigos, credenciales o acceso remoto;</w:t>
      </w:r>
    </w:p>
    <w:p>
      <w:pPr>
        <w:pStyle w:val="Compact"/>
        <w:numPr>
          <w:ilvl w:val="0"/>
          <w:numId w:val="1007"/>
        </w:numPr>
      </w:pPr>
      <w:r>
        <w:t xml:space="preserve">extraer información de otros usuarios;</w:t>
      </w:r>
    </w:p>
    <w:p>
      <w:pPr>
        <w:pStyle w:val="Compact"/>
        <w:numPr>
          <w:ilvl w:val="0"/>
          <w:numId w:val="1007"/>
        </w:numPr>
      </w:pPr>
      <w:r>
        <w:t xml:space="preserve">generar malware, phishing, ingeniería social o contenido dañino;</w:t>
      </w:r>
    </w:p>
    <w:p>
      <w:pPr>
        <w:pStyle w:val="Compact"/>
        <w:numPr>
          <w:ilvl w:val="0"/>
          <w:numId w:val="1007"/>
        </w:numPr>
      </w:pPr>
      <w:r>
        <w:t xml:space="preserve">atacar, vulnerar o evadir controles de la plataforma;</w:t>
      </w:r>
    </w:p>
    <w:p>
      <w:pPr>
        <w:pStyle w:val="Compact"/>
        <w:numPr>
          <w:ilvl w:val="0"/>
          <w:numId w:val="1007"/>
        </w:numPr>
      </w:pPr>
      <w:r>
        <w:t xml:space="preserve">extraer prompts, instrucciones internas, datasets, flujos o metodologías;</w:t>
      </w:r>
    </w:p>
    <w:p>
      <w:pPr>
        <w:pStyle w:val="Compact"/>
        <w:numPr>
          <w:ilvl w:val="0"/>
          <w:numId w:val="1007"/>
        </w:numPr>
      </w:pPr>
      <w:r>
        <w:t xml:space="preserve">hacer ingeniería inversa de los sistemas;</w:t>
      </w:r>
    </w:p>
    <w:p>
      <w:pPr>
        <w:pStyle w:val="Compact"/>
        <w:numPr>
          <w:ilvl w:val="0"/>
          <w:numId w:val="1007"/>
        </w:numPr>
      </w:pPr>
      <w:r>
        <w:t xml:space="preserve">usar outputs o estructuras para crear servicios competidores sin autorización;</w:t>
      </w:r>
    </w:p>
    <w:p>
      <w:pPr>
        <w:pStyle w:val="Compact"/>
        <w:numPr>
          <w:ilvl w:val="0"/>
          <w:numId w:val="1007"/>
        </w:numPr>
      </w:pPr>
      <w:r>
        <w:t xml:space="preserve">automatizar decisiones críticas sin revisión humana proporcional;</w:t>
      </w:r>
    </w:p>
    <w:p>
      <w:pPr>
        <w:pStyle w:val="Compact"/>
        <w:numPr>
          <w:ilvl w:val="0"/>
          <w:numId w:val="1007"/>
        </w:numPr>
      </w:pPr>
      <w:r>
        <w:t xml:space="preserve">perfilar indebidamente usuarios;</w:t>
      </w:r>
    </w:p>
    <w:p>
      <w:pPr>
        <w:pStyle w:val="Compact"/>
        <w:numPr>
          <w:ilvl w:val="0"/>
          <w:numId w:val="1007"/>
        </w:numPr>
      </w:pPr>
      <w:r>
        <w:t xml:space="preserve">discriminar o excluir personas de forma injustificada;</w:t>
      </w:r>
    </w:p>
    <w:p>
      <w:pPr>
        <w:pStyle w:val="Compact"/>
        <w:numPr>
          <w:ilvl w:val="0"/>
          <w:numId w:val="1007"/>
        </w:numPr>
      </w:pPr>
      <w:r>
        <w:t xml:space="preserve">entrenar modelos externos con datos identificables de usuarios sin autorización expresa o base jurídica suficiente.</w:t>
      </w:r>
    </w:p>
    <w:p>
      <w:pPr>
        <w:pStyle w:val="FirstParagraph"/>
      </w:pPr>
      <w:r>
        <w:t xml:space="preserve">AlertaCuenta podrá bloquear o restringir usos que presenten riesgos de seguridad, abuso, incumplimiento legal o afectación de terceros.</w:t>
      </w:r>
    </w:p>
    <w:p>
      <w:r>
        <w:pict>
          <v:rect style="width:0;height:1.5pt" o:hralign="center" o:hrstd="t" o:hr="t"/>
        </w:pict>
      </w:r>
    </w:p>
    <w:bookmarkEnd w:id="43"/>
    <w:bookmarkStart w:id="48" w:name="matriz-de-criticidad-de-casos-de-uso"/>
    <w:p>
      <w:pPr>
        <w:pStyle w:val="Heading1"/>
      </w:pPr>
      <w:r>
        <w:t xml:space="preserve">6. Matriz de criticidad de casos de uso</w:t>
      </w:r>
    </w:p>
    <w:p>
      <w:pPr>
        <w:pStyle w:val="FirstParagraph"/>
      </w:pPr>
      <w:r>
        <w:t xml:space="preserve">AlertaCuenta debe clasificar los usos de IA según su nivel de riesgo.</w:t>
      </w:r>
    </w:p>
    <w:bookmarkStart w:id="44" w:name="riesgo-bajo"/>
    <w:p>
      <w:pPr>
        <w:pStyle w:val="Heading2"/>
      </w:pPr>
      <w:r>
        <w:t xml:space="preserve">6.1 Riesgo bajo</w:t>
      </w:r>
    </w:p>
    <w:p>
      <w:pPr>
        <w:pStyle w:val="FirstParagraph"/>
      </w:pPr>
      <w:r>
        <w:t xml:space="preserve">Ejemplos:</w:t>
      </w:r>
    </w:p>
    <w:p>
      <w:pPr>
        <w:pStyle w:val="Compact"/>
        <w:numPr>
          <w:ilvl w:val="0"/>
          <w:numId w:val="1008"/>
        </w:numPr>
      </w:pPr>
      <w:r>
        <w:t xml:space="preserve">explicar términos generales;</w:t>
      </w:r>
    </w:p>
    <w:p>
      <w:pPr>
        <w:pStyle w:val="Compact"/>
        <w:numPr>
          <w:ilvl w:val="0"/>
          <w:numId w:val="1008"/>
        </w:numPr>
      </w:pPr>
      <w:r>
        <w:t xml:space="preserve">mostrar checklist preventivo;</w:t>
      </w:r>
    </w:p>
    <w:p>
      <w:pPr>
        <w:pStyle w:val="Compact"/>
        <w:numPr>
          <w:ilvl w:val="0"/>
          <w:numId w:val="1008"/>
        </w:numPr>
      </w:pPr>
      <w:r>
        <w:t xml:space="preserve">entregar recomendaciones básicas de seguridad;</w:t>
      </w:r>
    </w:p>
    <w:p>
      <w:pPr>
        <w:pStyle w:val="Compact"/>
        <w:numPr>
          <w:ilvl w:val="0"/>
          <w:numId w:val="1008"/>
        </w:numPr>
      </w:pPr>
      <w:r>
        <w:t xml:space="preserve">ordenar preguntas frecuentes;</w:t>
      </w:r>
    </w:p>
    <w:p>
      <w:pPr>
        <w:pStyle w:val="Compact"/>
        <w:numPr>
          <w:ilvl w:val="0"/>
          <w:numId w:val="1008"/>
        </w:numPr>
      </w:pPr>
      <w:r>
        <w:t xml:space="preserve">mejorar redacción no crítica.</w:t>
      </w:r>
    </w:p>
    <w:p>
      <w:pPr>
        <w:pStyle w:val="FirstParagraph"/>
      </w:pPr>
      <w:r>
        <w:t xml:space="preserve">Control recomendado:</w:t>
      </w:r>
    </w:p>
    <w:p>
      <w:pPr>
        <w:pStyle w:val="Compact"/>
        <w:numPr>
          <w:ilvl w:val="0"/>
          <w:numId w:val="1009"/>
        </w:numPr>
      </w:pPr>
      <w:r>
        <w:t xml:space="preserve">mensajes claros;</w:t>
      </w:r>
    </w:p>
    <w:p>
      <w:pPr>
        <w:pStyle w:val="Compact"/>
        <w:numPr>
          <w:ilvl w:val="0"/>
          <w:numId w:val="1009"/>
        </w:numPr>
      </w:pPr>
      <w:r>
        <w:t xml:space="preserve">advertencias generales;</w:t>
      </w:r>
    </w:p>
    <w:p>
      <w:pPr>
        <w:pStyle w:val="Compact"/>
        <w:numPr>
          <w:ilvl w:val="0"/>
          <w:numId w:val="1009"/>
        </w:numPr>
      </w:pPr>
      <w:r>
        <w:t xml:space="preserve">monitoreo básico;</w:t>
      </w:r>
    </w:p>
    <w:p>
      <w:pPr>
        <w:pStyle w:val="Compact"/>
        <w:numPr>
          <w:ilvl w:val="0"/>
          <w:numId w:val="1009"/>
        </w:numPr>
      </w:pPr>
      <w:r>
        <w:t xml:space="preserve">revisión periódica.</w:t>
      </w:r>
    </w:p>
    <w:bookmarkEnd w:id="44"/>
    <w:bookmarkStart w:id="45" w:name="riesgo-medio"/>
    <w:p>
      <w:pPr>
        <w:pStyle w:val="Heading2"/>
      </w:pPr>
      <w:r>
        <w:t xml:space="preserve">6.2 Riesgo medio</w:t>
      </w:r>
    </w:p>
    <w:p>
      <w:pPr>
        <w:pStyle w:val="FirstParagraph"/>
      </w:pPr>
      <w:r>
        <w:t xml:space="preserve">Ejemplos:</w:t>
      </w:r>
    </w:p>
    <w:p>
      <w:pPr>
        <w:pStyle w:val="Compact"/>
        <w:numPr>
          <w:ilvl w:val="0"/>
          <w:numId w:val="1010"/>
        </w:numPr>
      </w:pPr>
      <w:r>
        <w:t xml:space="preserve">resumir el relato del usuario;</w:t>
      </w:r>
    </w:p>
    <w:p>
      <w:pPr>
        <w:pStyle w:val="Compact"/>
        <w:numPr>
          <w:ilvl w:val="0"/>
          <w:numId w:val="1010"/>
        </w:numPr>
      </w:pPr>
      <w:r>
        <w:t xml:space="preserve">clasificar preliminarmente el tipo de fraude;</w:t>
      </w:r>
    </w:p>
    <w:p>
      <w:pPr>
        <w:pStyle w:val="Compact"/>
        <w:numPr>
          <w:ilvl w:val="0"/>
          <w:numId w:val="1010"/>
        </w:numPr>
      </w:pPr>
      <w:r>
        <w:t xml:space="preserve">detectar antecedentes faltantes;</w:t>
      </w:r>
    </w:p>
    <w:p>
      <w:pPr>
        <w:pStyle w:val="Compact"/>
        <w:numPr>
          <w:ilvl w:val="0"/>
          <w:numId w:val="1010"/>
        </w:numPr>
      </w:pPr>
      <w:r>
        <w:t xml:space="preserve">sugerir ruta de acción;</w:t>
      </w:r>
    </w:p>
    <w:p>
      <w:pPr>
        <w:pStyle w:val="Compact"/>
        <w:numPr>
          <w:ilvl w:val="0"/>
          <w:numId w:val="1010"/>
        </w:numPr>
      </w:pPr>
      <w:r>
        <w:t xml:space="preserve">preparar documentos simples.</w:t>
      </w:r>
    </w:p>
    <w:p>
      <w:pPr>
        <w:pStyle w:val="FirstParagraph"/>
      </w:pPr>
      <w:r>
        <w:t xml:space="preserve">Control recomendado:</w:t>
      </w:r>
    </w:p>
    <w:p>
      <w:pPr>
        <w:pStyle w:val="Compact"/>
        <w:numPr>
          <w:ilvl w:val="0"/>
          <w:numId w:val="1011"/>
        </w:numPr>
      </w:pPr>
      <w:r>
        <w:t xml:space="preserve">revisión del usuario;</w:t>
      </w:r>
    </w:p>
    <w:p>
      <w:pPr>
        <w:pStyle w:val="Compact"/>
        <w:numPr>
          <w:ilvl w:val="0"/>
          <w:numId w:val="1011"/>
        </w:numPr>
      </w:pPr>
      <w:r>
        <w:t xml:space="preserve">registro de output;</w:t>
      </w:r>
    </w:p>
    <w:p>
      <w:pPr>
        <w:pStyle w:val="Compact"/>
        <w:numPr>
          <w:ilvl w:val="0"/>
          <w:numId w:val="1011"/>
        </w:numPr>
      </w:pPr>
      <w:r>
        <w:t xml:space="preserve">advertencia de límites;</w:t>
      </w:r>
    </w:p>
    <w:p>
      <w:pPr>
        <w:pStyle w:val="Compact"/>
        <w:numPr>
          <w:ilvl w:val="0"/>
          <w:numId w:val="1011"/>
        </w:numPr>
      </w:pPr>
      <w:r>
        <w:t xml:space="preserve">opción de corrección;</w:t>
      </w:r>
    </w:p>
    <w:p>
      <w:pPr>
        <w:pStyle w:val="Compact"/>
        <w:numPr>
          <w:ilvl w:val="0"/>
          <w:numId w:val="1011"/>
        </w:numPr>
      </w:pPr>
      <w:r>
        <w:t xml:space="preserve">revisión humana por muestreo o según señales de riesgo.</w:t>
      </w:r>
    </w:p>
    <w:bookmarkEnd w:id="45"/>
    <w:bookmarkStart w:id="46" w:name="riesgo-alto"/>
    <w:p>
      <w:pPr>
        <w:pStyle w:val="Heading2"/>
      </w:pPr>
      <w:r>
        <w:t xml:space="preserve">6.3 Riesgo alto</w:t>
      </w:r>
    </w:p>
    <w:p>
      <w:pPr>
        <w:pStyle w:val="FirstParagraph"/>
      </w:pPr>
      <w:r>
        <w:t xml:space="preserve">Ejemplos:</w:t>
      </w:r>
    </w:p>
    <w:p>
      <w:pPr>
        <w:pStyle w:val="Compact"/>
        <w:numPr>
          <w:ilvl w:val="0"/>
          <w:numId w:val="1012"/>
        </w:numPr>
      </w:pPr>
      <w:r>
        <w:t xml:space="preserve">documentos legales relevantes;</w:t>
      </w:r>
    </w:p>
    <w:p>
      <w:pPr>
        <w:pStyle w:val="Compact"/>
        <w:numPr>
          <w:ilvl w:val="0"/>
          <w:numId w:val="1012"/>
        </w:numPr>
      </w:pPr>
      <w:r>
        <w:t xml:space="preserve">respuesta frente a rechazo bancario;</w:t>
      </w:r>
    </w:p>
    <w:p>
      <w:pPr>
        <w:pStyle w:val="Compact"/>
        <w:numPr>
          <w:ilvl w:val="0"/>
          <w:numId w:val="1012"/>
        </w:numPr>
      </w:pPr>
      <w:r>
        <w:t xml:space="preserve">recomendación de estrategia;</w:t>
      </w:r>
    </w:p>
    <w:p>
      <w:pPr>
        <w:pStyle w:val="Compact"/>
        <w:numPr>
          <w:ilvl w:val="0"/>
          <w:numId w:val="1012"/>
        </w:numPr>
      </w:pPr>
      <w:r>
        <w:t xml:space="preserve">casos con montos elevados;</w:t>
      </w:r>
    </w:p>
    <w:p>
      <w:pPr>
        <w:pStyle w:val="Compact"/>
        <w:numPr>
          <w:ilvl w:val="0"/>
          <w:numId w:val="1012"/>
        </w:numPr>
      </w:pPr>
      <w:r>
        <w:t xml:space="preserve">datos financieros extensos;</w:t>
      </w:r>
    </w:p>
    <w:p>
      <w:pPr>
        <w:pStyle w:val="Compact"/>
        <w:numPr>
          <w:ilvl w:val="0"/>
          <w:numId w:val="1012"/>
        </w:numPr>
      </w:pPr>
      <w:r>
        <w:t xml:space="preserve">datos sensibles;</w:t>
      </w:r>
    </w:p>
    <w:p>
      <w:pPr>
        <w:pStyle w:val="Compact"/>
        <w:numPr>
          <w:ilvl w:val="0"/>
          <w:numId w:val="1012"/>
        </w:numPr>
      </w:pPr>
      <w:r>
        <w:t xml:space="preserve">posible negligencia discutida;</w:t>
      </w:r>
    </w:p>
    <w:p>
      <w:pPr>
        <w:pStyle w:val="Compact"/>
        <w:numPr>
          <w:ilvl w:val="0"/>
          <w:numId w:val="1012"/>
        </w:numPr>
      </w:pPr>
      <w:r>
        <w:t xml:space="preserve">riesgo de plazo legal;</w:t>
      </w:r>
    </w:p>
    <w:p>
      <w:pPr>
        <w:pStyle w:val="Compact"/>
        <w:numPr>
          <w:ilvl w:val="0"/>
          <w:numId w:val="1012"/>
        </w:numPr>
      </w:pPr>
      <w:r>
        <w:t xml:space="preserve">eventual judicialización;</w:t>
      </w:r>
    </w:p>
    <w:p>
      <w:pPr>
        <w:pStyle w:val="Compact"/>
        <w:numPr>
          <w:ilvl w:val="0"/>
          <w:numId w:val="1012"/>
        </w:numPr>
      </w:pPr>
      <w:r>
        <w:t xml:space="preserve">comunicación a autoridad o institución.</w:t>
      </w:r>
    </w:p>
    <w:p>
      <w:pPr>
        <w:pStyle w:val="FirstParagraph"/>
      </w:pPr>
      <w:r>
        <w:t xml:space="preserve">Control recomendado:</w:t>
      </w:r>
    </w:p>
    <w:p>
      <w:pPr>
        <w:pStyle w:val="Compact"/>
        <w:numPr>
          <w:ilvl w:val="0"/>
          <w:numId w:val="1013"/>
        </w:numPr>
      </w:pPr>
      <w:r>
        <w:t xml:space="preserve">revisión humana proporcional;</w:t>
      </w:r>
    </w:p>
    <w:p>
      <w:pPr>
        <w:pStyle w:val="Compact"/>
        <w:numPr>
          <w:ilvl w:val="0"/>
          <w:numId w:val="1013"/>
        </w:numPr>
      </w:pPr>
      <w:r>
        <w:t xml:space="preserve">validación de datos críticos;</w:t>
      </w:r>
    </w:p>
    <w:p>
      <w:pPr>
        <w:pStyle w:val="Compact"/>
        <w:numPr>
          <w:ilvl w:val="0"/>
          <w:numId w:val="1013"/>
        </w:numPr>
      </w:pPr>
      <w:r>
        <w:t xml:space="preserve">trazabilidad reforzada;</w:t>
      </w:r>
    </w:p>
    <w:p>
      <w:pPr>
        <w:pStyle w:val="Compact"/>
        <w:numPr>
          <w:ilvl w:val="0"/>
          <w:numId w:val="1013"/>
        </w:numPr>
      </w:pPr>
      <w:r>
        <w:t xml:space="preserve">advertencia expresa;</w:t>
      </w:r>
    </w:p>
    <w:p>
      <w:pPr>
        <w:pStyle w:val="Compact"/>
        <w:numPr>
          <w:ilvl w:val="0"/>
          <w:numId w:val="1013"/>
        </w:numPr>
      </w:pPr>
      <w:r>
        <w:t xml:space="preserve">bloqueo de envío automático sin aprobación;</w:t>
      </w:r>
    </w:p>
    <w:p>
      <w:pPr>
        <w:pStyle w:val="Compact"/>
        <w:numPr>
          <w:ilvl w:val="0"/>
          <w:numId w:val="1013"/>
        </w:numPr>
      </w:pPr>
      <w:r>
        <w:t xml:space="preserve">conservación de versiones.</w:t>
      </w:r>
    </w:p>
    <w:bookmarkEnd w:id="46"/>
    <w:bookmarkStart w:id="47" w:name="riesgo-crítico"/>
    <w:p>
      <w:pPr>
        <w:pStyle w:val="Heading2"/>
      </w:pPr>
      <w:r>
        <w:t xml:space="preserve">6.4 Riesgo crítico</w:t>
      </w:r>
    </w:p>
    <w:p>
      <w:pPr>
        <w:pStyle w:val="FirstParagraph"/>
      </w:pPr>
      <w:r>
        <w:t xml:space="preserve">Ejemplos:</w:t>
      </w:r>
    </w:p>
    <w:p>
      <w:pPr>
        <w:pStyle w:val="Compact"/>
        <w:numPr>
          <w:ilvl w:val="0"/>
          <w:numId w:val="1014"/>
        </w:numPr>
      </w:pPr>
      <w:r>
        <w:t xml:space="preserve">decisiones que afecten significativamente derechos del usuario;</w:t>
      </w:r>
    </w:p>
    <w:p>
      <w:pPr>
        <w:pStyle w:val="Compact"/>
        <w:numPr>
          <w:ilvl w:val="0"/>
          <w:numId w:val="1014"/>
        </w:numPr>
      </w:pPr>
      <w:r>
        <w:t xml:space="preserve">calificación definitiva de responsabilidad;</w:t>
      </w:r>
    </w:p>
    <w:p>
      <w:pPr>
        <w:pStyle w:val="Compact"/>
        <w:numPr>
          <w:ilvl w:val="0"/>
          <w:numId w:val="1014"/>
        </w:numPr>
      </w:pPr>
      <w:r>
        <w:t xml:space="preserve">recomendación legal compleja;</w:t>
      </w:r>
    </w:p>
    <w:p>
      <w:pPr>
        <w:pStyle w:val="Compact"/>
        <w:numPr>
          <w:ilvl w:val="0"/>
          <w:numId w:val="1014"/>
        </w:numPr>
      </w:pPr>
      <w:r>
        <w:t xml:space="preserve">envío automático a autoridad sin revisión;</w:t>
      </w:r>
    </w:p>
    <w:p>
      <w:pPr>
        <w:pStyle w:val="Compact"/>
        <w:numPr>
          <w:ilvl w:val="0"/>
          <w:numId w:val="1014"/>
        </w:numPr>
      </w:pPr>
      <w:r>
        <w:t xml:space="preserve">manejo de información altamente sensible;</w:t>
      </w:r>
    </w:p>
    <w:p>
      <w:pPr>
        <w:pStyle w:val="Compact"/>
        <w:numPr>
          <w:ilvl w:val="0"/>
          <w:numId w:val="1014"/>
        </w:numPr>
      </w:pPr>
      <w:r>
        <w:t xml:space="preserve">incidentes de seguridad;</w:t>
      </w:r>
    </w:p>
    <w:p>
      <w:pPr>
        <w:pStyle w:val="Compact"/>
        <w:numPr>
          <w:ilvl w:val="0"/>
          <w:numId w:val="1014"/>
        </w:numPr>
      </w:pPr>
      <w:r>
        <w:t xml:space="preserve">casos que involucren personas especialmente vulnerables;</w:t>
      </w:r>
    </w:p>
    <w:p>
      <w:pPr>
        <w:pStyle w:val="Compact"/>
        <w:numPr>
          <w:ilvl w:val="0"/>
          <w:numId w:val="1014"/>
        </w:numPr>
      </w:pPr>
      <w:r>
        <w:t xml:space="preserve">potenciales delitos, amenazas o extorsión activa.</w:t>
      </w:r>
    </w:p>
    <w:p>
      <w:pPr>
        <w:pStyle w:val="FirstParagraph"/>
      </w:pPr>
      <w:r>
        <w:t xml:space="preserve">Control recomendado:</w:t>
      </w:r>
    </w:p>
    <w:p>
      <w:pPr>
        <w:pStyle w:val="Compact"/>
        <w:numPr>
          <w:ilvl w:val="0"/>
          <w:numId w:val="1015"/>
        </w:numPr>
      </w:pPr>
      <w:r>
        <w:t xml:space="preserve">intervención humana obligatoria;</w:t>
      </w:r>
    </w:p>
    <w:p>
      <w:pPr>
        <w:pStyle w:val="Compact"/>
        <w:numPr>
          <w:ilvl w:val="0"/>
          <w:numId w:val="1015"/>
        </w:numPr>
      </w:pPr>
      <w:r>
        <w:t xml:space="preserve">escalamiento interno;</w:t>
      </w:r>
    </w:p>
    <w:p>
      <w:pPr>
        <w:pStyle w:val="Compact"/>
        <w:numPr>
          <w:ilvl w:val="0"/>
          <w:numId w:val="1015"/>
        </w:numPr>
      </w:pPr>
      <w:r>
        <w:t xml:space="preserve">revisión profesional cuando corresponda;</w:t>
      </w:r>
    </w:p>
    <w:p>
      <w:pPr>
        <w:pStyle w:val="Compact"/>
        <w:numPr>
          <w:ilvl w:val="0"/>
          <w:numId w:val="1015"/>
        </w:numPr>
      </w:pPr>
      <w:r>
        <w:t xml:space="preserve">registro completo;</w:t>
      </w:r>
    </w:p>
    <w:p>
      <w:pPr>
        <w:pStyle w:val="Compact"/>
        <w:numPr>
          <w:ilvl w:val="0"/>
          <w:numId w:val="1015"/>
        </w:numPr>
      </w:pPr>
      <w:r>
        <w:t xml:space="preserve">medidas de seguridad reforzadas;</w:t>
      </w:r>
    </w:p>
    <w:p>
      <w:pPr>
        <w:pStyle w:val="Compact"/>
        <w:numPr>
          <w:ilvl w:val="0"/>
          <w:numId w:val="1015"/>
        </w:numPr>
      </w:pPr>
      <w:r>
        <w:t xml:space="preserve">no automatización decisoria.</w:t>
      </w:r>
    </w:p>
    <w:p>
      <w:r>
        <w:pict>
          <v:rect style="width:0;height:1.5pt" o:hralign="center" o:hrstd="t" o:hr="t"/>
        </w:pict>
      </w:r>
    </w:p>
    <w:bookmarkEnd w:id="47"/>
    <w:bookmarkEnd w:id="48"/>
    <w:bookmarkStart w:id="52" w:name="supervisión-humana"/>
    <w:p>
      <w:pPr>
        <w:pStyle w:val="Heading1"/>
      </w:pPr>
      <w:r>
        <w:t xml:space="preserve">7. Supervisión humana</w:t>
      </w:r>
    </w:p>
    <w:p>
      <w:pPr>
        <w:pStyle w:val="FirstParagraph"/>
      </w:pPr>
      <w:r>
        <w:t xml:space="preserve">La supervisión humana en AlertaCuenta debe operar como una capa de control proporcional.</w:t>
      </w:r>
    </w:p>
    <w:bookmarkStart w:id="49" w:name="cuándo-debe-existir-revisión-humana"/>
    <w:p>
      <w:pPr>
        <w:pStyle w:val="Heading2"/>
      </w:pPr>
      <w:r>
        <w:t xml:space="preserve">7.1 Cuándo debe existir revisión humana</w:t>
      </w:r>
    </w:p>
    <w:p>
      <w:pPr>
        <w:pStyle w:val="FirstParagraph"/>
      </w:pPr>
      <w:r>
        <w:t xml:space="preserve">Debe procurarse revisión humana cuando:</w:t>
      </w:r>
    </w:p>
    <w:p>
      <w:pPr>
        <w:pStyle w:val="Compact"/>
        <w:numPr>
          <w:ilvl w:val="0"/>
          <w:numId w:val="1016"/>
        </w:numPr>
      </w:pPr>
      <w:r>
        <w:t xml:space="preserve">el caso sea complejo;</w:t>
      </w:r>
    </w:p>
    <w:p>
      <w:pPr>
        <w:pStyle w:val="Compact"/>
        <w:numPr>
          <w:ilvl w:val="0"/>
          <w:numId w:val="1016"/>
        </w:numPr>
      </w:pPr>
      <w:r>
        <w:t xml:space="preserve">el monto sea relevante;</w:t>
      </w:r>
    </w:p>
    <w:p>
      <w:pPr>
        <w:pStyle w:val="Compact"/>
        <w:numPr>
          <w:ilvl w:val="0"/>
          <w:numId w:val="1016"/>
        </w:numPr>
      </w:pPr>
      <w:r>
        <w:t xml:space="preserve">existan datos sensibles;</w:t>
      </w:r>
    </w:p>
    <w:p>
      <w:pPr>
        <w:pStyle w:val="Compact"/>
        <w:numPr>
          <w:ilvl w:val="0"/>
          <w:numId w:val="1016"/>
        </w:numPr>
      </w:pPr>
      <w:r>
        <w:t xml:space="preserve">haya riesgo de plazo legal;</w:t>
      </w:r>
    </w:p>
    <w:p>
      <w:pPr>
        <w:pStyle w:val="Compact"/>
        <w:numPr>
          <w:ilvl w:val="0"/>
          <w:numId w:val="1016"/>
        </w:numPr>
      </w:pPr>
      <w:r>
        <w:t xml:space="preserve">el usuario declare haber entregado claves o códigos;</w:t>
      </w:r>
    </w:p>
    <w:p>
      <w:pPr>
        <w:pStyle w:val="Compact"/>
        <w:numPr>
          <w:ilvl w:val="0"/>
          <w:numId w:val="1016"/>
        </w:numPr>
      </w:pPr>
      <w:r>
        <w:t xml:space="preserve">exista rechazo bancario;</w:t>
      </w:r>
    </w:p>
    <w:p>
      <w:pPr>
        <w:pStyle w:val="Compact"/>
        <w:numPr>
          <w:ilvl w:val="0"/>
          <w:numId w:val="1016"/>
        </w:numPr>
      </w:pPr>
      <w:r>
        <w:t xml:space="preserve">se prepare un documento legal relevante;</w:t>
      </w:r>
    </w:p>
    <w:p>
      <w:pPr>
        <w:pStyle w:val="Compact"/>
        <w:numPr>
          <w:ilvl w:val="0"/>
          <w:numId w:val="1016"/>
        </w:numPr>
      </w:pPr>
      <w:r>
        <w:t xml:space="preserve">se detecten inconsistencias materiales;</w:t>
      </w:r>
    </w:p>
    <w:p>
      <w:pPr>
        <w:pStyle w:val="Compact"/>
        <w:numPr>
          <w:ilvl w:val="0"/>
          <w:numId w:val="1016"/>
        </w:numPr>
      </w:pPr>
      <w:r>
        <w:t xml:space="preserve">el usuario solicite escalamiento;</w:t>
      </w:r>
    </w:p>
    <w:p>
      <w:pPr>
        <w:pStyle w:val="Compact"/>
        <w:numPr>
          <w:ilvl w:val="0"/>
          <w:numId w:val="1016"/>
        </w:numPr>
      </w:pPr>
      <w:r>
        <w:t xml:space="preserve">el sistema identifique baja confianza en el output;</w:t>
      </w:r>
    </w:p>
    <w:p>
      <w:pPr>
        <w:pStyle w:val="Compact"/>
        <w:numPr>
          <w:ilvl w:val="0"/>
          <w:numId w:val="1016"/>
        </w:numPr>
      </w:pPr>
      <w:r>
        <w:t xml:space="preserve">exista riesgo de daño patrimonial, reputacional o jurídico.</w:t>
      </w:r>
    </w:p>
    <w:bookmarkEnd w:id="49"/>
    <w:bookmarkStart w:id="50" w:name="rol-de-la-persona-revisora"/>
    <w:p>
      <w:pPr>
        <w:pStyle w:val="Heading2"/>
      </w:pPr>
      <w:r>
        <w:t xml:space="preserve">7.2 Rol de la persona revisora</w:t>
      </w:r>
    </w:p>
    <w:p>
      <w:pPr>
        <w:pStyle w:val="FirstParagraph"/>
      </w:pPr>
      <w:r>
        <w:t xml:space="preserve">La persona revisora puede:</w:t>
      </w:r>
    </w:p>
    <w:p>
      <w:pPr>
        <w:pStyle w:val="Compact"/>
        <w:numPr>
          <w:ilvl w:val="0"/>
          <w:numId w:val="1017"/>
        </w:numPr>
      </w:pPr>
      <w:r>
        <w:t xml:space="preserve">verificar consistencia del relato;</w:t>
      </w:r>
    </w:p>
    <w:p>
      <w:pPr>
        <w:pStyle w:val="Compact"/>
        <w:numPr>
          <w:ilvl w:val="0"/>
          <w:numId w:val="1017"/>
        </w:numPr>
      </w:pPr>
      <w:r>
        <w:t xml:space="preserve">pedir antecedentes faltantes;</w:t>
      </w:r>
    </w:p>
    <w:p>
      <w:pPr>
        <w:pStyle w:val="Compact"/>
        <w:numPr>
          <w:ilvl w:val="0"/>
          <w:numId w:val="1017"/>
        </w:numPr>
      </w:pPr>
      <w:r>
        <w:t xml:space="preserve">corregir errores de la IA;</w:t>
      </w:r>
    </w:p>
    <w:p>
      <w:pPr>
        <w:pStyle w:val="Compact"/>
        <w:numPr>
          <w:ilvl w:val="0"/>
          <w:numId w:val="1017"/>
        </w:numPr>
      </w:pPr>
      <w:r>
        <w:t xml:space="preserve">validar documentos;</w:t>
      </w:r>
    </w:p>
    <w:p>
      <w:pPr>
        <w:pStyle w:val="Compact"/>
        <w:numPr>
          <w:ilvl w:val="0"/>
          <w:numId w:val="1017"/>
        </w:numPr>
      </w:pPr>
      <w:r>
        <w:t xml:space="preserve">definir si el caso requiere derivación;</w:t>
      </w:r>
    </w:p>
    <w:p>
      <w:pPr>
        <w:pStyle w:val="Compact"/>
        <w:numPr>
          <w:ilvl w:val="0"/>
          <w:numId w:val="1017"/>
        </w:numPr>
      </w:pPr>
      <w:r>
        <w:t xml:space="preserve">ajustar lenguaje para el usuario;</w:t>
      </w:r>
    </w:p>
    <w:p>
      <w:pPr>
        <w:pStyle w:val="Compact"/>
        <w:numPr>
          <w:ilvl w:val="0"/>
          <w:numId w:val="1017"/>
        </w:numPr>
      </w:pPr>
      <w:r>
        <w:t xml:space="preserve">detectar señales de riesgo;</w:t>
      </w:r>
    </w:p>
    <w:p>
      <w:pPr>
        <w:pStyle w:val="Compact"/>
        <w:numPr>
          <w:ilvl w:val="0"/>
          <w:numId w:val="1017"/>
        </w:numPr>
      </w:pPr>
      <w:r>
        <w:t xml:space="preserve">aprobar o bloquear un output crítico.</w:t>
      </w:r>
    </w:p>
    <w:bookmarkEnd w:id="50"/>
    <w:bookmarkStart w:id="51" w:name="no-dependencia-exclusiva"/>
    <w:p>
      <w:pPr>
        <w:pStyle w:val="Heading2"/>
      </w:pPr>
      <w:r>
        <w:t xml:space="preserve">7.3 No dependencia exclusiva</w:t>
      </w:r>
    </w:p>
    <w:p>
      <w:pPr>
        <w:pStyle w:val="FirstParagraph"/>
      </w:pPr>
      <w:r>
        <w:t xml:space="preserve">El usuario no debe depender exclusivamente de un output automatizado para tomar decisiones críticas. AlertaCuenta debe comunicar esta regla en los puntos relevantes del flujo.</w:t>
      </w:r>
    </w:p>
    <w:p>
      <w:r>
        <w:pict>
          <v:rect style="width:0;height:1.5pt" o:hralign="center" o:hrstd="t" o:hr="t"/>
        </w:pict>
      </w:r>
    </w:p>
    <w:bookmarkEnd w:id="51"/>
    <w:bookmarkEnd w:id="52"/>
    <w:bookmarkStart w:id="55" w:name="transparencia-frente-al-usuario"/>
    <w:p>
      <w:pPr>
        <w:pStyle w:val="Heading1"/>
      </w:pPr>
      <w:r>
        <w:t xml:space="preserve">8. Transparencia frente al usuario</w:t>
      </w:r>
    </w:p>
    <w:p>
      <w:pPr>
        <w:pStyle w:val="FirstParagraph"/>
      </w:pPr>
      <w:r>
        <w:t xml:space="preserve">AlertaCuenta debe informar razonablemente al usuario cuando una respuesta, clasificación, documento o resumen haya sido generado o asistido por IA.</w:t>
      </w:r>
    </w:p>
    <w:bookmarkStart w:id="53" w:name="mensajes-sugeridos"/>
    <w:p>
      <w:pPr>
        <w:pStyle w:val="Heading2"/>
      </w:pPr>
      <w:r>
        <w:t xml:space="preserve">8.1 Mensajes sugeridos</w:t>
      </w:r>
    </w:p>
    <w:p>
      <w:pPr>
        <w:pStyle w:val="FirstParagraph"/>
      </w:pPr>
      <w:r>
        <w:t xml:space="preserve">Ejemplos de mensajes de transparencia:</w:t>
      </w:r>
    </w:p>
    <w:p>
      <w:pPr>
        <w:pStyle w:val="BlockText"/>
      </w:pPr>
      <w:r>
        <w:t xml:space="preserve">“Este resumen fue generado con apoyo de IA a partir de la información que entregaste. Revísalo antes de usarlo.”</w:t>
      </w:r>
    </w:p>
    <w:p>
      <w:pPr>
        <w:pStyle w:val="BlockText"/>
      </w:pPr>
      <w:r>
        <w:t xml:space="preserve">“La clasificación de tu caso es preliminar. Puede cambiar si agregas nuevos antecedentes o si una persona revisora detecta información relevante.”</w:t>
      </w:r>
    </w:p>
    <w:p>
      <w:pPr>
        <w:pStyle w:val="BlockText"/>
      </w:pPr>
      <w:r>
        <w:t xml:space="preserve">“La IA no puede garantizar recuperación de dinero ni determinar responsabilidades legales definitivas.”</w:t>
      </w:r>
    </w:p>
    <w:bookmarkEnd w:id="53"/>
    <w:bookmarkStart w:id="54" w:name="lenguaje-claro"/>
    <w:p>
      <w:pPr>
        <w:pStyle w:val="Heading2"/>
      </w:pPr>
      <w:r>
        <w:t xml:space="preserve">8.2 Lenguaje claro</w:t>
      </w:r>
    </w:p>
    <w:p>
      <w:pPr>
        <w:pStyle w:val="FirstParagraph"/>
      </w:pPr>
      <w:r>
        <w:t xml:space="preserve">Las advertencias deben ser comprensibles. Deben evitar tecnicismos innecesarios y explicar qué debe hacer el usuario.</w:t>
      </w:r>
    </w:p>
    <w:p>
      <w:r>
        <w:pict>
          <v:rect style="width:0;height:1.5pt" o:hralign="center" o:hrstd="t" o:hr="t"/>
        </w:pict>
      </w:r>
    </w:p>
    <w:bookmarkEnd w:id="54"/>
    <w:bookmarkEnd w:id="55"/>
    <w:bookmarkStart w:id="60" w:name="calidad-evaluación-y-mejora-continua"/>
    <w:p>
      <w:pPr>
        <w:pStyle w:val="Heading1"/>
      </w:pPr>
      <w:r>
        <w:t xml:space="preserve">9. Calidad, evaluación y mejora continua</w:t>
      </w:r>
    </w:p>
    <w:p>
      <w:pPr>
        <w:pStyle w:val="FirstParagraph"/>
      </w:pPr>
      <w:r>
        <w:t xml:space="preserve">Los sistemas de IA de AlertaCuenta deben revisarse periódicamente para mejorar su calidad, seguridad y utilidad.</w:t>
      </w:r>
    </w:p>
    <w:bookmarkStart w:id="56" w:name="criterios-de-evaluación"/>
    <w:p>
      <w:pPr>
        <w:pStyle w:val="Heading2"/>
      </w:pPr>
      <w:r>
        <w:t xml:space="preserve">9.1 Criterios de evaluación</w:t>
      </w:r>
    </w:p>
    <w:p>
      <w:pPr>
        <w:pStyle w:val="FirstParagraph"/>
      </w:pPr>
      <w:r>
        <w:t xml:space="preserve">Pueden evaluarse criterios como:</w:t>
      </w:r>
    </w:p>
    <w:p>
      <w:pPr>
        <w:pStyle w:val="Compact"/>
        <w:numPr>
          <w:ilvl w:val="0"/>
          <w:numId w:val="1018"/>
        </w:numPr>
      </w:pPr>
      <w:r>
        <w:t xml:space="preserve">exactitud;</w:t>
      </w:r>
    </w:p>
    <w:p>
      <w:pPr>
        <w:pStyle w:val="Compact"/>
        <w:numPr>
          <w:ilvl w:val="0"/>
          <w:numId w:val="1018"/>
        </w:numPr>
      </w:pPr>
      <w:r>
        <w:t xml:space="preserve">completitud;</w:t>
      </w:r>
    </w:p>
    <w:p>
      <w:pPr>
        <w:pStyle w:val="Compact"/>
        <w:numPr>
          <w:ilvl w:val="0"/>
          <w:numId w:val="1018"/>
        </w:numPr>
      </w:pPr>
      <w:r>
        <w:t xml:space="preserve">claridad;</w:t>
      </w:r>
    </w:p>
    <w:p>
      <w:pPr>
        <w:pStyle w:val="Compact"/>
        <w:numPr>
          <w:ilvl w:val="0"/>
          <w:numId w:val="1018"/>
        </w:numPr>
      </w:pPr>
      <w:r>
        <w:t xml:space="preserve">utilidad;</w:t>
      </w:r>
    </w:p>
    <w:p>
      <w:pPr>
        <w:pStyle w:val="Compact"/>
        <w:numPr>
          <w:ilvl w:val="0"/>
          <w:numId w:val="1018"/>
        </w:numPr>
      </w:pPr>
      <w:r>
        <w:t xml:space="preserve">consistencia;</w:t>
      </w:r>
    </w:p>
    <w:p>
      <w:pPr>
        <w:pStyle w:val="Compact"/>
        <w:numPr>
          <w:ilvl w:val="0"/>
          <w:numId w:val="1018"/>
        </w:numPr>
      </w:pPr>
      <w:r>
        <w:t xml:space="preserve">seguridad;</w:t>
      </w:r>
    </w:p>
    <w:p>
      <w:pPr>
        <w:pStyle w:val="Compact"/>
        <w:numPr>
          <w:ilvl w:val="0"/>
          <w:numId w:val="1018"/>
        </w:numPr>
      </w:pPr>
      <w:r>
        <w:t xml:space="preserve">tasa de errores;</w:t>
      </w:r>
    </w:p>
    <w:p>
      <w:pPr>
        <w:pStyle w:val="Compact"/>
        <w:numPr>
          <w:ilvl w:val="0"/>
          <w:numId w:val="1018"/>
        </w:numPr>
      </w:pPr>
      <w:r>
        <w:t xml:space="preserve">omisiones críticas;</w:t>
      </w:r>
    </w:p>
    <w:p>
      <w:pPr>
        <w:pStyle w:val="Compact"/>
        <w:numPr>
          <w:ilvl w:val="0"/>
          <w:numId w:val="1018"/>
        </w:numPr>
      </w:pPr>
      <w:r>
        <w:t xml:space="preserve">sesgos;</w:t>
      </w:r>
    </w:p>
    <w:p>
      <w:pPr>
        <w:pStyle w:val="Compact"/>
        <w:numPr>
          <w:ilvl w:val="0"/>
          <w:numId w:val="1018"/>
        </w:numPr>
      </w:pPr>
      <w:r>
        <w:t xml:space="preserve">adecuación al usuario;</w:t>
      </w:r>
    </w:p>
    <w:p>
      <w:pPr>
        <w:pStyle w:val="Compact"/>
        <w:numPr>
          <w:ilvl w:val="0"/>
          <w:numId w:val="1018"/>
        </w:numPr>
      </w:pPr>
      <w:r>
        <w:t xml:space="preserve">calidad documental;</w:t>
      </w:r>
    </w:p>
    <w:p>
      <w:pPr>
        <w:pStyle w:val="Compact"/>
        <w:numPr>
          <w:ilvl w:val="0"/>
          <w:numId w:val="1018"/>
        </w:numPr>
      </w:pPr>
      <w:r>
        <w:t xml:space="preserve">satisfacción del usuario;</w:t>
      </w:r>
    </w:p>
    <w:p>
      <w:pPr>
        <w:pStyle w:val="Compact"/>
        <w:numPr>
          <w:ilvl w:val="0"/>
          <w:numId w:val="1018"/>
        </w:numPr>
      </w:pPr>
      <w:r>
        <w:t xml:space="preserve">necesidad de intervención humana.</w:t>
      </w:r>
    </w:p>
    <w:bookmarkEnd w:id="56"/>
    <w:bookmarkStart w:id="57" w:name="evaluación-con-casos-de-prueba"/>
    <w:p>
      <w:pPr>
        <w:pStyle w:val="Heading2"/>
      </w:pPr>
      <w:r>
        <w:t xml:space="preserve">9.2 Evaluación con casos de prueba</w:t>
      </w:r>
    </w:p>
    <w:p>
      <w:pPr>
        <w:pStyle w:val="FirstParagraph"/>
      </w:pPr>
      <w:r>
        <w:t xml:space="preserve">AlertaCuenta puede mantener datasets de prueba o casos sintéticos para evaluar flujos, prompts, agentes, documentos y respuestas.</w:t>
      </w:r>
    </w:p>
    <w:p>
      <w:pPr>
        <w:pStyle w:val="BodyText"/>
      </w:pPr>
      <w:r>
        <w:t xml:space="preserve">Los casos de prueba deben evitar exponer datos personales reales innecesarios.</w:t>
      </w:r>
    </w:p>
    <w:bookmarkEnd w:id="57"/>
    <w:bookmarkStart w:id="58" w:name="feedback-del-usuario"/>
    <w:p>
      <w:pPr>
        <w:pStyle w:val="Heading2"/>
      </w:pPr>
      <w:r>
        <w:t xml:space="preserve">9.3 Feedback del usuario</w:t>
      </w:r>
    </w:p>
    <w:p>
      <w:pPr>
        <w:pStyle w:val="FirstParagraph"/>
      </w:pPr>
      <w:r>
        <w:t xml:space="preserve">El usuario puede reportar errores, información incorrecta, documentos confusos o respuestas inadecuadas. Ese feedback puede usarse para mejorar el sistema.</w:t>
      </w:r>
    </w:p>
    <w:bookmarkEnd w:id="58"/>
    <w:bookmarkStart w:id="59" w:name="mejora-controlada"/>
    <w:p>
      <w:pPr>
        <w:pStyle w:val="Heading2"/>
      </w:pPr>
      <w:r>
        <w:t xml:space="preserve">9.4 Mejora controlada</w:t>
      </w:r>
    </w:p>
    <w:p>
      <w:pPr>
        <w:pStyle w:val="FirstParagraph"/>
      </w:pPr>
      <w:r>
        <w:t xml:space="preserve">La mejora de modelos, prompts, flujos o documentos debe realizarse con control de versiones, revisión de cambios relevantes y evaluación del impacto sobre seguridad, privacidad y experiencia de usuario.</w:t>
      </w:r>
    </w:p>
    <w:p>
      <w:r>
        <w:pict>
          <v:rect style="width:0;height:1.5pt" o:hralign="center" o:hrstd="t" o:hr="t"/>
        </w:pict>
      </w:r>
    </w:p>
    <w:bookmarkEnd w:id="59"/>
    <w:bookmarkEnd w:id="60"/>
    <w:bookmarkStart w:id="65" w:name="Xb6d7e7e78a8a36b2440ae93721c392cab6c330f"/>
    <w:p>
      <w:pPr>
        <w:pStyle w:val="Heading1"/>
      </w:pPr>
      <w:r>
        <w:t xml:space="preserve">10. Datos, privacidad y entrenamiento de modelos</w:t>
      </w:r>
    </w:p>
    <w:p>
      <w:pPr>
        <w:pStyle w:val="FirstParagraph"/>
      </w:pPr>
      <w:r>
        <w:t xml:space="preserve">El uso de datos en sistemas de IA debe respetar la Política de Privacidad, la Política de Gobierno de Datos y el Aviso Especial de Datos Financieros y Evidencia de Fraude.</w:t>
      </w:r>
    </w:p>
    <w:bookmarkStart w:id="61" w:name="datos-que-pueden-procesarse-con-ia"/>
    <w:p>
      <w:pPr>
        <w:pStyle w:val="Heading2"/>
      </w:pPr>
      <w:r>
        <w:t xml:space="preserve">10.1 Datos que pueden procesarse con IA</w:t>
      </w:r>
    </w:p>
    <w:p>
      <w:pPr>
        <w:pStyle w:val="FirstParagraph"/>
      </w:pPr>
      <w:r>
        <w:t xml:space="preserve">La IA puede procesar, según necesidad:</w:t>
      </w:r>
    </w:p>
    <w:p>
      <w:pPr>
        <w:pStyle w:val="Compact"/>
        <w:numPr>
          <w:ilvl w:val="0"/>
          <w:numId w:val="1019"/>
        </w:numPr>
      </w:pPr>
      <w:r>
        <w:t xml:space="preserve">relatos del usuario;</w:t>
      </w:r>
    </w:p>
    <w:p>
      <w:pPr>
        <w:pStyle w:val="Compact"/>
        <w:numPr>
          <w:ilvl w:val="0"/>
          <w:numId w:val="1019"/>
        </w:numPr>
      </w:pPr>
      <w:r>
        <w:t xml:space="preserve">transcripciones;</w:t>
      </w:r>
    </w:p>
    <w:p>
      <w:pPr>
        <w:pStyle w:val="Compact"/>
        <w:numPr>
          <w:ilvl w:val="0"/>
          <w:numId w:val="1019"/>
        </w:numPr>
      </w:pPr>
      <w:r>
        <w:t xml:space="preserve">documentos subidos;</w:t>
      </w:r>
    </w:p>
    <w:p>
      <w:pPr>
        <w:pStyle w:val="Compact"/>
        <w:numPr>
          <w:ilvl w:val="0"/>
          <w:numId w:val="1019"/>
        </w:numPr>
      </w:pPr>
      <w:r>
        <w:t xml:space="preserve">pantallazos;</w:t>
      </w:r>
    </w:p>
    <w:p>
      <w:pPr>
        <w:pStyle w:val="Compact"/>
        <w:numPr>
          <w:ilvl w:val="0"/>
          <w:numId w:val="1019"/>
        </w:numPr>
      </w:pPr>
      <w:r>
        <w:t xml:space="preserve">datos del caso;</w:t>
      </w:r>
    </w:p>
    <w:p>
      <w:pPr>
        <w:pStyle w:val="Compact"/>
        <w:numPr>
          <w:ilvl w:val="0"/>
          <w:numId w:val="1019"/>
        </w:numPr>
      </w:pPr>
      <w:r>
        <w:t xml:space="preserve">resúmenes;</w:t>
      </w:r>
    </w:p>
    <w:p>
      <w:pPr>
        <w:pStyle w:val="Compact"/>
        <w:numPr>
          <w:ilvl w:val="0"/>
          <w:numId w:val="1019"/>
        </w:numPr>
      </w:pPr>
      <w:r>
        <w:t xml:space="preserve">prompts;</w:t>
      </w:r>
    </w:p>
    <w:p>
      <w:pPr>
        <w:pStyle w:val="Compact"/>
        <w:numPr>
          <w:ilvl w:val="0"/>
          <w:numId w:val="1019"/>
        </w:numPr>
      </w:pPr>
      <w:r>
        <w:t xml:space="preserve">outputs;</w:t>
      </w:r>
    </w:p>
    <w:p>
      <w:pPr>
        <w:pStyle w:val="Compact"/>
        <w:numPr>
          <w:ilvl w:val="0"/>
          <w:numId w:val="1019"/>
        </w:numPr>
      </w:pPr>
      <w:r>
        <w:t xml:space="preserve">metadatos técnicos;</w:t>
      </w:r>
    </w:p>
    <w:p>
      <w:pPr>
        <w:pStyle w:val="Compact"/>
        <w:numPr>
          <w:ilvl w:val="0"/>
          <w:numId w:val="1019"/>
        </w:numPr>
      </w:pPr>
      <w:r>
        <w:t xml:space="preserve">información de calidad o seguridad.</w:t>
      </w:r>
    </w:p>
    <w:bookmarkEnd w:id="61"/>
    <w:bookmarkStart w:id="62" w:name="minimización"/>
    <w:p>
      <w:pPr>
        <w:pStyle w:val="Heading2"/>
      </w:pPr>
      <w:r>
        <w:t xml:space="preserve">10.2 Minimización</w:t>
      </w:r>
    </w:p>
    <w:p>
      <w:pPr>
        <w:pStyle w:val="FirstParagraph"/>
      </w:pPr>
      <w:r>
        <w:t xml:space="preserve">Antes de enviar información a un sistema de IA, AlertaCuenta debe procurar limitar los datos al mínimo necesario.</w:t>
      </w:r>
    </w:p>
    <w:p>
      <w:pPr>
        <w:pStyle w:val="BodyText"/>
      </w:pPr>
      <w:r>
        <w:t xml:space="preserve">Cuando sea posible, debe evitarse incluir:</w:t>
      </w:r>
    </w:p>
    <w:p>
      <w:pPr>
        <w:pStyle w:val="Compact"/>
        <w:numPr>
          <w:ilvl w:val="0"/>
          <w:numId w:val="1020"/>
        </w:numPr>
      </w:pPr>
      <w:r>
        <w:t xml:space="preserve">claves;</w:t>
      </w:r>
    </w:p>
    <w:p>
      <w:pPr>
        <w:pStyle w:val="Compact"/>
        <w:numPr>
          <w:ilvl w:val="0"/>
          <w:numId w:val="1020"/>
        </w:numPr>
      </w:pPr>
      <w:r>
        <w:t xml:space="preserve">códigos;</w:t>
      </w:r>
    </w:p>
    <w:p>
      <w:pPr>
        <w:pStyle w:val="Compact"/>
        <w:numPr>
          <w:ilvl w:val="0"/>
          <w:numId w:val="1020"/>
        </w:numPr>
      </w:pPr>
      <w:r>
        <w:t xml:space="preserve">CVV;</w:t>
      </w:r>
    </w:p>
    <w:p>
      <w:pPr>
        <w:pStyle w:val="Compact"/>
        <w:numPr>
          <w:ilvl w:val="0"/>
          <w:numId w:val="1020"/>
        </w:numPr>
      </w:pPr>
      <w:r>
        <w:t xml:space="preserve">datos completos de tarjetas;</w:t>
      </w:r>
    </w:p>
    <w:p>
      <w:pPr>
        <w:pStyle w:val="Compact"/>
        <w:numPr>
          <w:ilvl w:val="0"/>
          <w:numId w:val="1020"/>
        </w:numPr>
      </w:pPr>
      <w:r>
        <w:t xml:space="preserve">información no relacionada con el caso;</w:t>
      </w:r>
    </w:p>
    <w:p>
      <w:pPr>
        <w:pStyle w:val="Compact"/>
        <w:numPr>
          <w:ilvl w:val="0"/>
          <w:numId w:val="1020"/>
        </w:numPr>
      </w:pPr>
      <w:r>
        <w:t xml:space="preserve">documentos excesivos;</w:t>
      </w:r>
    </w:p>
    <w:p>
      <w:pPr>
        <w:pStyle w:val="Compact"/>
        <w:numPr>
          <w:ilvl w:val="0"/>
          <w:numId w:val="1020"/>
        </w:numPr>
      </w:pPr>
      <w:r>
        <w:t xml:space="preserve">datos de terceros no necesarios.</w:t>
      </w:r>
    </w:p>
    <w:bookmarkEnd w:id="62"/>
    <w:bookmarkStart w:id="63" w:name="entrenamiento-de-modelos"/>
    <w:p>
      <w:pPr>
        <w:pStyle w:val="Heading2"/>
      </w:pPr>
      <w:r>
        <w:t xml:space="preserve">10.3 Entrenamiento de modelos</w:t>
      </w:r>
    </w:p>
    <w:p>
      <w:pPr>
        <w:pStyle w:val="FirstParagraph"/>
      </w:pPr>
      <w:r>
        <w:t xml:space="preserve">Como regla general, AlertaCuenta no debe utilizar información identificable de usuarios para entrenar modelos generales de propósito amplio sin autorización expresa o base jurídica suficiente.</w:t>
      </w:r>
    </w:p>
    <w:p>
      <w:pPr>
        <w:pStyle w:val="BodyText"/>
      </w:pPr>
      <w:r>
        <w:t xml:space="preserve">La mejora del sistema debe priorizar:</w:t>
      </w:r>
    </w:p>
    <w:p>
      <w:pPr>
        <w:pStyle w:val="Compact"/>
        <w:numPr>
          <w:ilvl w:val="0"/>
          <w:numId w:val="1021"/>
        </w:numPr>
      </w:pPr>
      <w:r>
        <w:t xml:space="preserve">datos agregados;</w:t>
      </w:r>
    </w:p>
    <w:p>
      <w:pPr>
        <w:pStyle w:val="Compact"/>
        <w:numPr>
          <w:ilvl w:val="0"/>
          <w:numId w:val="1021"/>
        </w:numPr>
      </w:pPr>
      <w:r>
        <w:t xml:space="preserve">datos anonimizados;</w:t>
      </w:r>
    </w:p>
    <w:p>
      <w:pPr>
        <w:pStyle w:val="Compact"/>
        <w:numPr>
          <w:ilvl w:val="0"/>
          <w:numId w:val="1021"/>
        </w:numPr>
      </w:pPr>
      <w:r>
        <w:t xml:space="preserve">datos seudonimizados;</w:t>
      </w:r>
    </w:p>
    <w:p>
      <w:pPr>
        <w:pStyle w:val="Compact"/>
        <w:numPr>
          <w:ilvl w:val="0"/>
          <w:numId w:val="1021"/>
        </w:numPr>
      </w:pPr>
      <w:r>
        <w:t xml:space="preserve">datos sintéticos;</w:t>
      </w:r>
    </w:p>
    <w:p>
      <w:pPr>
        <w:pStyle w:val="Compact"/>
        <w:numPr>
          <w:ilvl w:val="0"/>
          <w:numId w:val="1021"/>
        </w:numPr>
      </w:pPr>
      <w:r>
        <w:t xml:space="preserve">casos de prueba;</w:t>
      </w:r>
    </w:p>
    <w:p>
      <w:pPr>
        <w:pStyle w:val="Compact"/>
        <w:numPr>
          <w:ilvl w:val="0"/>
          <w:numId w:val="1021"/>
        </w:numPr>
      </w:pPr>
      <w:r>
        <w:t xml:space="preserve">métricas no identificables;</w:t>
      </w:r>
    </w:p>
    <w:p>
      <w:pPr>
        <w:pStyle w:val="Compact"/>
        <w:numPr>
          <w:ilvl w:val="0"/>
          <w:numId w:val="1021"/>
        </w:numPr>
      </w:pPr>
      <w:r>
        <w:t xml:space="preserve">feedback voluntario;</w:t>
      </w:r>
    </w:p>
    <w:p>
      <w:pPr>
        <w:pStyle w:val="Compact"/>
        <w:numPr>
          <w:ilvl w:val="0"/>
          <w:numId w:val="1021"/>
        </w:numPr>
      </w:pPr>
      <w:r>
        <w:t xml:space="preserve">registros minimizados.</w:t>
      </w:r>
    </w:p>
    <w:bookmarkEnd w:id="63"/>
    <w:bookmarkStart w:id="64" w:name="proveedores-externos"/>
    <w:p>
      <w:pPr>
        <w:pStyle w:val="Heading2"/>
      </w:pPr>
      <w:r>
        <w:t xml:space="preserve">10.4 Proveedores externos</w:t>
      </w:r>
    </w:p>
    <w:p>
      <w:pPr>
        <w:pStyle w:val="FirstParagraph"/>
      </w:pPr>
      <w:r>
        <w:t xml:space="preserve">Cuando AlertaCuenta utilice proveedores externos de IA, deberá considerar sus condiciones de uso, políticas de privacidad, ubicación del tratamiento, medidas de seguridad, posibilidades de retención, uso de datos para entrenamiento, continuidad y controles disponibles.</w:t>
      </w:r>
    </w:p>
    <w:p>
      <w:r>
        <w:pict>
          <v:rect style="width:0;height:1.5pt" o:hralign="center" o:hrstd="t" o:hr="t"/>
        </w:pict>
      </w:r>
    </w:p>
    <w:bookmarkEnd w:id="64"/>
    <w:bookmarkEnd w:id="65"/>
    <w:bookmarkStart w:id="68" w:name="seguridad-de-ia"/>
    <w:p>
      <w:pPr>
        <w:pStyle w:val="Heading1"/>
      </w:pPr>
      <w:r>
        <w:t xml:space="preserve">11. Seguridad de IA</w:t>
      </w:r>
    </w:p>
    <w:p>
      <w:pPr>
        <w:pStyle w:val="FirstParagraph"/>
      </w:pPr>
      <w:r>
        <w:t xml:space="preserve">La seguridad de IA incluye la protección del modelo, de los datos, de los prompts, de los outputs, de los usuarios y de los sistemas que interactúan con la plataforma.</w:t>
      </w:r>
    </w:p>
    <w:bookmarkStart w:id="66" w:name="riesgos-específicos"/>
    <w:p>
      <w:pPr>
        <w:pStyle w:val="Heading2"/>
      </w:pPr>
      <w:r>
        <w:t xml:space="preserve">11.1 Riesgos específicos</w:t>
      </w:r>
    </w:p>
    <w:p>
      <w:pPr>
        <w:pStyle w:val="FirstParagraph"/>
      </w:pPr>
      <w:r>
        <w:t xml:space="preserve">AlertaCuenta debe considerar riesgos como:</w:t>
      </w:r>
    </w:p>
    <w:p>
      <w:pPr>
        <w:pStyle w:val="Compact"/>
        <w:numPr>
          <w:ilvl w:val="0"/>
          <w:numId w:val="1022"/>
        </w:numPr>
      </w:pPr>
      <w:r>
        <w:t xml:space="preserve">prompt injection;</w:t>
      </w:r>
    </w:p>
    <w:p>
      <w:pPr>
        <w:pStyle w:val="Compact"/>
        <w:numPr>
          <w:ilvl w:val="0"/>
          <w:numId w:val="1022"/>
        </w:numPr>
      </w:pPr>
      <w:r>
        <w:t xml:space="preserve">extracción de instrucciones internas;</w:t>
      </w:r>
    </w:p>
    <w:p>
      <w:pPr>
        <w:pStyle w:val="Compact"/>
        <w:numPr>
          <w:ilvl w:val="0"/>
          <w:numId w:val="1022"/>
        </w:numPr>
      </w:pPr>
      <w:r>
        <w:t xml:space="preserve">manipulación del contexto;</w:t>
      </w:r>
    </w:p>
    <w:p>
      <w:pPr>
        <w:pStyle w:val="Compact"/>
        <w:numPr>
          <w:ilvl w:val="0"/>
          <w:numId w:val="1022"/>
        </w:numPr>
      </w:pPr>
      <w:r>
        <w:t xml:space="preserve">generación de outputs inseguros;</w:t>
      </w:r>
    </w:p>
    <w:p>
      <w:pPr>
        <w:pStyle w:val="Compact"/>
        <w:numPr>
          <w:ilvl w:val="0"/>
          <w:numId w:val="1022"/>
        </w:numPr>
      </w:pPr>
      <w:r>
        <w:t xml:space="preserve">filtración de datos;</w:t>
      </w:r>
    </w:p>
    <w:p>
      <w:pPr>
        <w:pStyle w:val="Compact"/>
        <w:numPr>
          <w:ilvl w:val="0"/>
          <w:numId w:val="1022"/>
        </w:numPr>
      </w:pPr>
      <w:r>
        <w:t xml:space="preserve">exposición de secretos;</w:t>
      </w:r>
    </w:p>
    <w:p>
      <w:pPr>
        <w:pStyle w:val="Compact"/>
        <w:numPr>
          <w:ilvl w:val="0"/>
          <w:numId w:val="1022"/>
        </w:numPr>
      </w:pPr>
      <w:r>
        <w:t xml:space="preserve">abuso automatizado;</w:t>
      </w:r>
    </w:p>
    <w:p>
      <w:pPr>
        <w:pStyle w:val="Compact"/>
        <w:numPr>
          <w:ilvl w:val="0"/>
          <w:numId w:val="1022"/>
        </w:numPr>
      </w:pPr>
      <w:r>
        <w:t xml:space="preserve">creación de documentos fraudulentos;</w:t>
      </w:r>
    </w:p>
    <w:p>
      <w:pPr>
        <w:pStyle w:val="Compact"/>
        <w:numPr>
          <w:ilvl w:val="0"/>
          <w:numId w:val="1022"/>
        </w:numPr>
      </w:pPr>
      <w:r>
        <w:t xml:space="preserve">carga de archivos maliciosos;</w:t>
      </w:r>
    </w:p>
    <w:p>
      <w:pPr>
        <w:pStyle w:val="Compact"/>
        <w:numPr>
          <w:ilvl w:val="0"/>
          <w:numId w:val="1022"/>
        </w:numPr>
      </w:pPr>
      <w:r>
        <w:t xml:space="preserve">ataques a integraciones;</w:t>
      </w:r>
    </w:p>
    <w:p>
      <w:pPr>
        <w:pStyle w:val="Compact"/>
        <w:numPr>
          <w:ilvl w:val="0"/>
          <w:numId w:val="1022"/>
        </w:numPr>
      </w:pPr>
      <w:r>
        <w:t xml:space="preserve">dependencia excesiva de un proveedor;</w:t>
      </w:r>
    </w:p>
    <w:p>
      <w:pPr>
        <w:pStyle w:val="Compact"/>
        <w:numPr>
          <w:ilvl w:val="0"/>
          <w:numId w:val="1022"/>
        </w:numPr>
      </w:pPr>
      <w:r>
        <w:t xml:space="preserve">alucinaciones;</w:t>
      </w:r>
    </w:p>
    <w:p>
      <w:pPr>
        <w:pStyle w:val="Compact"/>
        <w:numPr>
          <w:ilvl w:val="0"/>
          <w:numId w:val="1022"/>
        </w:numPr>
      </w:pPr>
      <w:r>
        <w:t xml:space="preserve">sesgos;</w:t>
      </w:r>
    </w:p>
    <w:p>
      <w:pPr>
        <w:pStyle w:val="Compact"/>
        <w:numPr>
          <w:ilvl w:val="0"/>
          <w:numId w:val="1022"/>
        </w:numPr>
      </w:pPr>
      <w:r>
        <w:t xml:space="preserve">respuestas engañosas o excesivamente confiadas.</w:t>
      </w:r>
    </w:p>
    <w:bookmarkEnd w:id="66"/>
    <w:bookmarkStart w:id="67" w:name="controles-recomendados"/>
    <w:p>
      <w:pPr>
        <w:pStyle w:val="Heading2"/>
      </w:pPr>
      <w:r>
        <w:t xml:space="preserve">11.2 Controles recomendados</w:t>
      </w:r>
    </w:p>
    <w:p>
      <w:pPr>
        <w:pStyle w:val="FirstParagraph"/>
      </w:pPr>
      <w:r>
        <w:t xml:space="preserve">Según la etapa del producto, AlertaCuenta puede aplicar:</w:t>
      </w:r>
    </w:p>
    <w:p>
      <w:pPr>
        <w:pStyle w:val="Compact"/>
        <w:numPr>
          <w:ilvl w:val="0"/>
          <w:numId w:val="1023"/>
        </w:numPr>
      </w:pPr>
      <w:r>
        <w:t xml:space="preserve">control de acceso a modelos y endpoints;</w:t>
      </w:r>
    </w:p>
    <w:p>
      <w:pPr>
        <w:pStyle w:val="Compact"/>
        <w:numPr>
          <w:ilvl w:val="0"/>
          <w:numId w:val="1023"/>
        </w:numPr>
      </w:pPr>
      <w:r>
        <w:t xml:space="preserve">segregación de ambientes;</w:t>
      </w:r>
    </w:p>
    <w:p>
      <w:pPr>
        <w:pStyle w:val="Compact"/>
        <w:numPr>
          <w:ilvl w:val="0"/>
          <w:numId w:val="1023"/>
        </w:numPr>
      </w:pPr>
      <w:r>
        <w:t xml:space="preserve">filtros de entrada;</w:t>
      </w:r>
    </w:p>
    <w:p>
      <w:pPr>
        <w:pStyle w:val="Compact"/>
        <w:numPr>
          <w:ilvl w:val="0"/>
          <w:numId w:val="1023"/>
        </w:numPr>
      </w:pPr>
      <w:r>
        <w:t xml:space="preserve">filtros de salida;</w:t>
      </w:r>
    </w:p>
    <w:p>
      <w:pPr>
        <w:pStyle w:val="Compact"/>
        <w:numPr>
          <w:ilvl w:val="0"/>
          <w:numId w:val="1023"/>
        </w:numPr>
      </w:pPr>
      <w:r>
        <w:t xml:space="preserve">límites de uso;</w:t>
      </w:r>
    </w:p>
    <w:p>
      <w:pPr>
        <w:pStyle w:val="Compact"/>
        <w:numPr>
          <w:ilvl w:val="0"/>
          <w:numId w:val="1023"/>
        </w:numPr>
      </w:pPr>
      <w:r>
        <w:t xml:space="preserve">monitoreo de abuso;</w:t>
      </w:r>
    </w:p>
    <w:p>
      <w:pPr>
        <w:pStyle w:val="Compact"/>
        <w:numPr>
          <w:ilvl w:val="0"/>
          <w:numId w:val="1023"/>
        </w:numPr>
      </w:pPr>
      <w:r>
        <w:t xml:space="preserve">revisión de prompts críticos;</w:t>
      </w:r>
    </w:p>
    <w:p>
      <w:pPr>
        <w:pStyle w:val="Compact"/>
        <w:numPr>
          <w:ilvl w:val="0"/>
          <w:numId w:val="1023"/>
        </w:numPr>
      </w:pPr>
      <w:r>
        <w:t xml:space="preserve">protección de instrucciones internas;</w:t>
      </w:r>
    </w:p>
    <w:p>
      <w:pPr>
        <w:pStyle w:val="Compact"/>
        <w:numPr>
          <w:ilvl w:val="0"/>
          <w:numId w:val="1023"/>
        </w:numPr>
      </w:pPr>
      <w:r>
        <w:t xml:space="preserve">gestión segura de secretos;</w:t>
      </w:r>
    </w:p>
    <w:p>
      <w:pPr>
        <w:pStyle w:val="Compact"/>
        <w:numPr>
          <w:ilvl w:val="0"/>
          <w:numId w:val="1023"/>
        </w:numPr>
      </w:pPr>
      <w:r>
        <w:t xml:space="preserve">validación de documentos generados;</w:t>
      </w:r>
    </w:p>
    <w:p>
      <w:pPr>
        <w:pStyle w:val="Compact"/>
        <w:numPr>
          <w:ilvl w:val="0"/>
          <w:numId w:val="1023"/>
        </w:numPr>
      </w:pPr>
      <w:r>
        <w:t xml:space="preserve">logging de eventos relevantes;</w:t>
      </w:r>
    </w:p>
    <w:p>
      <w:pPr>
        <w:pStyle w:val="Compact"/>
        <w:numPr>
          <w:ilvl w:val="0"/>
          <w:numId w:val="1023"/>
        </w:numPr>
      </w:pPr>
      <w:r>
        <w:t xml:space="preserve">bloqueo de contenido prohibido;</w:t>
      </w:r>
    </w:p>
    <w:p>
      <w:pPr>
        <w:pStyle w:val="Compact"/>
        <w:numPr>
          <w:ilvl w:val="0"/>
          <w:numId w:val="1023"/>
        </w:numPr>
      </w:pPr>
      <w:r>
        <w:t xml:space="preserve">evaluación periódica de vulnerabilidades;</w:t>
      </w:r>
    </w:p>
    <w:p>
      <w:pPr>
        <w:pStyle w:val="Compact"/>
        <w:numPr>
          <w:ilvl w:val="0"/>
          <w:numId w:val="1023"/>
        </w:numPr>
      </w:pPr>
      <w:r>
        <w:t xml:space="preserve">pruebas de seguridad de IA;</w:t>
      </w:r>
    </w:p>
    <w:p>
      <w:pPr>
        <w:pStyle w:val="Compact"/>
        <w:numPr>
          <w:ilvl w:val="0"/>
          <w:numId w:val="1023"/>
        </w:numPr>
      </w:pPr>
      <w:r>
        <w:t xml:space="preserve">revisión de proveedores.</w:t>
      </w:r>
    </w:p>
    <w:p>
      <w:r>
        <w:pict>
          <v:rect style="width:0;height:1.5pt" o:hralign="center" o:hrstd="t" o:hr="t"/>
        </w:pict>
      </w:r>
    </w:p>
    <w:bookmarkEnd w:id="67"/>
    <w:bookmarkEnd w:id="68"/>
    <w:bookmarkStart w:id="74" w:name="gobernanza-y-responsabilidades"/>
    <w:p>
      <w:pPr>
        <w:pStyle w:val="Heading1"/>
      </w:pPr>
      <w:r>
        <w:t xml:space="preserve">12. Gobernanza y responsabilidades</w:t>
      </w:r>
    </w:p>
    <w:p>
      <w:pPr>
        <w:pStyle w:val="FirstParagraph"/>
      </w:pPr>
      <w:r>
        <w:t xml:space="preserve">AlertaCuenta debe definir responsables para el diseño, implementación, evaluación y operación de sistemas de IA.</w:t>
      </w:r>
    </w:p>
    <w:bookmarkStart w:id="69" w:name="responsable-de-ia"/>
    <w:p>
      <w:pPr>
        <w:pStyle w:val="Heading2"/>
      </w:pPr>
      <w:r>
        <w:t xml:space="preserve">12.1 Responsable de IA</w:t>
      </w:r>
    </w:p>
    <w:p>
      <w:pPr>
        <w:pStyle w:val="FirstParagraph"/>
      </w:pPr>
      <w:r>
        <w:t xml:space="preserve">Persona o equipo encargado de supervisar el marco general de IA, definir criterios de uso, aprobar cambios relevantes y coordinar evaluaciones de riesgo.</w:t>
      </w:r>
    </w:p>
    <w:bookmarkEnd w:id="69"/>
    <w:bookmarkStart w:id="70" w:name="responsable-de-datos"/>
    <w:p>
      <w:pPr>
        <w:pStyle w:val="Heading2"/>
      </w:pPr>
      <w:r>
        <w:t xml:space="preserve">12.2 Responsable de datos</w:t>
      </w:r>
    </w:p>
    <w:p>
      <w:pPr>
        <w:pStyle w:val="FirstParagraph"/>
      </w:pPr>
      <w:r>
        <w:t xml:space="preserve">Persona o equipo encargado de asegurar que el uso de datos en IA sea compatible con privacidad, seguridad, minimización y gobierno de datos.</w:t>
      </w:r>
    </w:p>
    <w:bookmarkEnd w:id="70"/>
    <w:bookmarkStart w:id="71" w:name="responsable-técnico"/>
    <w:p>
      <w:pPr>
        <w:pStyle w:val="Heading2"/>
      </w:pPr>
      <w:r>
        <w:t xml:space="preserve">12.3 Responsable técnico</w:t>
      </w:r>
    </w:p>
    <w:p>
      <w:pPr>
        <w:pStyle w:val="FirstParagraph"/>
      </w:pPr>
      <w:r>
        <w:t xml:space="preserve">Persona o equipo encargado de arquitectura, integración, seguridad técnica, monitoreo y continuidad de los sistemas de IA.</w:t>
      </w:r>
    </w:p>
    <w:bookmarkEnd w:id="71"/>
    <w:bookmarkStart w:id="72" w:name="responsable-legal-o-de-cumplimiento"/>
    <w:p>
      <w:pPr>
        <w:pStyle w:val="Heading2"/>
      </w:pPr>
      <w:r>
        <w:t xml:space="preserve">12.4 Responsable legal o de cumplimiento</w:t>
      </w:r>
    </w:p>
    <w:p>
      <w:pPr>
        <w:pStyle w:val="FirstParagraph"/>
      </w:pPr>
      <w:r>
        <w:t xml:space="preserve">Persona o equipo encargado de revisar riesgos legales, regulatorios, contractuales y de protección al consumidor cuando corresponda.</w:t>
      </w:r>
    </w:p>
    <w:bookmarkEnd w:id="72"/>
    <w:bookmarkStart w:id="73" w:name="revisores-humanos"/>
    <w:p>
      <w:pPr>
        <w:pStyle w:val="Heading2"/>
      </w:pPr>
      <w:r>
        <w:t xml:space="preserve">12.5 Revisores humanos</w:t>
      </w:r>
    </w:p>
    <w:p>
      <w:pPr>
        <w:pStyle w:val="FirstParagraph"/>
      </w:pPr>
      <w:r>
        <w:t xml:space="preserve">Personas autorizadas para revisar casos, documentos, outputs críticos o decisiones de escalamiento.</w:t>
      </w:r>
    </w:p>
    <w:p>
      <w:pPr>
        <w:pStyle w:val="BodyText"/>
      </w:pPr>
      <w:r>
        <w:t xml:space="preserve">En fase MVP, estos roles pueden concentrarse en pocas personas, pero deben estar definidos funcionalmente.</w:t>
      </w:r>
    </w:p>
    <w:p>
      <w:r>
        <w:pict>
          <v:rect style="width:0;height:1.5pt" o:hralign="center" o:hrstd="t" o:hr="t"/>
        </w:pict>
      </w:r>
    </w:p>
    <w:bookmarkEnd w:id="73"/>
    <w:bookmarkEnd w:id="74"/>
    <w:bookmarkStart w:id="77" w:name="registro-y-trazabilidad"/>
    <w:p>
      <w:pPr>
        <w:pStyle w:val="Heading1"/>
      </w:pPr>
      <w:r>
        <w:t xml:space="preserve">13. Registro y trazabilidad</w:t>
      </w:r>
    </w:p>
    <w:p>
      <w:pPr>
        <w:pStyle w:val="FirstParagraph"/>
      </w:pPr>
      <w:r>
        <w:t xml:space="preserve">AlertaCuenta debe procurar registrar información suficiente para revisar y auditar el uso de IA en casos relevantes.</w:t>
      </w:r>
    </w:p>
    <w:bookmarkStart w:id="75" w:name="elementos-que-pueden-registrarse"/>
    <w:p>
      <w:pPr>
        <w:pStyle w:val="Heading2"/>
      </w:pPr>
      <w:r>
        <w:t xml:space="preserve">13.1 Elementos que pueden registrarse</w:t>
      </w:r>
    </w:p>
    <w:p>
      <w:pPr>
        <w:pStyle w:val="FirstParagraph"/>
      </w:pPr>
      <w:r>
        <w:t xml:space="preserve">Según criticidad y necesidad, pueden registrarse:</w:t>
      </w:r>
    </w:p>
    <w:p>
      <w:pPr>
        <w:pStyle w:val="Compact"/>
        <w:numPr>
          <w:ilvl w:val="0"/>
          <w:numId w:val="1024"/>
        </w:numPr>
      </w:pPr>
      <w:r>
        <w:t xml:space="preserve">fecha y hora de interacción;</w:t>
      </w:r>
    </w:p>
    <w:p>
      <w:pPr>
        <w:pStyle w:val="Compact"/>
        <w:numPr>
          <w:ilvl w:val="0"/>
          <w:numId w:val="1024"/>
        </w:numPr>
      </w:pPr>
      <w:r>
        <w:t xml:space="preserve">tipo de caso;</w:t>
      </w:r>
    </w:p>
    <w:p>
      <w:pPr>
        <w:pStyle w:val="Compact"/>
        <w:numPr>
          <w:ilvl w:val="0"/>
          <w:numId w:val="1024"/>
        </w:numPr>
      </w:pPr>
      <w:r>
        <w:t xml:space="preserve">versión del flujo;</w:t>
      </w:r>
    </w:p>
    <w:p>
      <w:pPr>
        <w:pStyle w:val="Compact"/>
        <w:numPr>
          <w:ilvl w:val="0"/>
          <w:numId w:val="1024"/>
        </w:numPr>
      </w:pPr>
      <w:r>
        <w:t xml:space="preserve">modelo o proveedor utilizado;</w:t>
      </w:r>
    </w:p>
    <w:p>
      <w:pPr>
        <w:pStyle w:val="Compact"/>
        <w:numPr>
          <w:ilvl w:val="0"/>
          <w:numId w:val="1024"/>
        </w:numPr>
      </w:pPr>
      <w:r>
        <w:t xml:space="preserve">prompt o instrucción relevante;</w:t>
      </w:r>
    </w:p>
    <w:p>
      <w:pPr>
        <w:pStyle w:val="Compact"/>
        <w:numPr>
          <w:ilvl w:val="0"/>
          <w:numId w:val="1024"/>
        </w:numPr>
      </w:pPr>
      <w:r>
        <w:t xml:space="preserve">documentos generados;</w:t>
      </w:r>
    </w:p>
    <w:p>
      <w:pPr>
        <w:pStyle w:val="Compact"/>
        <w:numPr>
          <w:ilvl w:val="0"/>
          <w:numId w:val="1024"/>
        </w:numPr>
      </w:pPr>
      <w:r>
        <w:t xml:space="preserve">revisión humana;</w:t>
      </w:r>
    </w:p>
    <w:p>
      <w:pPr>
        <w:pStyle w:val="Compact"/>
        <w:numPr>
          <w:ilvl w:val="0"/>
          <w:numId w:val="1024"/>
        </w:numPr>
      </w:pPr>
      <w:r>
        <w:t xml:space="preserve">aprobación o rechazo;</w:t>
      </w:r>
    </w:p>
    <w:p>
      <w:pPr>
        <w:pStyle w:val="Compact"/>
        <w:numPr>
          <w:ilvl w:val="0"/>
          <w:numId w:val="1024"/>
        </w:numPr>
      </w:pPr>
      <w:r>
        <w:t xml:space="preserve">correcciones realizadas;</w:t>
      </w:r>
    </w:p>
    <w:p>
      <w:pPr>
        <w:pStyle w:val="Compact"/>
        <w:numPr>
          <w:ilvl w:val="0"/>
          <w:numId w:val="1024"/>
        </w:numPr>
      </w:pPr>
      <w:r>
        <w:t xml:space="preserve">feedback del usuario;</w:t>
      </w:r>
    </w:p>
    <w:p>
      <w:pPr>
        <w:pStyle w:val="Compact"/>
        <w:numPr>
          <w:ilvl w:val="0"/>
          <w:numId w:val="1024"/>
        </w:numPr>
      </w:pPr>
      <w:r>
        <w:t xml:space="preserve">incidentes o errores detectados;</w:t>
      </w:r>
    </w:p>
    <w:p>
      <w:pPr>
        <w:pStyle w:val="Compact"/>
        <w:numPr>
          <w:ilvl w:val="0"/>
          <w:numId w:val="1024"/>
        </w:numPr>
      </w:pPr>
      <w:r>
        <w:t xml:space="preserve">métricas de calidad.</w:t>
      </w:r>
    </w:p>
    <w:bookmarkEnd w:id="75"/>
    <w:bookmarkStart w:id="76" w:name="límites-del-registro"/>
    <w:p>
      <w:pPr>
        <w:pStyle w:val="Heading2"/>
      </w:pPr>
      <w:r>
        <w:t xml:space="preserve">13.2 Límites del registro</w:t>
      </w:r>
    </w:p>
    <w:p>
      <w:pPr>
        <w:pStyle w:val="FirstParagraph"/>
      </w:pPr>
      <w:r>
        <w:t xml:space="preserve">La trazabilidad debe equilibrarse con privacidad y minimización. No todo debe conservarse indefinidamente ni con información identificable si no es necesario.</w:t>
      </w:r>
    </w:p>
    <w:p>
      <w:r>
        <w:pict>
          <v:rect style="width:0;height:1.5pt" o:hralign="center" o:hrstd="t" o:hr="t"/>
        </w:pict>
      </w:r>
    </w:p>
    <w:bookmarkEnd w:id="76"/>
    <w:bookmarkEnd w:id="77"/>
    <w:bookmarkStart w:id="81" w:name="Xc8c543458e25c9c5ff8ee100269071e4b808ab9"/>
    <w:p>
      <w:pPr>
        <w:pStyle w:val="Heading1"/>
      </w:pPr>
      <w:r>
        <w:t xml:space="preserve">14. Gestión de errores, alucinaciones y outputs inseguros</w:t>
      </w:r>
    </w:p>
    <w:p>
      <w:pPr>
        <w:pStyle w:val="FirstParagraph"/>
      </w:pPr>
      <w:r>
        <w:t xml:space="preserve">Los sistemas de IA pueden generar información incorrecta o inadecuada. AlertaCuenta debe contar con medidas para reducir, detectar y corregir estos riesgos.</w:t>
      </w:r>
    </w:p>
    <w:bookmarkStart w:id="78" w:name="medidas-preventivas"/>
    <w:p>
      <w:pPr>
        <w:pStyle w:val="Heading2"/>
      </w:pPr>
      <w:r>
        <w:t xml:space="preserve">14.1 Medidas preventivas</w:t>
      </w:r>
    </w:p>
    <w:p>
      <w:pPr>
        <w:pStyle w:val="FirstParagraph"/>
      </w:pPr>
      <w:r>
        <w:t xml:space="preserve">Pueden incluir:</w:t>
      </w:r>
    </w:p>
    <w:p>
      <w:pPr>
        <w:pStyle w:val="Compact"/>
        <w:numPr>
          <w:ilvl w:val="0"/>
          <w:numId w:val="1025"/>
        </w:numPr>
      </w:pPr>
      <w:r>
        <w:t xml:space="preserve">prompts estructurados;</w:t>
      </w:r>
    </w:p>
    <w:p>
      <w:pPr>
        <w:pStyle w:val="Compact"/>
        <w:numPr>
          <w:ilvl w:val="0"/>
          <w:numId w:val="1025"/>
        </w:numPr>
      </w:pPr>
      <w:r>
        <w:t xml:space="preserve">instrucciones de no inventar información;</w:t>
      </w:r>
    </w:p>
    <w:p>
      <w:pPr>
        <w:pStyle w:val="Compact"/>
        <w:numPr>
          <w:ilvl w:val="0"/>
          <w:numId w:val="1025"/>
        </w:numPr>
      </w:pPr>
      <w:r>
        <w:t xml:space="preserve">uso de fuentes verificadas cuando corresponda;</w:t>
      </w:r>
    </w:p>
    <w:p>
      <w:pPr>
        <w:pStyle w:val="Compact"/>
        <w:numPr>
          <w:ilvl w:val="0"/>
          <w:numId w:val="1025"/>
        </w:numPr>
      </w:pPr>
      <w:r>
        <w:t xml:space="preserve">plantillas controladas;</w:t>
      </w:r>
    </w:p>
    <w:p>
      <w:pPr>
        <w:pStyle w:val="Compact"/>
        <w:numPr>
          <w:ilvl w:val="0"/>
          <w:numId w:val="1025"/>
        </w:numPr>
      </w:pPr>
      <w:r>
        <w:t xml:space="preserve">validaciones de campos críticos;</w:t>
      </w:r>
    </w:p>
    <w:p>
      <w:pPr>
        <w:pStyle w:val="Compact"/>
        <w:numPr>
          <w:ilvl w:val="0"/>
          <w:numId w:val="1025"/>
        </w:numPr>
      </w:pPr>
      <w:r>
        <w:t xml:space="preserve">límites a recomendaciones sensibles;</w:t>
      </w:r>
    </w:p>
    <w:p>
      <w:pPr>
        <w:pStyle w:val="Compact"/>
        <w:numPr>
          <w:ilvl w:val="0"/>
          <w:numId w:val="1025"/>
        </w:numPr>
      </w:pPr>
      <w:r>
        <w:t xml:space="preserve">advertencias al usuario;</w:t>
      </w:r>
    </w:p>
    <w:p>
      <w:pPr>
        <w:pStyle w:val="Compact"/>
        <w:numPr>
          <w:ilvl w:val="0"/>
          <w:numId w:val="1025"/>
        </w:numPr>
      </w:pPr>
      <w:r>
        <w:t xml:space="preserve">escalamiento humano ante incertidumbre.</w:t>
      </w:r>
    </w:p>
    <w:bookmarkEnd w:id="78"/>
    <w:bookmarkStart w:id="79" w:name="medidas-correctivas"/>
    <w:p>
      <w:pPr>
        <w:pStyle w:val="Heading2"/>
      </w:pPr>
      <w:r>
        <w:t xml:space="preserve">14.2 Medidas correctivas</w:t>
      </w:r>
    </w:p>
    <w:p>
      <w:pPr>
        <w:pStyle w:val="FirstParagraph"/>
      </w:pPr>
      <w:r>
        <w:t xml:space="preserve">Pueden incluir:</w:t>
      </w:r>
    </w:p>
    <w:p>
      <w:pPr>
        <w:pStyle w:val="Compact"/>
        <w:numPr>
          <w:ilvl w:val="0"/>
          <w:numId w:val="1026"/>
        </w:numPr>
      </w:pPr>
      <w:r>
        <w:t xml:space="preserve">corrección del output;</w:t>
      </w:r>
    </w:p>
    <w:p>
      <w:pPr>
        <w:pStyle w:val="Compact"/>
        <w:numPr>
          <w:ilvl w:val="0"/>
          <w:numId w:val="1026"/>
        </w:numPr>
      </w:pPr>
      <w:r>
        <w:t xml:space="preserve">regeneración controlada;</w:t>
      </w:r>
    </w:p>
    <w:p>
      <w:pPr>
        <w:pStyle w:val="Compact"/>
        <w:numPr>
          <w:ilvl w:val="0"/>
          <w:numId w:val="1026"/>
        </w:numPr>
      </w:pPr>
      <w:r>
        <w:t xml:space="preserve">revisión humana;</w:t>
      </w:r>
    </w:p>
    <w:p>
      <w:pPr>
        <w:pStyle w:val="Compact"/>
        <w:numPr>
          <w:ilvl w:val="0"/>
          <w:numId w:val="1026"/>
        </w:numPr>
      </w:pPr>
      <w:r>
        <w:t xml:space="preserve">bloqueo de documento;</w:t>
      </w:r>
    </w:p>
    <w:p>
      <w:pPr>
        <w:pStyle w:val="Compact"/>
        <w:numPr>
          <w:ilvl w:val="0"/>
          <w:numId w:val="1026"/>
        </w:numPr>
      </w:pPr>
      <w:r>
        <w:t xml:space="preserve">aviso al usuario;</w:t>
      </w:r>
    </w:p>
    <w:p>
      <w:pPr>
        <w:pStyle w:val="Compact"/>
        <w:numPr>
          <w:ilvl w:val="0"/>
          <w:numId w:val="1026"/>
        </w:numPr>
      </w:pPr>
      <w:r>
        <w:t xml:space="preserve">registro del error;</w:t>
      </w:r>
    </w:p>
    <w:p>
      <w:pPr>
        <w:pStyle w:val="Compact"/>
        <w:numPr>
          <w:ilvl w:val="0"/>
          <w:numId w:val="1026"/>
        </w:numPr>
      </w:pPr>
      <w:r>
        <w:t xml:space="preserve">ajuste del prompt o flujo;</w:t>
      </w:r>
    </w:p>
    <w:p>
      <w:pPr>
        <w:pStyle w:val="Compact"/>
        <w:numPr>
          <w:ilvl w:val="0"/>
          <w:numId w:val="1026"/>
        </w:numPr>
      </w:pPr>
      <w:r>
        <w:t xml:space="preserve">actualización de criterios de evaluación.</w:t>
      </w:r>
    </w:p>
    <w:bookmarkEnd w:id="79"/>
    <w:bookmarkStart w:id="80" w:name="baja-confianza"/>
    <w:p>
      <w:pPr>
        <w:pStyle w:val="Heading2"/>
      </w:pPr>
      <w:r>
        <w:t xml:space="preserve">14.3 Baja confianza</w:t>
      </w:r>
    </w:p>
    <w:p>
      <w:pPr>
        <w:pStyle w:val="FirstParagraph"/>
      </w:pPr>
      <w:r>
        <w:t xml:space="preserve">Cuando el sistema detecte baja confianza, información contradictoria o datos insuficientes, debe evitar conclusiones fuertes y pedir antecedentes adicionales o escalar a revisión humana.</w:t>
      </w:r>
    </w:p>
    <w:p>
      <w:r>
        <w:pict>
          <v:rect style="width:0;height:1.5pt" o:hralign="center" o:hrstd="t" o:hr="t"/>
        </w:pict>
      </w:r>
    </w:p>
    <w:bookmarkEnd w:id="80"/>
    <w:bookmarkEnd w:id="81"/>
    <w:bookmarkStart w:id="85" w:name="sesgos-accesibilidad-y-trato-justo"/>
    <w:p>
      <w:pPr>
        <w:pStyle w:val="Heading1"/>
      </w:pPr>
      <w:r>
        <w:t xml:space="preserve">15. Sesgos, accesibilidad y trato justo</w:t>
      </w:r>
    </w:p>
    <w:p>
      <w:pPr>
        <w:pStyle w:val="FirstParagraph"/>
      </w:pPr>
      <w:r>
        <w:t xml:space="preserve">AlertaCuenta debe procurar que sus sistemas de IA no perjudiquen injustificadamente a usuarios por edad, género, nivel educacional, condición socioeconómica, discapacidad, nacionalidad, ubicación, forma de expresarse o nivel de alfabetización digital.</w:t>
      </w:r>
    </w:p>
    <w:bookmarkStart w:id="82" w:name="accesibilidad"/>
    <w:p>
      <w:pPr>
        <w:pStyle w:val="Heading2"/>
      </w:pPr>
      <w:r>
        <w:t xml:space="preserve">15.1 Accesibilidad</w:t>
      </w:r>
    </w:p>
    <w:p>
      <w:pPr>
        <w:pStyle w:val="FirstParagraph"/>
      </w:pPr>
      <w:r>
        <w:t xml:space="preserve">La IA debe favorecer lenguaje claro, instrucciones simples, pasos concretos y alternativas como audio, formularios guiados o asistencia progresiva.</w:t>
      </w:r>
    </w:p>
    <w:bookmarkEnd w:id="82"/>
    <w:bookmarkStart w:id="83" w:name="X00938b3213d547053206f46b347a42b2eaf2ceb"/>
    <w:p>
      <w:pPr>
        <w:pStyle w:val="Heading2"/>
      </w:pPr>
      <w:r>
        <w:t xml:space="preserve">15.2 Personas mayores o con baja literacidad digital</w:t>
      </w:r>
    </w:p>
    <w:p>
      <w:pPr>
        <w:pStyle w:val="FirstParagraph"/>
      </w:pPr>
      <w:r>
        <w:t xml:space="preserve">Los flujos deben evitar culpar al usuario, confundirlo con jerga técnica o exigir habilidades digitales innecesarias.</w:t>
      </w:r>
    </w:p>
    <w:bookmarkEnd w:id="83"/>
    <w:bookmarkStart w:id="84" w:name="mitigación-de-sesgos"/>
    <w:p>
      <w:pPr>
        <w:pStyle w:val="Heading2"/>
      </w:pPr>
      <w:r>
        <w:t xml:space="preserve">15.3 Mitigación de sesgos</w:t>
      </w:r>
    </w:p>
    <w:p>
      <w:pPr>
        <w:pStyle w:val="FirstParagraph"/>
      </w:pPr>
      <w:r>
        <w:t xml:space="preserve">Cuando sea posible, AlertaCuenta debe revisar outputs para evitar sesgos, respuestas discriminatorias, trato desigual o inferencias impropias.</w:t>
      </w:r>
    </w:p>
    <w:p>
      <w:r>
        <w:pict>
          <v:rect style="width:0;height:1.5pt" o:hralign="center" o:hrstd="t" o:hr="t"/>
        </w:pict>
      </w:r>
    </w:p>
    <w:bookmarkEnd w:id="84"/>
    <w:bookmarkEnd w:id="85"/>
    <w:bookmarkStart w:id="86" w:name="gestión-de-proveedores-de-ia"/>
    <w:p>
      <w:pPr>
        <w:pStyle w:val="Heading1"/>
      </w:pPr>
      <w:r>
        <w:t xml:space="preserve">16. Gestión de proveedores de IA</w:t>
      </w:r>
    </w:p>
    <w:p>
      <w:pPr>
        <w:pStyle w:val="FirstParagraph"/>
      </w:pPr>
      <w:r>
        <w:t xml:space="preserve">Cuando se utilicen modelos, APIs o servicios externos, AlertaCuenta debe evaluar razonablemente:</w:t>
      </w:r>
    </w:p>
    <w:p>
      <w:pPr>
        <w:pStyle w:val="Compact"/>
        <w:numPr>
          <w:ilvl w:val="0"/>
          <w:numId w:val="1027"/>
        </w:numPr>
      </w:pPr>
      <w:r>
        <w:t xml:space="preserve">finalidad del proveedor;</w:t>
      </w:r>
    </w:p>
    <w:p>
      <w:pPr>
        <w:pStyle w:val="Compact"/>
        <w:numPr>
          <w:ilvl w:val="0"/>
          <w:numId w:val="1027"/>
        </w:numPr>
      </w:pPr>
      <w:r>
        <w:t xml:space="preserve">términos de uso;</w:t>
      </w:r>
    </w:p>
    <w:p>
      <w:pPr>
        <w:pStyle w:val="Compact"/>
        <w:numPr>
          <w:ilvl w:val="0"/>
          <w:numId w:val="1027"/>
        </w:numPr>
      </w:pPr>
      <w:r>
        <w:t xml:space="preserve">política de privacidad;</w:t>
      </w:r>
    </w:p>
    <w:p>
      <w:pPr>
        <w:pStyle w:val="Compact"/>
        <w:numPr>
          <w:ilvl w:val="0"/>
          <w:numId w:val="1027"/>
        </w:numPr>
      </w:pPr>
      <w:r>
        <w:t xml:space="preserve">seguridad;</w:t>
      </w:r>
    </w:p>
    <w:p>
      <w:pPr>
        <w:pStyle w:val="Compact"/>
        <w:numPr>
          <w:ilvl w:val="0"/>
          <w:numId w:val="1027"/>
        </w:numPr>
      </w:pPr>
      <w:r>
        <w:t xml:space="preserve">retención de datos;</w:t>
      </w:r>
    </w:p>
    <w:p>
      <w:pPr>
        <w:pStyle w:val="Compact"/>
        <w:numPr>
          <w:ilvl w:val="0"/>
          <w:numId w:val="1027"/>
        </w:numPr>
      </w:pPr>
      <w:r>
        <w:t xml:space="preserve">uso de datos para entrenamiento;</w:t>
      </w:r>
    </w:p>
    <w:p>
      <w:pPr>
        <w:pStyle w:val="Compact"/>
        <w:numPr>
          <w:ilvl w:val="0"/>
          <w:numId w:val="1027"/>
        </w:numPr>
      </w:pPr>
      <w:r>
        <w:t xml:space="preserve">ubicación del tratamiento;</w:t>
      </w:r>
    </w:p>
    <w:p>
      <w:pPr>
        <w:pStyle w:val="Compact"/>
        <w:numPr>
          <w:ilvl w:val="0"/>
          <w:numId w:val="1027"/>
        </w:numPr>
      </w:pPr>
      <w:r>
        <w:t xml:space="preserve">disponibilidad;</w:t>
      </w:r>
    </w:p>
    <w:p>
      <w:pPr>
        <w:pStyle w:val="Compact"/>
        <w:numPr>
          <w:ilvl w:val="0"/>
          <w:numId w:val="1027"/>
        </w:numPr>
      </w:pPr>
      <w:r>
        <w:t xml:space="preserve">dependencia operacional;</w:t>
      </w:r>
    </w:p>
    <w:p>
      <w:pPr>
        <w:pStyle w:val="Compact"/>
        <w:numPr>
          <w:ilvl w:val="0"/>
          <w:numId w:val="1027"/>
        </w:numPr>
      </w:pPr>
      <w:r>
        <w:t xml:space="preserve">mecanismos de eliminación;</w:t>
      </w:r>
    </w:p>
    <w:p>
      <w:pPr>
        <w:pStyle w:val="Compact"/>
        <w:numPr>
          <w:ilvl w:val="0"/>
          <w:numId w:val="1027"/>
        </w:numPr>
      </w:pPr>
      <w:r>
        <w:t xml:space="preserve">controles empresariales disponibles;</w:t>
      </w:r>
    </w:p>
    <w:p>
      <w:pPr>
        <w:pStyle w:val="Compact"/>
        <w:numPr>
          <w:ilvl w:val="0"/>
          <w:numId w:val="1027"/>
        </w:numPr>
      </w:pPr>
      <w:r>
        <w:t xml:space="preserve">compatibilidad con la Política de Privacidad de AlertaCuenta.</w:t>
      </w:r>
    </w:p>
    <w:p>
      <w:pPr>
        <w:pStyle w:val="FirstParagraph"/>
      </w:pPr>
      <w:r>
        <w:t xml:space="preserve">Los proveedores relevantes deben documentarse en un registro interno o anexo operativo, especialmente si tratan datos personales, financieros o evidencia de fraude.</w:t>
      </w:r>
    </w:p>
    <w:p>
      <w:r>
        <w:pict>
          <v:rect style="width:0;height:1.5pt" o:hralign="center" o:hrstd="t" o:hr="t"/>
        </w:pict>
      </w:r>
    </w:p>
    <w:bookmarkEnd w:id="86"/>
    <w:bookmarkStart w:id="87" w:name="desarrollo-pruebas-y-despliegue"/>
    <w:p>
      <w:pPr>
        <w:pStyle w:val="Heading1"/>
      </w:pPr>
      <w:r>
        <w:t xml:space="preserve">17. Desarrollo, pruebas y despliegue</w:t>
      </w:r>
    </w:p>
    <w:p>
      <w:pPr>
        <w:pStyle w:val="FirstParagraph"/>
      </w:pPr>
      <w:r>
        <w:t xml:space="preserve">Antes de desplegar o modificar significativamente un sistema de IA, AlertaCuenta debe procurar revisar:</w:t>
      </w:r>
    </w:p>
    <w:p>
      <w:pPr>
        <w:pStyle w:val="Compact"/>
        <w:numPr>
          <w:ilvl w:val="0"/>
          <w:numId w:val="1028"/>
        </w:numPr>
      </w:pPr>
      <w:r>
        <w:t xml:space="preserve">finalidad del caso de uso;</w:t>
      </w:r>
    </w:p>
    <w:p>
      <w:pPr>
        <w:pStyle w:val="Compact"/>
        <w:numPr>
          <w:ilvl w:val="0"/>
          <w:numId w:val="1028"/>
        </w:numPr>
      </w:pPr>
      <w:r>
        <w:t xml:space="preserve">datos involucrados;</w:t>
      </w:r>
    </w:p>
    <w:p>
      <w:pPr>
        <w:pStyle w:val="Compact"/>
        <w:numPr>
          <w:ilvl w:val="0"/>
          <w:numId w:val="1028"/>
        </w:numPr>
      </w:pPr>
      <w:r>
        <w:t xml:space="preserve">nivel de riesgo;</w:t>
      </w:r>
    </w:p>
    <w:p>
      <w:pPr>
        <w:pStyle w:val="Compact"/>
        <w:numPr>
          <w:ilvl w:val="0"/>
          <w:numId w:val="1028"/>
        </w:numPr>
      </w:pPr>
      <w:r>
        <w:t xml:space="preserve">necesidad de revisión humana;</w:t>
      </w:r>
    </w:p>
    <w:p>
      <w:pPr>
        <w:pStyle w:val="Compact"/>
        <w:numPr>
          <w:ilvl w:val="0"/>
          <w:numId w:val="1028"/>
        </w:numPr>
      </w:pPr>
      <w:r>
        <w:t xml:space="preserve">controles de seguridad;</w:t>
      </w:r>
    </w:p>
    <w:p>
      <w:pPr>
        <w:pStyle w:val="Compact"/>
        <w:numPr>
          <w:ilvl w:val="0"/>
          <w:numId w:val="1028"/>
        </w:numPr>
      </w:pPr>
      <w:r>
        <w:t xml:space="preserve">mensajes de transparencia;</w:t>
      </w:r>
    </w:p>
    <w:p>
      <w:pPr>
        <w:pStyle w:val="Compact"/>
        <w:numPr>
          <w:ilvl w:val="0"/>
          <w:numId w:val="1028"/>
        </w:numPr>
      </w:pPr>
      <w:r>
        <w:t xml:space="preserve">outputs esperados;</w:t>
      </w:r>
    </w:p>
    <w:p>
      <w:pPr>
        <w:pStyle w:val="Compact"/>
        <w:numPr>
          <w:ilvl w:val="0"/>
          <w:numId w:val="1028"/>
        </w:numPr>
      </w:pPr>
      <w:r>
        <w:t xml:space="preserve">escenarios de error;</w:t>
      </w:r>
    </w:p>
    <w:p>
      <w:pPr>
        <w:pStyle w:val="Compact"/>
        <w:numPr>
          <w:ilvl w:val="0"/>
          <w:numId w:val="1028"/>
        </w:numPr>
      </w:pPr>
      <w:r>
        <w:t xml:space="preserve">riesgos de abuso;</w:t>
      </w:r>
    </w:p>
    <w:p>
      <w:pPr>
        <w:pStyle w:val="Compact"/>
        <w:numPr>
          <w:ilvl w:val="0"/>
          <w:numId w:val="1028"/>
        </w:numPr>
      </w:pPr>
      <w:r>
        <w:t xml:space="preserve">impacto en usuarios vulnerables;</w:t>
      </w:r>
    </w:p>
    <w:p>
      <w:pPr>
        <w:pStyle w:val="Compact"/>
        <w:numPr>
          <w:ilvl w:val="0"/>
          <w:numId w:val="1028"/>
        </w:numPr>
      </w:pPr>
      <w:r>
        <w:t xml:space="preserve">compatibilidad con privacidad y términos de uso.</w:t>
      </w:r>
    </w:p>
    <w:p>
      <w:pPr>
        <w:pStyle w:val="FirstParagraph"/>
      </w:pPr>
      <w:r>
        <w:t xml:space="preserve">En fase de hackathon o MVP, esta revisión puede ser simplificada, pero debe quedar documentada en una ficha básica de caso de uso.</w:t>
      </w:r>
    </w:p>
    <w:p>
      <w:r>
        <w:pict>
          <v:rect style="width:0;height:1.5pt" o:hralign="center" o:hrstd="t" o:hr="t"/>
        </w:pict>
      </w:r>
    </w:p>
    <w:bookmarkEnd w:id="87"/>
    <w:bookmarkStart w:id="88" w:name="ficha-mínima-de-caso-de-uso-de-ia"/>
    <w:p>
      <w:pPr>
        <w:pStyle w:val="Heading1"/>
      </w:pPr>
      <w:r>
        <w:t xml:space="preserve">18. Ficha mínima de caso de uso de IA</w:t>
      </w:r>
    </w:p>
    <w:p>
      <w:pPr>
        <w:pStyle w:val="FirstParagraph"/>
      </w:pPr>
      <w:r>
        <w:t xml:space="preserve">Cada caso de uso relevante de IA debería documentarse con una ficha mínima: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Nombre del caso de uso</w:t>
            </w:r>
          </w:p>
        </w:tc>
        <w:tc>
          <w:tcPr/>
          <w:p>
            <w:pPr>
              <w:pStyle w:val="Compact"/>
            </w:pPr>
            <w:r>
              <w:t xml:space="preserve">Ej.: Clasificador preliminar de fraude</w:t>
            </w:r>
          </w:p>
        </w:tc>
      </w:tr>
      <w:tr>
        <w:tc>
          <w:tcPr/>
          <w:p>
            <w:pPr>
              <w:pStyle w:val="Compact"/>
            </w:pPr>
            <w:r>
              <w:t xml:space="preserve">Finalidad</w:t>
            </w:r>
          </w:p>
        </w:tc>
        <w:tc>
          <w:tcPr/>
          <w:p>
            <w:pPr>
              <w:pStyle w:val="Compact"/>
            </w:pPr>
            <w:r>
              <w:t xml:space="preserve">Qué problema resuelve</w:t>
            </w:r>
          </w:p>
        </w:tc>
      </w:tr>
      <w:tr>
        <w:tc>
          <w:tcPr/>
          <w:p>
            <w:pPr>
              <w:pStyle w:val="Compact"/>
            </w:pPr>
            <w:r>
              <w:t xml:space="preserve">Usuario afectado</w:t>
            </w:r>
          </w:p>
        </w:tc>
        <w:tc>
          <w:tcPr/>
          <w:p>
            <w:pPr>
              <w:pStyle w:val="Compact"/>
            </w:pPr>
            <w:r>
              <w:t xml:space="preserve">Usuario final, revisor interno, aliado, institución</w:t>
            </w:r>
          </w:p>
        </w:tc>
      </w:tr>
      <w:tr>
        <w:tc>
          <w:tcPr/>
          <w:p>
            <w:pPr>
              <w:pStyle w:val="Compact"/>
            </w:pPr>
            <w:r>
              <w:t xml:space="preserve">Datos tratados</w:t>
            </w:r>
          </w:p>
        </w:tc>
        <w:tc>
          <w:tcPr/>
          <w:p>
            <w:pPr>
              <w:pStyle w:val="Compact"/>
            </w:pPr>
            <w:r>
              <w:t xml:space="preserve">Relato, evidencia, datos financieros, logs, etc.</w:t>
            </w:r>
          </w:p>
        </w:tc>
      </w:tr>
      <w:tr>
        <w:tc>
          <w:tcPr/>
          <w:p>
            <w:pPr>
              <w:pStyle w:val="Compact"/>
            </w:pPr>
            <w:r>
              <w:t xml:space="preserve">Modelo o proveedor</w:t>
            </w:r>
          </w:p>
        </w:tc>
        <w:tc>
          <w:tcPr/>
          <w:p>
            <w:pPr>
              <w:pStyle w:val="Compact"/>
            </w:pPr>
            <w:r>
              <w:t xml:space="preserve">Herramienta utilizada</w:t>
            </w:r>
          </w:p>
        </w:tc>
      </w:tr>
      <w:tr>
        <w:tc>
          <w:tcPr/>
          <w:p>
            <w:pPr>
              <w:pStyle w:val="Compact"/>
            </w:pPr>
            <w:r>
              <w:t xml:space="preserve">Nivel de riesgo</w:t>
            </w:r>
          </w:p>
        </w:tc>
        <w:tc>
          <w:tcPr/>
          <w:p>
            <w:pPr>
              <w:pStyle w:val="Compact"/>
            </w:pPr>
            <w:r>
              <w:t xml:space="preserve">Bajo, medio, alto o crítico</w:t>
            </w:r>
          </w:p>
        </w:tc>
      </w:tr>
      <w:tr>
        <w:tc>
          <w:tcPr/>
          <w:p>
            <w:pPr>
              <w:pStyle w:val="Compact"/>
            </w:pPr>
            <w:r>
              <w:t xml:space="preserve">Output esperado</w:t>
            </w:r>
          </w:p>
        </w:tc>
        <w:tc>
          <w:tcPr/>
          <w:p>
            <w:pPr>
              <w:pStyle w:val="Compact"/>
            </w:pPr>
            <w:r>
              <w:t xml:space="preserve">Resumen, clasificación, documento, checklist, alerta</w:t>
            </w:r>
          </w:p>
        </w:tc>
      </w:tr>
      <w:tr>
        <w:tc>
          <w:tcPr/>
          <w:p>
            <w:pPr>
              <w:pStyle w:val="Compact"/>
            </w:pPr>
            <w:r>
              <w:t xml:space="preserve">Revisión humana</w:t>
            </w:r>
          </w:p>
        </w:tc>
        <w:tc>
          <w:tcPr/>
          <w:p>
            <w:pPr>
              <w:pStyle w:val="Compact"/>
            </w:pPr>
            <w:r>
              <w:t xml:space="preserve">Ninguna, por muestreo, obligatoria, escalamiento</w:t>
            </w:r>
          </w:p>
        </w:tc>
      </w:tr>
      <w:tr>
        <w:tc>
          <w:tcPr/>
          <w:p>
            <w:pPr>
              <w:pStyle w:val="Compact"/>
            </w:pPr>
            <w:r>
              <w:t xml:space="preserve">Riesgos principales</w:t>
            </w:r>
          </w:p>
        </w:tc>
        <w:tc>
          <w:tcPr/>
          <w:p>
            <w:pPr>
              <w:pStyle w:val="Compact"/>
            </w:pPr>
            <w:r>
              <w:t xml:space="preserve">Error, sesgo, alucinación, exposición de datos, abuso</w:t>
            </w:r>
          </w:p>
        </w:tc>
      </w:tr>
      <w:tr>
        <w:tc>
          <w:tcPr/>
          <w:p>
            <w:pPr>
              <w:pStyle w:val="Compact"/>
            </w:pPr>
            <w:r>
              <w:t xml:space="preserve">Controles</w:t>
            </w:r>
          </w:p>
        </w:tc>
        <w:tc>
          <w:tcPr/>
          <w:p>
            <w:pPr>
              <w:pStyle w:val="Compact"/>
            </w:pPr>
            <w:r>
              <w:t xml:space="preserve">Validación, límites, filtros, logs, disclaimers</w:t>
            </w:r>
          </w:p>
        </w:tc>
      </w:tr>
      <w:tr>
        <w:tc>
          <w:tcPr/>
          <w:p>
            <w:pPr>
              <w:pStyle w:val="Compact"/>
            </w:pPr>
            <w:r>
              <w:t xml:space="preserve">Responsable</w:t>
            </w:r>
          </w:p>
        </w:tc>
        <w:tc>
          <w:tcPr/>
          <w:p>
            <w:pPr>
              <w:pStyle w:val="Compact"/>
            </w:pPr>
            <w:r>
              <w:t xml:space="preserve">Persona o equipo a cargo</w:t>
            </w:r>
          </w:p>
        </w:tc>
      </w:tr>
      <w:tr>
        <w:tc>
          <w:tcPr/>
          <w:p>
            <w:pPr>
              <w:pStyle w:val="Compact"/>
            </w:pPr>
            <w:r>
              <w:t xml:space="preserve">Estado</w:t>
            </w:r>
          </w:p>
        </w:tc>
        <w:tc>
          <w:tcPr/>
          <w:p>
            <w:pPr>
              <w:pStyle w:val="Compact"/>
            </w:pPr>
            <w:r>
              <w:t xml:space="preserve">Diseño, prueba, piloto, producción, retirado</w:t>
            </w:r>
          </w:p>
        </w:tc>
      </w:tr>
    </w:tbl>
    <w:p>
      <w:r>
        <w:pict>
          <v:rect style="width:0;height:1.5pt" o:hralign="center" o:hrstd="t" o:hr="t"/>
        </w:pict>
      </w:r>
    </w:p>
    <w:bookmarkEnd w:id="88"/>
    <w:bookmarkStart w:id="89" w:name="comunicación-interna-y-capacitación"/>
    <w:p>
      <w:pPr>
        <w:pStyle w:val="Heading1"/>
      </w:pPr>
      <w:r>
        <w:t xml:space="preserve">19. Comunicación interna y capacitación</w:t>
      </w:r>
    </w:p>
    <w:p>
      <w:pPr>
        <w:pStyle w:val="FirstParagraph"/>
      </w:pPr>
      <w:r>
        <w:t xml:space="preserve">Las personas que participen en el diseño, revisión u operación de IA en AlertaCuenta deben conocer:</w:t>
      </w:r>
    </w:p>
    <w:p>
      <w:pPr>
        <w:pStyle w:val="Compact"/>
        <w:numPr>
          <w:ilvl w:val="0"/>
          <w:numId w:val="1029"/>
        </w:numPr>
      </w:pPr>
      <w:r>
        <w:t xml:space="preserve">límites de la IA;</w:t>
      </w:r>
    </w:p>
    <w:p>
      <w:pPr>
        <w:pStyle w:val="Compact"/>
        <w:numPr>
          <w:ilvl w:val="0"/>
          <w:numId w:val="1029"/>
        </w:numPr>
      </w:pPr>
      <w:r>
        <w:t xml:space="preserve">riesgos de datos financieros;</w:t>
      </w:r>
    </w:p>
    <w:p>
      <w:pPr>
        <w:pStyle w:val="Compact"/>
        <w:numPr>
          <w:ilvl w:val="0"/>
          <w:numId w:val="1029"/>
        </w:numPr>
      </w:pPr>
      <w:r>
        <w:t xml:space="preserve">prohibición de solicitar claves o códigos;</w:t>
      </w:r>
    </w:p>
    <w:p>
      <w:pPr>
        <w:pStyle w:val="Compact"/>
        <w:numPr>
          <w:ilvl w:val="0"/>
          <w:numId w:val="1029"/>
        </w:numPr>
      </w:pPr>
      <w:r>
        <w:t xml:space="preserve">criterios de minimización;</w:t>
      </w:r>
    </w:p>
    <w:p>
      <w:pPr>
        <w:pStyle w:val="Compact"/>
        <w:numPr>
          <w:ilvl w:val="0"/>
          <w:numId w:val="1029"/>
        </w:numPr>
      </w:pPr>
      <w:r>
        <w:t xml:space="preserve">reglas de revisión humana;</w:t>
      </w:r>
    </w:p>
    <w:p>
      <w:pPr>
        <w:pStyle w:val="Compact"/>
        <w:numPr>
          <w:ilvl w:val="0"/>
          <w:numId w:val="1029"/>
        </w:numPr>
      </w:pPr>
      <w:r>
        <w:t xml:space="preserve">manejo de evidencia;</w:t>
      </w:r>
    </w:p>
    <w:p>
      <w:pPr>
        <w:pStyle w:val="Compact"/>
        <w:numPr>
          <w:ilvl w:val="0"/>
          <w:numId w:val="1029"/>
        </w:numPr>
      </w:pPr>
      <w:r>
        <w:t xml:space="preserve">respuesta ante errores;</w:t>
      </w:r>
    </w:p>
    <w:p>
      <w:pPr>
        <w:pStyle w:val="Compact"/>
        <w:numPr>
          <w:ilvl w:val="0"/>
          <w:numId w:val="1029"/>
        </w:numPr>
      </w:pPr>
      <w:r>
        <w:t xml:space="preserve">uso seguro de herramientas externas;</w:t>
      </w:r>
    </w:p>
    <w:p>
      <w:pPr>
        <w:pStyle w:val="Compact"/>
        <w:numPr>
          <w:ilvl w:val="0"/>
          <w:numId w:val="1029"/>
        </w:numPr>
      </w:pPr>
      <w:r>
        <w:t xml:space="preserve">obligaciones de confidencialidad.</w:t>
      </w:r>
    </w:p>
    <w:p>
      <w:r>
        <w:pict>
          <v:rect style="width:0;height:1.5pt" o:hralign="center" o:hrstd="t" o:hr="t"/>
        </w:pict>
      </w:r>
    </w:p>
    <w:bookmarkEnd w:id="89"/>
    <w:bookmarkStart w:id="90" w:name="incidentes-relacionados-con-ia"/>
    <w:p>
      <w:pPr>
        <w:pStyle w:val="Heading1"/>
      </w:pPr>
      <w:r>
        <w:t xml:space="preserve">20. Incidentes relacionados con IA</w:t>
      </w:r>
    </w:p>
    <w:p>
      <w:pPr>
        <w:pStyle w:val="FirstParagraph"/>
      </w:pPr>
      <w:r>
        <w:t xml:space="preserve">Un incidente de IA puede incluir:</w:t>
      </w:r>
    </w:p>
    <w:p>
      <w:pPr>
        <w:pStyle w:val="Compact"/>
        <w:numPr>
          <w:ilvl w:val="0"/>
          <w:numId w:val="1030"/>
        </w:numPr>
      </w:pPr>
      <w:r>
        <w:t xml:space="preserve">exposición de datos;</w:t>
      </w:r>
    </w:p>
    <w:p>
      <w:pPr>
        <w:pStyle w:val="Compact"/>
        <w:numPr>
          <w:ilvl w:val="0"/>
          <w:numId w:val="1030"/>
        </w:numPr>
      </w:pPr>
      <w:r>
        <w:t xml:space="preserve">generación de documento gravemente incorrecto;</w:t>
      </w:r>
    </w:p>
    <w:p>
      <w:pPr>
        <w:pStyle w:val="Compact"/>
        <w:numPr>
          <w:ilvl w:val="0"/>
          <w:numId w:val="1030"/>
        </w:numPr>
      </w:pPr>
      <w:r>
        <w:t xml:space="preserve">recomendación insegura;</w:t>
      </w:r>
    </w:p>
    <w:p>
      <w:pPr>
        <w:pStyle w:val="Compact"/>
        <w:numPr>
          <w:ilvl w:val="0"/>
          <w:numId w:val="1030"/>
        </w:numPr>
      </w:pPr>
      <w:r>
        <w:t xml:space="preserve">output discriminatorio;</w:t>
      </w:r>
    </w:p>
    <w:p>
      <w:pPr>
        <w:pStyle w:val="Compact"/>
        <w:numPr>
          <w:ilvl w:val="0"/>
          <w:numId w:val="1030"/>
        </w:numPr>
      </w:pPr>
      <w:r>
        <w:t xml:space="preserve">manipulación exitosa del sistema;</w:t>
      </w:r>
    </w:p>
    <w:p>
      <w:pPr>
        <w:pStyle w:val="Compact"/>
        <w:numPr>
          <w:ilvl w:val="0"/>
          <w:numId w:val="1030"/>
        </w:numPr>
      </w:pPr>
      <w:r>
        <w:t xml:space="preserve">extracción de instrucciones internas;</w:t>
      </w:r>
    </w:p>
    <w:p>
      <w:pPr>
        <w:pStyle w:val="Compact"/>
        <w:numPr>
          <w:ilvl w:val="0"/>
          <w:numId w:val="1030"/>
        </w:numPr>
      </w:pPr>
      <w:r>
        <w:t xml:space="preserve">uso abusivo de la plataforma;</w:t>
      </w:r>
    </w:p>
    <w:p>
      <w:pPr>
        <w:pStyle w:val="Compact"/>
        <w:numPr>
          <w:ilvl w:val="0"/>
          <w:numId w:val="1030"/>
        </w:numPr>
      </w:pPr>
      <w:r>
        <w:t xml:space="preserve">envío indebido de información;</w:t>
      </w:r>
    </w:p>
    <w:p>
      <w:pPr>
        <w:pStyle w:val="Compact"/>
        <w:numPr>
          <w:ilvl w:val="0"/>
          <w:numId w:val="1030"/>
        </w:numPr>
      </w:pPr>
      <w:r>
        <w:t xml:space="preserve">error que pueda afectar derechos o patrimonio del usuario.</w:t>
      </w:r>
    </w:p>
    <w:p>
      <w:pPr>
        <w:pStyle w:val="FirstParagraph"/>
      </w:pPr>
      <w:r>
        <w:t xml:space="preserve">Ante un incidente, AlertaCuenta debe procurar:</w:t>
      </w:r>
    </w:p>
    <w:p>
      <w:pPr>
        <w:pStyle w:val="Compact"/>
        <w:numPr>
          <w:ilvl w:val="0"/>
          <w:numId w:val="1031"/>
        </w:numPr>
      </w:pPr>
      <w:r>
        <w:t xml:space="preserve">contener el riesgo;</w:t>
      </w:r>
    </w:p>
    <w:p>
      <w:pPr>
        <w:pStyle w:val="Compact"/>
        <w:numPr>
          <w:ilvl w:val="0"/>
          <w:numId w:val="1031"/>
        </w:numPr>
      </w:pPr>
      <w:r>
        <w:t xml:space="preserve">bloquear outputs o flujos afectados;</w:t>
      </w:r>
    </w:p>
    <w:p>
      <w:pPr>
        <w:pStyle w:val="Compact"/>
        <w:numPr>
          <w:ilvl w:val="0"/>
          <w:numId w:val="1031"/>
        </w:numPr>
      </w:pPr>
      <w:r>
        <w:t xml:space="preserve">registrar el incidente;</w:t>
      </w:r>
    </w:p>
    <w:p>
      <w:pPr>
        <w:pStyle w:val="Compact"/>
        <w:numPr>
          <w:ilvl w:val="0"/>
          <w:numId w:val="1031"/>
        </w:numPr>
      </w:pPr>
      <w:r>
        <w:t xml:space="preserve">evaluar impacto;</w:t>
      </w:r>
    </w:p>
    <w:p>
      <w:pPr>
        <w:pStyle w:val="Compact"/>
        <w:numPr>
          <w:ilvl w:val="0"/>
          <w:numId w:val="1031"/>
        </w:numPr>
      </w:pPr>
      <w:r>
        <w:t xml:space="preserve">corregir el sistema;</w:t>
      </w:r>
    </w:p>
    <w:p>
      <w:pPr>
        <w:pStyle w:val="Compact"/>
        <w:numPr>
          <w:ilvl w:val="0"/>
          <w:numId w:val="1031"/>
        </w:numPr>
      </w:pPr>
      <w:r>
        <w:t xml:space="preserve">informar al usuario o tercero cuando corresponda;</w:t>
      </w:r>
    </w:p>
    <w:p>
      <w:pPr>
        <w:pStyle w:val="Compact"/>
        <w:numPr>
          <w:ilvl w:val="0"/>
          <w:numId w:val="1031"/>
        </w:numPr>
      </w:pPr>
      <w:r>
        <w:t xml:space="preserve">revisar si procede notificación bajo políticas de seguridad o privacidad.</w:t>
      </w:r>
    </w:p>
    <w:p>
      <w:r>
        <w:pict>
          <v:rect style="width:0;height:1.5pt" o:hralign="center" o:hrstd="t" o:hr="t"/>
        </w:pict>
      </w:r>
    </w:p>
    <w:bookmarkEnd w:id="90"/>
    <w:bookmarkStart w:id="91" w:name="X0352f825ff6ea63f3997ade2e831ccd25b0857c"/>
    <w:p>
      <w:pPr>
        <w:pStyle w:val="Heading1"/>
      </w:pPr>
      <w:r>
        <w:t xml:space="preserve">21. Revisión y actualización de esta Política</w:t>
      </w:r>
    </w:p>
    <w:p>
      <w:pPr>
        <w:pStyle w:val="FirstParagraph"/>
      </w:pPr>
      <w:r>
        <w:t xml:space="preserve">Esta Política debe revisarse periódicamente o cuando existan cambios relevantes en:</w:t>
      </w:r>
    </w:p>
    <w:p>
      <w:pPr>
        <w:pStyle w:val="Compact"/>
        <w:numPr>
          <w:ilvl w:val="0"/>
          <w:numId w:val="1032"/>
        </w:numPr>
      </w:pPr>
      <w:r>
        <w:t xml:space="preserve">modelos de IA;</w:t>
      </w:r>
    </w:p>
    <w:p>
      <w:pPr>
        <w:pStyle w:val="Compact"/>
        <w:numPr>
          <w:ilvl w:val="0"/>
          <w:numId w:val="1032"/>
        </w:numPr>
      </w:pPr>
      <w:r>
        <w:t xml:space="preserve">proveedores;</w:t>
      </w:r>
    </w:p>
    <w:p>
      <w:pPr>
        <w:pStyle w:val="Compact"/>
        <w:numPr>
          <w:ilvl w:val="0"/>
          <w:numId w:val="1032"/>
        </w:numPr>
      </w:pPr>
      <w:r>
        <w:t xml:space="preserve">arquitectura;</w:t>
      </w:r>
    </w:p>
    <w:p>
      <w:pPr>
        <w:pStyle w:val="Compact"/>
        <w:numPr>
          <w:ilvl w:val="0"/>
          <w:numId w:val="1032"/>
        </w:numPr>
      </w:pPr>
      <w:r>
        <w:t xml:space="preserve">normativa;</w:t>
      </w:r>
    </w:p>
    <w:p>
      <w:pPr>
        <w:pStyle w:val="Compact"/>
        <w:numPr>
          <w:ilvl w:val="0"/>
          <w:numId w:val="1032"/>
        </w:numPr>
      </w:pPr>
      <w:r>
        <w:t xml:space="preserve">riesgos detectados;</w:t>
      </w:r>
    </w:p>
    <w:p>
      <w:pPr>
        <w:pStyle w:val="Compact"/>
        <w:numPr>
          <w:ilvl w:val="0"/>
          <w:numId w:val="1032"/>
        </w:numPr>
      </w:pPr>
      <w:r>
        <w:t xml:space="preserve">casos de uso;</w:t>
      </w:r>
    </w:p>
    <w:p>
      <w:pPr>
        <w:pStyle w:val="Compact"/>
        <w:numPr>
          <w:ilvl w:val="0"/>
          <w:numId w:val="1032"/>
        </w:numPr>
      </w:pPr>
      <w:r>
        <w:t xml:space="preserve">volumen de usuarios;</w:t>
      </w:r>
    </w:p>
    <w:p>
      <w:pPr>
        <w:pStyle w:val="Compact"/>
        <w:numPr>
          <w:ilvl w:val="0"/>
          <w:numId w:val="1032"/>
        </w:numPr>
      </w:pPr>
      <w:r>
        <w:t xml:space="preserve">tipo de datos tratados;</w:t>
      </w:r>
    </w:p>
    <w:p>
      <w:pPr>
        <w:pStyle w:val="Compact"/>
        <w:numPr>
          <w:ilvl w:val="0"/>
          <w:numId w:val="1032"/>
        </w:numPr>
      </w:pPr>
      <w:r>
        <w:t xml:space="preserve">integración con bancos, instituciones o terceros;</w:t>
      </w:r>
    </w:p>
    <w:p>
      <w:pPr>
        <w:pStyle w:val="Compact"/>
        <w:numPr>
          <w:ilvl w:val="0"/>
          <w:numId w:val="1032"/>
        </w:numPr>
      </w:pPr>
      <w:r>
        <w:t xml:space="preserve">incidentes o hallazgos de auditoría.</w:t>
      </w:r>
    </w:p>
    <w:p>
      <w:pPr>
        <w:pStyle w:val="FirstParagraph"/>
      </w:pPr>
      <w:r>
        <w:t xml:space="preserve">En fase MVP o hackathon, esta Política funciona como marco inicial. En fase productiva, deberá complementarse con procedimientos internos, fichas de casos de uso, matriz de riesgos, registros de proveedores, pruebas de calidad y protocolos de escalamiento.</w:t>
      </w:r>
    </w:p>
    <w:p>
      <w:r>
        <w:pict>
          <v:rect style="width:0;height:1.5pt" o:hralign="center" o:hrstd="t" o:hr="t"/>
        </w:pict>
      </w:r>
    </w:p>
    <w:bookmarkEnd w:id="91"/>
    <w:bookmarkStart w:id="92" w:name="mensaje-final"/>
    <w:p>
      <w:pPr>
        <w:pStyle w:val="Heading1"/>
      </w:pPr>
      <w:r>
        <w:t xml:space="preserve">22. Mensaje final</w:t>
      </w:r>
    </w:p>
    <w:p>
      <w:pPr>
        <w:pStyle w:val="FirstParagraph"/>
      </w:pPr>
      <w:r>
        <w:t xml:space="preserve">La inteligencia artificial puede hacer que AlertaCuenta sea más rápida, clara y accesible. Pero en casos de fraude financiero, rapidez sin control puede crear nuevos riesgos.</w:t>
      </w:r>
    </w:p>
    <w:p>
      <w:pPr>
        <w:pStyle w:val="BodyText"/>
      </w:pPr>
      <w:r>
        <w:t xml:space="preserve">Por eso, AlertaCuenta adopta una regla simple:</w:t>
      </w:r>
    </w:p>
    <w:p>
      <w:pPr>
        <w:pStyle w:val="BodyText"/>
      </w:pPr>
      <w:r>
        <w:rPr>
          <w:b/>
          <w:bCs/>
        </w:rPr>
        <w:t xml:space="preserve">La IA ayuda a ordenar. La persona decide. Los casos críticos se revisan. Los datos se protegen. La confianza se diseña.</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2026-05-07T03:32:43Z</dcterms:created>
  <dcterms:modified xsi:type="dcterms:W3CDTF">2026-05-07T03:32:43Z</dcterms:modified>
</cp:coreProperties>
</file>

<file path=docProps/custom.xml><?xml version="1.0" encoding="utf-8"?>
<Properties xmlns="http://schemas.openxmlformats.org/officeDocument/2006/custom-properties" xmlns:vt="http://schemas.openxmlformats.org/officeDocument/2006/docPropsVTypes"/>
</file>