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érminos-de-uso-alertacuenta"/>
    <w:p>
      <w:pPr>
        <w:pStyle w:val="Heading1"/>
      </w:pPr>
      <w:r>
        <w:t xml:space="preserve">Términos de Uso — AlertaCuenta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MVP / Hackathon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Entidad responsable:</w:t>
      </w:r>
      <w:r>
        <w:t xml:space="preserve"> </w:t>
      </w:r>
      <w:r>
        <w:t xml:space="preserve">[AlertaCuenta / razón social por definir]</w:t>
      </w:r>
      <w:r>
        <w:br/>
      </w:r>
      <w:r>
        <w:rPr>
          <w:b/>
          <w:bCs/>
        </w:rPr>
        <w:t xml:space="preserve">Sitio web o plataforma: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Canal de contacto:</w:t>
      </w:r>
      <w:r>
        <w:t xml:space="preserve"> </w:t>
      </w:r>
      <w:r>
        <w:t xml:space="preserve">[soporte@alertacuenta.cl / formulario web]</w:t>
      </w:r>
      <w:r>
        <w:br/>
      </w:r>
      <w:r>
        <w:rPr>
          <w:b/>
          <w:bCs/>
        </w:rPr>
        <w:t xml:space="preserve">Canal de privacidad:</w:t>
      </w:r>
      <w:r>
        <w:t xml:space="preserve"> </w:t>
      </w:r>
      <w:r>
        <w:t xml:space="preserve">[privacidad@alertacuenta.cl / formulario web]</w:t>
      </w:r>
    </w:p>
    <w:p>
      <w:r>
        <w:pict>
          <v:rect style="width:0;height:1.5pt" o:hralign="center" o:hrstd="t" o:hr="t"/>
        </w:pict>
      </w:r>
    </w:p>
    <w:bookmarkStart w:id="20" w:name="resumen-simple"/>
    <w:p>
      <w:pPr>
        <w:pStyle w:val="Heading2"/>
      </w:pPr>
      <w:r>
        <w:t xml:space="preserve">Resumen simple</w:t>
      </w:r>
    </w:p>
    <w:p>
      <w:pPr>
        <w:pStyle w:val="FirstParagraph"/>
      </w:pPr>
      <w:r>
        <w:t xml:space="preserve">Estos Términos regulan el acceso y uso de AlertaCuenta, una plataforma diseñada para orientar, contener, ordenar antecedentes y apoyar a personas que enfrentan una urgencia, sospecha o experiencia de fraude financiero.</w:t>
      </w:r>
    </w:p>
    <w:p>
      <w:pPr>
        <w:pStyle w:val="BodyText"/>
      </w:pPr>
      <w:r>
        <w:t xml:space="preserve">Al usar AlertaCuenta, aceptas estas reglas básicas:</w:t>
      </w:r>
    </w:p>
    <w:p>
      <w:pPr>
        <w:pStyle w:val="Compact"/>
        <w:numPr>
          <w:ilvl w:val="0"/>
          <w:numId w:val="1001"/>
        </w:numPr>
      </w:pPr>
      <w:r>
        <w:t xml:space="preserve">debes usar la plataforma de forma lícita, honesta y cuidadosa;</w:t>
      </w:r>
    </w:p>
    <w:p>
      <w:pPr>
        <w:pStyle w:val="Compact"/>
        <w:numPr>
          <w:ilvl w:val="0"/>
          <w:numId w:val="1001"/>
        </w:numPr>
      </w:pPr>
      <w:r>
        <w:t xml:space="preserve">no debes entregar claves, PIN, contraseñas, coordenadas, códigos SMS, códigos de autenticación ni acceso remoto;</w:t>
      </w:r>
    </w:p>
    <w:p>
      <w:pPr>
        <w:pStyle w:val="Compact"/>
        <w:numPr>
          <w:ilvl w:val="0"/>
          <w:numId w:val="1001"/>
        </w:numPr>
      </w:pPr>
      <w:r>
        <w:t xml:space="preserve">la plataforma puede ayudarte a ordenar información, identificar medidas, preparar documentos o sugerir rutas de acción;</w:t>
      </w:r>
    </w:p>
    <w:p>
      <w:pPr>
        <w:pStyle w:val="Compact"/>
        <w:numPr>
          <w:ilvl w:val="0"/>
          <w:numId w:val="1001"/>
        </w:numPr>
      </w:pPr>
      <w:r>
        <w:t xml:space="preserve">AlertaCuenta no garantiza la recuperación de dinero ni un resultado específico;</w:t>
      </w:r>
    </w:p>
    <w:p>
      <w:pPr>
        <w:pStyle w:val="Compact"/>
        <w:numPr>
          <w:ilvl w:val="0"/>
          <w:numId w:val="1001"/>
        </w:numPr>
      </w:pPr>
      <w:r>
        <w:t xml:space="preserve">los resultados generados por inteligencia artificial pueden contener errores y deben revisarse antes de usarse;</w:t>
      </w:r>
    </w:p>
    <w:p>
      <w:pPr>
        <w:pStyle w:val="Compact"/>
        <w:numPr>
          <w:ilvl w:val="0"/>
          <w:numId w:val="1001"/>
        </w:numPr>
      </w:pPr>
      <w:r>
        <w:t xml:space="preserve">si tu caso requiere asesoría profesional, revisión jurídica, denuncia, reclamo formal o actuación ante terceros, puede ser necesaria validación humana o apoyo especializado.</w:t>
      </w:r>
    </w:p>
    <w:p>
      <w:pPr>
        <w:pStyle w:val="BlockText"/>
      </w:pPr>
      <w:r>
        <w:rPr>
          <w:b/>
          <w:bCs/>
        </w:rPr>
        <w:t xml:space="preserve">Mensaje esencial:</w:t>
      </w:r>
      <w:r>
        <w:t xml:space="preserve"> </w:t>
      </w:r>
      <w:r>
        <w:t xml:space="preserve">AlertaCuenta ayuda a actuar mejor frente al fraude, pero no reemplaza el juicio humano, los canales oficiales del banco ni las decisiones de autoridades o tribunales.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ceptación-de-los-términos"/>
    <w:p>
      <w:pPr>
        <w:pStyle w:val="Heading1"/>
      </w:pPr>
      <w:r>
        <w:t xml:space="preserve">1. Aceptación de los Términos</w:t>
      </w:r>
    </w:p>
    <w:p>
      <w:pPr>
        <w:pStyle w:val="FirstParagraph"/>
      </w:pPr>
      <w:r>
        <w:t xml:space="preserve">El acceso, navegación, registro, uso de formularios, asistentes, herramientas, documentos, flujos guiados, canales de contacto o cualquier funcionalidad de AlertaCuenta implica la aceptación de estos Términos.</w:t>
      </w:r>
    </w:p>
    <w:p>
      <w:pPr>
        <w:pStyle w:val="BodyText"/>
      </w:pPr>
      <w:r>
        <w:t xml:space="preserve">Si no estás de acuerdo con estos Términos, debes abstenerte de utilizar la plataforma.</w:t>
      </w:r>
    </w:p>
    <w:p>
      <w:pPr>
        <w:pStyle w:val="BodyText"/>
      </w:pPr>
      <w:r>
        <w:t xml:space="preserve">Cuando existan condiciones particulares, contratos, pilotos, acuerdos institucionales, convenios, anexos de tratamiento de datos, órdenes de servicio u otros instrumentos específicos, dichos documentos prevalecerán sobre estos Términos respecto de la materia particular que regulen.</w:t>
      </w:r>
    </w:p>
    <w:p>
      <w:r>
        <w:pict>
          <v:rect style="width:0;height:1.5pt" o:hralign="center" o:hrstd="t" o:hr="t"/>
        </w:pict>
      </w:r>
    </w:p>
    <w:bookmarkEnd w:id="22"/>
    <w:bookmarkStart w:id="23" w:name="qué-es-alertacuenta"/>
    <w:p>
      <w:pPr>
        <w:pStyle w:val="Heading1"/>
      </w:pPr>
      <w:r>
        <w:t xml:space="preserve">2. Qué es AlertaCuenta</w:t>
      </w:r>
    </w:p>
    <w:p>
      <w:pPr>
        <w:pStyle w:val="FirstParagraph"/>
      </w:pPr>
      <w:r>
        <w:t xml:space="preserve">AlertaCuenta es una plataforma de apoyo frente a fraudes financieros o eventos sospechosos que puedan afectar cuentas, tarjetas, transferencias, medios de pago, billeteras digitales, comercios electrónicos, plataformas o productos financieros.</w:t>
      </w:r>
    </w:p>
    <w:p>
      <w:pPr>
        <w:pStyle w:val="BodyText"/>
      </w:pPr>
      <w:r>
        <w:t xml:space="preserve">La plataforma puede incluir, según su etapa de desarrollo:</w:t>
      </w:r>
    </w:p>
    <w:p>
      <w:pPr>
        <w:pStyle w:val="Compact"/>
        <w:numPr>
          <w:ilvl w:val="0"/>
          <w:numId w:val="1002"/>
        </w:numPr>
      </w:pPr>
      <w:r>
        <w:t xml:space="preserve">orientación preventiva;</w:t>
      </w:r>
    </w:p>
    <w:p>
      <w:pPr>
        <w:pStyle w:val="Compact"/>
        <w:numPr>
          <w:ilvl w:val="0"/>
          <w:numId w:val="1002"/>
        </w:numPr>
      </w:pPr>
      <w:r>
        <w:t xml:space="preserve">flujos de primera respuesta;</w:t>
      </w:r>
    </w:p>
    <w:p>
      <w:pPr>
        <w:pStyle w:val="Compact"/>
        <w:numPr>
          <w:ilvl w:val="0"/>
          <w:numId w:val="1002"/>
        </w:numPr>
      </w:pPr>
      <w:r>
        <w:t xml:space="preserve">formularios guiados;</w:t>
      </w:r>
    </w:p>
    <w:p>
      <w:pPr>
        <w:pStyle w:val="Compact"/>
        <w:numPr>
          <w:ilvl w:val="0"/>
          <w:numId w:val="1002"/>
        </w:numPr>
      </w:pPr>
      <w:r>
        <w:t xml:space="preserve">carga y ordenamiento de evidencia;</w:t>
      </w:r>
    </w:p>
    <w:p>
      <w:pPr>
        <w:pStyle w:val="Compact"/>
        <w:numPr>
          <w:ilvl w:val="0"/>
          <w:numId w:val="1002"/>
        </w:numPr>
      </w:pPr>
      <w:r>
        <w:t xml:space="preserve">relato de hechos por texto o audio;</w:t>
      </w:r>
    </w:p>
    <w:p>
      <w:pPr>
        <w:pStyle w:val="Compact"/>
        <w:numPr>
          <w:ilvl w:val="0"/>
          <w:numId w:val="1002"/>
        </w:numPr>
      </w:pPr>
      <w:r>
        <w:t xml:space="preserve">asistentes conversacionales;</w:t>
      </w:r>
    </w:p>
    <w:p>
      <w:pPr>
        <w:pStyle w:val="Compact"/>
        <w:numPr>
          <w:ilvl w:val="0"/>
          <w:numId w:val="1002"/>
        </w:numPr>
      </w:pPr>
      <w:r>
        <w:t xml:space="preserve">sistemas de clasificación preliminar;</w:t>
      </w:r>
    </w:p>
    <w:p>
      <w:pPr>
        <w:pStyle w:val="Compact"/>
        <w:numPr>
          <w:ilvl w:val="0"/>
          <w:numId w:val="1002"/>
        </w:numPr>
      </w:pPr>
      <w:r>
        <w:t xml:space="preserve">checklists de medidas urgentes;</w:t>
      </w:r>
    </w:p>
    <w:p>
      <w:pPr>
        <w:pStyle w:val="Compact"/>
        <w:numPr>
          <w:ilvl w:val="0"/>
          <w:numId w:val="1002"/>
        </w:numPr>
      </w:pPr>
      <w:r>
        <w:t xml:space="preserve">generación de borradores de documentos;</w:t>
      </w:r>
    </w:p>
    <w:p>
      <w:pPr>
        <w:pStyle w:val="Compact"/>
        <w:numPr>
          <w:ilvl w:val="0"/>
          <w:numId w:val="1002"/>
        </w:numPr>
      </w:pPr>
      <w:r>
        <w:t xml:space="preserve">resúmenes del caso;</w:t>
      </w:r>
    </w:p>
    <w:p>
      <w:pPr>
        <w:pStyle w:val="Compact"/>
        <w:numPr>
          <w:ilvl w:val="0"/>
          <w:numId w:val="1002"/>
        </w:numPr>
      </w:pPr>
      <w:r>
        <w:t xml:space="preserve">rutas de escalamiento;</w:t>
      </w:r>
    </w:p>
    <w:p>
      <w:pPr>
        <w:pStyle w:val="Compact"/>
        <w:numPr>
          <w:ilvl w:val="0"/>
          <w:numId w:val="1002"/>
        </w:numPr>
      </w:pPr>
      <w:r>
        <w:t xml:space="preserve">derivación a canales oficiales o profesionales;</w:t>
      </w:r>
    </w:p>
    <w:p>
      <w:pPr>
        <w:pStyle w:val="Compact"/>
        <w:numPr>
          <w:ilvl w:val="0"/>
          <w:numId w:val="1002"/>
        </w:numPr>
      </w:pPr>
      <w:r>
        <w:t xml:space="preserve">herramientas de inteligencia artificial;</w:t>
      </w:r>
    </w:p>
    <w:p>
      <w:pPr>
        <w:pStyle w:val="Compact"/>
        <w:numPr>
          <w:ilvl w:val="0"/>
          <w:numId w:val="1002"/>
        </w:numPr>
      </w:pPr>
      <w:r>
        <w:t xml:space="preserve">módulos de seguimiento o trazabilidad.</w:t>
      </w:r>
    </w:p>
    <w:p>
      <w:pPr>
        <w:pStyle w:val="FirstParagraph"/>
      </w:pPr>
      <w:r>
        <w:t xml:space="preserve">AlertaCuenta puede operar inicialmente como prototipo, piloto, MVP o solución en evaluación, especialmente durante hackathons, pruebas de concepto, demostraciones o validaciones tempranas.</w:t>
      </w:r>
    </w:p>
    <w:p>
      <w:r>
        <w:pict>
          <v:rect style="width:0;height:1.5pt" o:hralign="center" o:hrstd="t" o:hr="t"/>
        </w:pict>
      </w:r>
    </w:p>
    <w:bookmarkEnd w:id="23"/>
    <w:bookmarkStart w:id="24" w:name="qué-no-es-alertacuenta"/>
    <w:p>
      <w:pPr>
        <w:pStyle w:val="Heading1"/>
      </w:pPr>
      <w:r>
        <w:t xml:space="preserve">3. Qué no es AlertaCuenta</w:t>
      </w:r>
    </w:p>
    <w:p>
      <w:pPr>
        <w:pStyle w:val="FirstParagraph"/>
      </w:pPr>
      <w:r>
        <w:t xml:space="preserve">Salvo que exista contratación expresa, validación profesional o instrumento específico que indique lo contrario, AlertaCuenta no debe entenderse como:</w:t>
      </w:r>
    </w:p>
    <w:p>
      <w:pPr>
        <w:pStyle w:val="Compact"/>
        <w:numPr>
          <w:ilvl w:val="0"/>
          <w:numId w:val="1003"/>
        </w:numPr>
      </w:pPr>
      <w:r>
        <w:t xml:space="preserve">un banco;</w:t>
      </w:r>
    </w:p>
    <w:p>
      <w:pPr>
        <w:pStyle w:val="Compact"/>
        <w:numPr>
          <w:ilvl w:val="0"/>
          <w:numId w:val="1003"/>
        </w:numPr>
      </w:pPr>
      <w:r>
        <w:t xml:space="preserve">una institución financiera;</w:t>
      </w:r>
    </w:p>
    <w:p>
      <w:pPr>
        <w:pStyle w:val="Compact"/>
        <w:numPr>
          <w:ilvl w:val="0"/>
          <w:numId w:val="1003"/>
        </w:numPr>
      </w:pPr>
      <w:r>
        <w:t xml:space="preserve">un canal oficial del banco;</w:t>
      </w:r>
    </w:p>
    <w:p>
      <w:pPr>
        <w:pStyle w:val="Compact"/>
        <w:numPr>
          <w:ilvl w:val="0"/>
          <w:numId w:val="1003"/>
        </w:numPr>
      </w:pPr>
      <w:r>
        <w:t xml:space="preserve">una autoridad pública;</w:t>
      </w:r>
    </w:p>
    <w:p>
      <w:pPr>
        <w:pStyle w:val="Compact"/>
        <w:numPr>
          <w:ilvl w:val="0"/>
          <w:numId w:val="1003"/>
        </w:numPr>
      </w:pPr>
      <w:r>
        <w:t xml:space="preserve">una plataforma del SERNAC, CMF, PDI, Ministerio Público o tribunales;</w:t>
      </w:r>
    </w:p>
    <w:p>
      <w:pPr>
        <w:pStyle w:val="Compact"/>
        <w:numPr>
          <w:ilvl w:val="0"/>
          <w:numId w:val="1003"/>
        </w:numPr>
      </w:pPr>
      <w:r>
        <w:t xml:space="preserve">un servicio de emergencia bancaria;</w:t>
      </w:r>
    </w:p>
    <w:p>
      <w:pPr>
        <w:pStyle w:val="Compact"/>
        <w:numPr>
          <w:ilvl w:val="0"/>
          <w:numId w:val="1003"/>
        </w:numPr>
      </w:pPr>
      <w:r>
        <w:t xml:space="preserve">una garantía de recuperación de dinero;</w:t>
      </w:r>
    </w:p>
    <w:p>
      <w:pPr>
        <w:pStyle w:val="Compact"/>
        <w:numPr>
          <w:ilvl w:val="0"/>
          <w:numId w:val="1003"/>
        </w:numPr>
      </w:pPr>
      <w:r>
        <w:t xml:space="preserve">un sustituto automático de asesoría legal, financiera, contable, tecnológica o de ciberseguridad;</w:t>
      </w:r>
    </w:p>
    <w:p>
      <w:pPr>
        <w:pStyle w:val="Compact"/>
        <w:numPr>
          <w:ilvl w:val="0"/>
          <w:numId w:val="1003"/>
        </w:numPr>
      </w:pPr>
      <w:r>
        <w:t xml:space="preserve">una herramienta infalible de detección de fraude;</w:t>
      </w:r>
    </w:p>
    <w:p>
      <w:pPr>
        <w:pStyle w:val="Compact"/>
        <w:numPr>
          <w:ilvl w:val="0"/>
          <w:numId w:val="1003"/>
        </w:numPr>
      </w:pPr>
      <w:r>
        <w:t xml:space="preserve">un sistema que determine definitivamente responsabilidades legales;</w:t>
      </w:r>
    </w:p>
    <w:p>
      <w:pPr>
        <w:pStyle w:val="Compact"/>
        <w:numPr>
          <w:ilvl w:val="0"/>
          <w:numId w:val="1003"/>
        </w:numPr>
      </w:pPr>
      <w:r>
        <w:t xml:space="preserve">un mecanismo que por sí solo suspenda plazos, bloquee productos o active denuncias oficiales.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crees que tu cuenta o tarjeta está en riesgo inmediato, debes contactar cuanto antes a tu banco o institución financiera mediante sus canales oficiales.</w:t>
      </w:r>
    </w:p>
    <w:p>
      <w:r>
        <w:pict>
          <v:rect style="width:0;height:1.5pt" o:hralign="center" o:hrstd="t" o:hr="t"/>
        </w:pict>
      </w:r>
    </w:p>
    <w:bookmarkEnd w:id="24"/>
    <w:bookmarkStart w:id="25" w:name="uso-permitido-de-la-plataforma"/>
    <w:p>
      <w:pPr>
        <w:pStyle w:val="Heading1"/>
      </w:pPr>
      <w:r>
        <w:t xml:space="preserve">4. Uso permitido de la plataforma</w:t>
      </w:r>
    </w:p>
    <w:p>
      <w:pPr>
        <w:pStyle w:val="FirstParagraph"/>
      </w:pPr>
      <w:r>
        <w:t xml:space="preserve">Puedes usar AlertaCuenta para:</w:t>
      </w:r>
    </w:p>
    <w:p>
      <w:pPr>
        <w:pStyle w:val="Compact"/>
        <w:numPr>
          <w:ilvl w:val="0"/>
          <w:numId w:val="1004"/>
        </w:numPr>
      </w:pPr>
      <w:r>
        <w:t xml:space="preserve">reportar una sospecha o evento de fraude;</w:t>
      </w:r>
    </w:p>
    <w:p>
      <w:pPr>
        <w:pStyle w:val="Compact"/>
        <w:numPr>
          <w:ilvl w:val="0"/>
          <w:numId w:val="1004"/>
        </w:numPr>
      </w:pPr>
      <w:r>
        <w:t xml:space="preserve">recibir orientación inicial;</w:t>
      </w:r>
    </w:p>
    <w:p>
      <w:pPr>
        <w:pStyle w:val="Compact"/>
        <w:numPr>
          <w:ilvl w:val="0"/>
          <w:numId w:val="1004"/>
        </w:numPr>
      </w:pPr>
      <w:r>
        <w:t xml:space="preserve">ordenar tu relato;</w:t>
      </w:r>
    </w:p>
    <w:p>
      <w:pPr>
        <w:pStyle w:val="Compact"/>
        <w:numPr>
          <w:ilvl w:val="0"/>
          <w:numId w:val="1004"/>
        </w:numPr>
      </w:pPr>
      <w:r>
        <w:t xml:space="preserve">identificar antecedentes faltantes;</w:t>
      </w:r>
    </w:p>
    <w:p>
      <w:pPr>
        <w:pStyle w:val="Compact"/>
        <w:numPr>
          <w:ilvl w:val="0"/>
          <w:numId w:val="1004"/>
        </w:numPr>
      </w:pPr>
      <w:r>
        <w:t xml:space="preserve">subir evidencia relevante;</w:t>
      </w:r>
    </w:p>
    <w:p>
      <w:pPr>
        <w:pStyle w:val="Compact"/>
        <w:numPr>
          <w:ilvl w:val="0"/>
          <w:numId w:val="1004"/>
        </w:numPr>
      </w:pPr>
      <w:r>
        <w:t xml:space="preserve">preparar documentos o borradores;</w:t>
      </w:r>
    </w:p>
    <w:p>
      <w:pPr>
        <w:pStyle w:val="Compact"/>
        <w:numPr>
          <w:ilvl w:val="0"/>
          <w:numId w:val="1004"/>
        </w:numPr>
      </w:pPr>
      <w:r>
        <w:t xml:space="preserve">revisar checklists;</w:t>
      </w:r>
    </w:p>
    <w:p>
      <w:pPr>
        <w:pStyle w:val="Compact"/>
        <w:numPr>
          <w:ilvl w:val="0"/>
          <w:numId w:val="1004"/>
        </w:numPr>
      </w:pPr>
      <w:r>
        <w:t xml:space="preserve">obtener rutas de acción;</w:t>
      </w:r>
    </w:p>
    <w:p>
      <w:pPr>
        <w:pStyle w:val="Compact"/>
        <w:numPr>
          <w:ilvl w:val="0"/>
          <w:numId w:val="1004"/>
        </w:numPr>
      </w:pPr>
      <w:r>
        <w:t xml:space="preserve">recibir apoyo para comprender próximos pasos;</w:t>
      </w:r>
    </w:p>
    <w:p>
      <w:pPr>
        <w:pStyle w:val="Compact"/>
        <w:numPr>
          <w:ilvl w:val="0"/>
          <w:numId w:val="1004"/>
        </w:numPr>
      </w:pPr>
      <w:r>
        <w:t xml:space="preserve">gestionar solicitudes o comunicaciones relacionadas con el caso;</w:t>
      </w:r>
    </w:p>
    <w:p>
      <w:pPr>
        <w:pStyle w:val="Compact"/>
        <w:numPr>
          <w:ilvl w:val="0"/>
          <w:numId w:val="1004"/>
        </w:numPr>
      </w:pPr>
      <w:r>
        <w:t xml:space="preserve">acceder al Centro de Confianza, políticas y materiales educativos.</w:t>
      </w:r>
    </w:p>
    <w:p>
      <w:pPr>
        <w:pStyle w:val="FirstParagraph"/>
      </w:pPr>
      <w:r>
        <w:t xml:space="preserve">El uso de la plataforma debe realizarse de buena fe, con información verdadera o razonablemente precisa, y sin afectar derechos de terceros.</w:t>
      </w:r>
    </w:p>
    <w:p>
      <w:r>
        <w:pict>
          <v:rect style="width:0;height:1.5pt" o:hralign="center" o:hrstd="t" o:hr="t"/>
        </w:pict>
      </w:r>
    </w:p>
    <w:bookmarkEnd w:id="25"/>
    <w:bookmarkStart w:id="26" w:name="uso-prohibido"/>
    <w:p>
      <w:pPr>
        <w:pStyle w:val="Heading1"/>
      </w:pPr>
      <w:r>
        <w:t xml:space="preserve">5. Uso prohibido</w:t>
      </w:r>
    </w:p>
    <w:p>
      <w:pPr>
        <w:pStyle w:val="FirstParagraph"/>
      </w:pPr>
      <w:r>
        <w:t xml:space="preserve">Queda prohibido utilizar AlertaCuenta para:</w:t>
      </w:r>
    </w:p>
    <w:p>
      <w:pPr>
        <w:pStyle w:val="Compact"/>
        <w:numPr>
          <w:ilvl w:val="0"/>
          <w:numId w:val="1005"/>
        </w:numPr>
      </w:pPr>
      <w:r>
        <w:t xml:space="preserve">cometer fraude, engaño, suplantación o abuso;</w:t>
      </w:r>
    </w:p>
    <w:p>
      <w:pPr>
        <w:pStyle w:val="Compact"/>
        <w:numPr>
          <w:ilvl w:val="0"/>
          <w:numId w:val="1005"/>
        </w:numPr>
      </w:pPr>
      <w:r>
        <w:t xml:space="preserve">entregar información falsa con intención de obtener beneficios indebidos;</w:t>
      </w:r>
    </w:p>
    <w:p>
      <w:pPr>
        <w:pStyle w:val="Compact"/>
        <w:numPr>
          <w:ilvl w:val="0"/>
          <w:numId w:val="1005"/>
        </w:numPr>
      </w:pPr>
      <w:r>
        <w:t xml:space="preserve">fabricar evidencia;</w:t>
      </w:r>
    </w:p>
    <w:p>
      <w:pPr>
        <w:pStyle w:val="Compact"/>
        <w:numPr>
          <w:ilvl w:val="0"/>
          <w:numId w:val="1005"/>
        </w:numPr>
      </w:pPr>
      <w:r>
        <w:t xml:space="preserve">manipular documentos;</w:t>
      </w:r>
    </w:p>
    <w:p>
      <w:pPr>
        <w:pStyle w:val="Compact"/>
        <w:numPr>
          <w:ilvl w:val="0"/>
          <w:numId w:val="1005"/>
        </w:numPr>
      </w:pPr>
      <w:r>
        <w:t xml:space="preserve">simular eventos de fraude reales;</w:t>
      </w:r>
    </w:p>
    <w:p>
      <w:pPr>
        <w:pStyle w:val="Compact"/>
        <w:numPr>
          <w:ilvl w:val="0"/>
          <w:numId w:val="1005"/>
        </w:numPr>
      </w:pPr>
      <w:r>
        <w:t xml:space="preserve">vulnerar sistemas, cuentas, bases de datos, APIs o componentes internos;</w:t>
      </w:r>
    </w:p>
    <w:p>
      <w:pPr>
        <w:pStyle w:val="Compact"/>
        <w:numPr>
          <w:ilvl w:val="0"/>
          <w:numId w:val="1005"/>
        </w:numPr>
      </w:pPr>
      <w:r>
        <w:t xml:space="preserve">ejecutar scraping abusivo, crawling no autorizado o extracción automatizada no permitida;</w:t>
      </w:r>
    </w:p>
    <w:p>
      <w:pPr>
        <w:pStyle w:val="Compact"/>
        <w:numPr>
          <w:ilvl w:val="0"/>
          <w:numId w:val="1005"/>
        </w:numPr>
      </w:pPr>
      <w:r>
        <w:t xml:space="preserve">introducir malware, código malicioso, instrucciones dañinas o archivos peligrosos;</w:t>
      </w:r>
    </w:p>
    <w:p>
      <w:pPr>
        <w:pStyle w:val="Compact"/>
        <w:numPr>
          <w:ilvl w:val="0"/>
          <w:numId w:val="1005"/>
        </w:numPr>
      </w:pPr>
      <w:r>
        <w:t xml:space="preserve">realizar ingeniería inversa, extracción de prompts, bypass de instrucciones o manipulación del sistema;</w:t>
      </w:r>
    </w:p>
    <w:p>
      <w:pPr>
        <w:pStyle w:val="Compact"/>
        <w:numPr>
          <w:ilvl w:val="0"/>
          <w:numId w:val="1005"/>
        </w:numPr>
      </w:pPr>
      <w:r>
        <w:t xml:space="preserve">intentar obtener información de otros usuarios;</w:t>
      </w:r>
    </w:p>
    <w:p>
      <w:pPr>
        <w:pStyle w:val="Compact"/>
        <w:numPr>
          <w:ilvl w:val="0"/>
          <w:numId w:val="1005"/>
        </w:numPr>
      </w:pPr>
      <w:r>
        <w:t xml:space="preserve">usar la plataforma para acosar, amenazar, difamar o dañar a terceros;</w:t>
      </w:r>
    </w:p>
    <w:p>
      <w:pPr>
        <w:pStyle w:val="Compact"/>
        <w:numPr>
          <w:ilvl w:val="0"/>
          <w:numId w:val="1005"/>
        </w:numPr>
      </w:pPr>
      <w:r>
        <w:t xml:space="preserve">usar outputs, documentos, estructuras, flujos o metodologías para desarrollar servicios competidores sin autorización;</w:t>
      </w:r>
    </w:p>
    <w:p>
      <w:pPr>
        <w:pStyle w:val="Compact"/>
        <w:numPr>
          <w:ilvl w:val="0"/>
          <w:numId w:val="1005"/>
        </w:numPr>
      </w:pPr>
      <w:r>
        <w:t xml:space="preserve">sobrecargar, interferir o afectar la disponibilidad, estabilidad o seguridad de la plataforma;</w:t>
      </w:r>
    </w:p>
    <w:p>
      <w:pPr>
        <w:pStyle w:val="Compact"/>
        <w:numPr>
          <w:ilvl w:val="0"/>
          <w:numId w:val="1005"/>
        </w:numPr>
      </w:pPr>
      <w:r>
        <w:t xml:space="preserve">utilizar la plataforma para finalidades ilícitas o contrarias a estos Términos.</w:t>
      </w:r>
    </w:p>
    <w:p>
      <w:pPr>
        <w:pStyle w:val="FirstParagraph"/>
      </w:pPr>
      <w:r>
        <w:t xml:space="preserve">AlertaCuenta podrá restringir, suspender o bloquear accesos cuando detecte usos incompatibles con estos Términos, riesgos de seguridad, abuso o incumplimiento legal.</w:t>
      </w:r>
    </w:p>
    <w:p>
      <w:r>
        <w:pict>
          <v:rect style="width:0;height:1.5pt" o:hralign="center" o:hrstd="t" o:hr="t"/>
        </w:pict>
      </w:r>
    </w:p>
    <w:bookmarkEnd w:id="26"/>
    <w:bookmarkStart w:id="27" w:name="información-que-nunca-debes-entregar"/>
    <w:p>
      <w:pPr>
        <w:pStyle w:val="Heading1"/>
      </w:pPr>
      <w:r>
        <w:t xml:space="preserve">6. Información que nunca debes entregar</w:t>
      </w:r>
    </w:p>
    <w:p>
      <w:pPr>
        <w:pStyle w:val="FirstParagraph"/>
      </w:pPr>
      <w:r>
        <w:t xml:space="preserve">AlertaCuenta no debe pedirte ni necesitas entregar:</w:t>
      </w:r>
    </w:p>
    <w:p>
      <w:pPr>
        <w:pStyle w:val="Compact"/>
        <w:numPr>
          <w:ilvl w:val="0"/>
          <w:numId w:val="1006"/>
        </w:numPr>
      </w:pPr>
      <w:r>
        <w:t xml:space="preserve">claves bancarias;</w:t>
      </w:r>
    </w:p>
    <w:p>
      <w:pPr>
        <w:pStyle w:val="Compact"/>
        <w:numPr>
          <w:ilvl w:val="0"/>
          <w:numId w:val="1006"/>
        </w:numPr>
      </w:pPr>
      <w:r>
        <w:t xml:space="preserve">contraseñas;</w:t>
      </w:r>
    </w:p>
    <w:p>
      <w:pPr>
        <w:pStyle w:val="Compact"/>
        <w:numPr>
          <w:ilvl w:val="0"/>
          <w:numId w:val="1006"/>
        </w:numPr>
      </w:pPr>
      <w:r>
        <w:t xml:space="preserve">PIN;</w:t>
      </w:r>
    </w:p>
    <w:p>
      <w:pPr>
        <w:pStyle w:val="Compact"/>
        <w:numPr>
          <w:ilvl w:val="0"/>
          <w:numId w:val="1006"/>
        </w:numPr>
      </w:pPr>
      <w:r>
        <w:t xml:space="preserve">coordenadas de tarjeta de seguridad;</w:t>
      </w:r>
    </w:p>
    <w:p>
      <w:pPr>
        <w:pStyle w:val="Compact"/>
        <w:numPr>
          <w:ilvl w:val="0"/>
          <w:numId w:val="1006"/>
        </w:numPr>
      </w:pPr>
      <w:r>
        <w:t xml:space="preserve">códigos SMS;</w:t>
      </w:r>
    </w:p>
    <w:p>
      <w:pPr>
        <w:pStyle w:val="Compact"/>
        <w:numPr>
          <w:ilvl w:val="0"/>
          <w:numId w:val="1006"/>
        </w:numPr>
      </w:pPr>
      <w:r>
        <w:t xml:space="preserve">códigos de autenticación;</w:t>
      </w:r>
    </w:p>
    <w:p>
      <w:pPr>
        <w:pStyle w:val="Compact"/>
        <w:numPr>
          <w:ilvl w:val="0"/>
          <w:numId w:val="1006"/>
        </w:numPr>
      </w:pPr>
      <w:r>
        <w:t xml:space="preserve">claves dinámicas;</w:t>
      </w:r>
    </w:p>
    <w:p>
      <w:pPr>
        <w:pStyle w:val="Compact"/>
        <w:numPr>
          <w:ilvl w:val="0"/>
          <w:numId w:val="1006"/>
        </w:numPr>
      </w:pPr>
      <w:r>
        <w:t xml:space="preserve">token completo;</w:t>
      </w:r>
    </w:p>
    <w:p>
      <w:pPr>
        <w:pStyle w:val="Compact"/>
        <w:numPr>
          <w:ilvl w:val="0"/>
          <w:numId w:val="1006"/>
        </w:numPr>
      </w:pPr>
      <w:r>
        <w:t xml:space="preserve">códigos de recuperación;</w:t>
      </w:r>
    </w:p>
    <w:p>
      <w:pPr>
        <w:pStyle w:val="Compact"/>
        <w:numPr>
          <w:ilvl w:val="0"/>
          <w:numId w:val="1006"/>
        </w:numPr>
      </w:pPr>
      <w:r>
        <w:t xml:space="preserve">CVV o código de seguridad de tarjetas;</w:t>
      </w:r>
    </w:p>
    <w:p>
      <w:pPr>
        <w:pStyle w:val="Compact"/>
        <w:numPr>
          <w:ilvl w:val="0"/>
          <w:numId w:val="1006"/>
        </w:numPr>
      </w:pPr>
      <w:r>
        <w:t xml:space="preserve">fotografías completas de tarjetas por ambos lados;</w:t>
      </w:r>
    </w:p>
    <w:p>
      <w:pPr>
        <w:pStyle w:val="Compact"/>
        <w:numPr>
          <w:ilvl w:val="0"/>
          <w:numId w:val="1006"/>
        </w:numPr>
      </w:pPr>
      <w:r>
        <w:t xml:space="preserve">acceso remoto a tu teléfono o computador;</w:t>
      </w:r>
    </w:p>
    <w:p>
      <w:pPr>
        <w:pStyle w:val="Compact"/>
        <w:numPr>
          <w:ilvl w:val="0"/>
          <w:numId w:val="1006"/>
        </w:numPr>
      </w:pPr>
      <w:r>
        <w:t xml:space="preserve">instalación de aplicaciones de control remoto;</w:t>
      </w:r>
    </w:p>
    <w:p>
      <w:pPr>
        <w:pStyle w:val="Compact"/>
        <w:numPr>
          <w:ilvl w:val="0"/>
          <w:numId w:val="1006"/>
        </w:numPr>
      </w:pPr>
      <w:r>
        <w:t xml:space="preserve">credenciales de correo, banco, billetera digital o cualquier cuenta personal.</w:t>
      </w:r>
    </w:p>
    <w:p>
      <w:pPr>
        <w:pStyle w:val="FirstParagraph"/>
      </w:pPr>
      <w:r>
        <w:t xml:space="preserve">Si alguien solicita esta información en nombre de AlertaCuenta, debes considerarlo una señal de alerta y reportarlo por canales oficiales.</w:t>
      </w:r>
    </w:p>
    <w:p>
      <w:pPr>
        <w:pStyle w:val="BodyText"/>
      </w:pPr>
      <w:r>
        <w:t xml:space="preserve">Si entregas accidentalmente información peligrosa, AlertaCuenta podrá aplicar medidas de bloqueo, eliminación, anonimización, restricción de acceso o protocolos de seguridad, según corresponda.</w:t>
      </w:r>
    </w:p>
    <w:p>
      <w:r>
        <w:pict>
          <v:rect style="width:0;height:1.5pt" o:hralign="center" o:hrstd="t" o:hr="t"/>
        </w:pict>
      </w:r>
    </w:p>
    <w:bookmarkEnd w:id="27"/>
    <w:bookmarkStart w:id="28" w:name="obligaciones-del-usuario"/>
    <w:p>
      <w:pPr>
        <w:pStyle w:val="Heading1"/>
      </w:pPr>
      <w:r>
        <w:t xml:space="preserve">7. Obligaciones del usuario</w:t>
      </w:r>
    </w:p>
    <w:p>
      <w:pPr>
        <w:pStyle w:val="FirstParagraph"/>
      </w:pPr>
      <w:r>
        <w:t xml:space="preserve">Al usar AlertaCuenta, te comprometes a:</w:t>
      </w:r>
    </w:p>
    <w:p>
      <w:pPr>
        <w:pStyle w:val="Compact"/>
        <w:numPr>
          <w:ilvl w:val="0"/>
          <w:numId w:val="1007"/>
        </w:numPr>
      </w:pPr>
      <w:r>
        <w:t xml:space="preserve">entregar información verdadera, actualizada y pertinente;</w:t>
      </w:r>
    </w:p>
    <w:p>
      <w:pPr>
        <w:pStyle w:val="Compact"/>
        <w:numPr>
          <w:ilvl w:val="0"/>
          <w:numId w:val="1007"/>
        </w:numPr>
      </w:pPr>
      <w:r>
        <w:t xml:space="preserve">no subir documentos falsos, manipulados o de origen ilícito;</w:t>
      </w:r>
    </w:p>
    <w:p>
      <w:pPr>
        <w:pStyle w:val="Compact"/>
        <w:numPr>
          <w:ilvl w:val="0"/>
          <w:numId w:val="1007"/>
        </w:numPr>
      </w:pPr>
      <w:r>
        <w:t xml:space="preserve">no compartir claves, códigos o credenciales;</w:t>
      </w:r>
    </w:p>
    <w:p>
      <w:pPr>
        <w:pStyle w:val="Compact"/>
        <w:numPr>
          <w:ilvl w:val="0"/>
          <w:numId w:val="1007"/>
        </w:numPr>
      </w:pPr>
      <w:r>
        <w:t xml:space="preserve">revisar los documentos generados antes de usarlos;</w:t>
      </w:r>
    </w:p>
    <w:p>
      <w:pPr>
        <w:pStyle w:val="Compact"/>
        <w:numPr>
          <w:ilvl w:val="0"/>
          <w:numId w:val="1007"/>
        </w:numPr>
      </w:pPr>
      <w:r>
        <w:t xml:space="preserve">verificar canales oficiales de bancos, autoridades o terceros;</w:t>
      </w:r>
    </w:p>
    <w:p>
      <w:pPr>
        <w:pStyle w:val="Compact"/>
        <w:numPr>
          <w:ilvl w:val="0"/>
          <w:numId w:val="1007"/>
        </w:numPr>
      </w:pPr>
      <w:r>
        <w:t xml:space="preserve">conservar copias propias de evidencia relevante;</w:t>
      </w:r>
    </w:p>
    <w:p>
      <w:pPr>
        <w:pStyle w:val="Compact"/>
        <w:numPr>
          <w:ilvl w:val="0"/>
          <w:numId w:val="1007"/>
        </w:numPr>
      </w:pPr>
      <w:r>
        <w:t xml:space="preserve">actuar oportunamente frente a medidas urgentes;</w:t>
      </w:r>
    </w:p>
    <w:p>
      <w:pPr>
        <w:pStyle w:val="Compact"/>
        <w:numPr>
          <w:ilvl w:val="0"/>
          <w:numId w:val="1007"/>
        </w:numPr>
      </w:pPr>
      <w:r>
        <w:t xml:space="preserve">obtener autorización cuando reportes información de otra persona;</w:t>
      </w:r>
    </w:p>
    <w:p>
      <w:pPr>
        <w:pStyle w:val="Compact"/>
        <w:numPr>
          <w:ilvl w:val="0"/>
          <w:numId w:val="1007"/>
        </w:numPr>
      </w:pPr>
      <w:r>
        <w:t xml:space="preserve">no vulnerar derechos de terceros;</w:t>
      </w:r>
    </w:p>
    <w:p>
      <w:pPr>
        <w:pStyle w:val="Compact"/>
        <w:numPr>
          <w:ilvl w:val="0"/>
          <w:numId w:val="1007"/>
        </w:numPr>
      </w:pPr>
      <w:r>
        <w:t xml:space="preserve">cumplir la ley aplicable y estos Términos.</w:t>
      </w:r>
    </w:p>
    <w:p>
      <w:pPr>
        <w:pStyle w:val="FirstParagraph"/>
      </w:pPr>
      <w:r>
        <w:t xml:space="preserve">El usuario es responsable de la exactitud de la información que entrega y de las decisiones que adopta a partir de ella, sin perjuicio de la responsabilidad que pueda corresponder a AlertaCuenta conforme a la ley y contratos aplicables.</w:t>
      </w:r>
    </w:p>
    <w:p>
      <w:r>
        <w:pict>
          <v:rect style="width:0;height:1.5pt" o:hralign="center" o:hrstd="t" o:hr="t"/>
        </w:pict>
      </w:r>
    </w:p>
    <w:bookmarkEnd w:id="28"/>
    <w:bookmarkStart w:id="29" w:name="Xd9489466df9cff67ff4b9640b754f5fdfeb641e"/>
    <w:p>
      <w:pPr>
        <w:pStyle w:val="Heading1"/>
      </w:pPr>
      <w:r>
        <w:t xml:space="preserve">8. Evidencia, documentos y archivos subidos por el usuario</w:t>
      </w:r>
    </w:p>
    <w:p>
      <w:pPr>
        <w:pStyle w:val="FirstParagraph"/>
      </w:pPr>
      <w:r>
        <w:t xml:space="preserve">El usuario puede subir evidencia o antecedentes relacionados con su caso, tales como pantallazos, comprobantes, cartolas, reclamos, respuestas bancarias, audios, correos, SMS u otros documentos.</w:t>
      </w:r>
    </w:p>
    <w:p>
      <w:pPr>
        <w:pStyle w:val="BodyText"/>
      </w:pPr>
      <w:r>
        <w:t xml:space="preserve">El usuario declara que:</w:t>
      </w:r>
    </w:p>
    <w:p>
      <w:pPr>
        <w:pStyle w:val="Compact"/>
        <w:numPr>
          <w:ilvl w:val="0"/>
          <w:numId w:val="1008"/>
        </w:numPr>
      </w:pPr>
      <w:r>
        <w:t xml:space="preserve">tiene derecho o autorización suficiente para entregar dicha información;</w:t>
      </w:r>
    </w:p>
    <w:p>
      <w:pPr>
        <w:pStyle w:val="Compact"/>
        <w:numPr>
          <w:ilvl w:val="0"/>
          <w:numId w:val="1008"/>
        </w:numPr>
      </w:pPr>
      <w:r>
        <w:t xml:space="preserve">la información no ha sido obtenida ilícitamente;</w:t>
      </w:r>
    </w:p>
    <w:p>
      <w:pPr>
        <w:pStyle w:val="Compact"/>
        <w:numPr>
          <w:ilvl w:val="0"/>
          <w:numId w:val="1008"/>
        </w:numPr>
      </w:pPr>
      <w:r>
        <w:t xml:space="preserve">la entrega no vulnera derechos de terceros;</w:t>
      </w:r>
    </w:p>
    <w:p>
      <w:pPr>
        <w:pStyle w:val="Compact"/>
        <w:numPr>
          <w:ilvl w:val="0"/>
          <w:numId w:val="1008"/>
        </w:numPr>
      </w:pPr>
      <w:r>
        <w:t xml:space="preserve">la información es pertinente para el caso reportado;</w:t>
      </w:r>
    </w:p>
    <w:p>
      <w:pPr>
        <w:pStyle w:val="Compact"/>
        <w:numPr>
          <w:ilvl w:val="0"/>
          <w:numId w:val="1008"/>
        </w:numPr>
      </w:pPr>
      <w:r>
        <w:t xml:space="preserve">entiende que subir evidencia no garantiza un resultado específico.</w:t>
      </w:r>
    </w:p>
    <w:p>
      <w:pPr>
        <w:pStyle w:val="FirstParagraph"/>
      </w:pPr>
      <w:r>
        <w:t xml:space="preserve">AlertaCuenta podrá rechazar, eliminar, bloquear o restringir archivos que sean peligrosos, excesivos, ilícitos, irrelevantes, maliciosos o incompatibles con la finalidad del servicio.</w:t>
      </w:r>
    </w:p>
    <w:p>
      <w:pPr>
        <w:pStyle w:val="BodyText"/>
      </w:pPr>
      <w:r>
        <w:t xml:space="preserve">La forma en que AlertaCuenta trata evidencia y datos financieros se explica con mayor detalle en el</w:t>
      </w:r>
      <w:r>
        <w:t xml:space="preserve"> </w:t>
      </w:r>
      <w:r>
        <w:rPr>
          <w:b/>
          <w:bCs/>
        </w:rPr>
        <w:t xml:space="preserve">Aviso Especial de Datos Financieros y Evidencia de Fraude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4" w:name="uso-de-inteligencia-artificial"/>
    <w:p>
      <w:pPr>
        <w:pStyle w:val="Heading1"/>
      </w:pPr>
      <w:r>
        <w:t xml:space="preserve">9. Uso de inteligencia artificial</w:t>
      </w:r>
    </w:p>
    <w:p>
      <w:pPr>
        <w:pStyle w:val="FirstParagraph"/>
      </w:pPr>
      <w:r>
        <w:t xml:space="preserve">AlertaCuenta puede utilizar inteligencia artificial, modelos fundacionales, sistemas de automatización, clasificadores, asistentes conversacionales o herramientas analíticas para apoyar el funcionamiento de la plataforma.</w:t>
      </w:r>
    </w:p>
    <w:bookmarkStart w:id="30" w:name="funciones-posibles-de-ia"/>
    <w:p>
      <w:pPr>
        <w:pStyle w:val="Heading2"/>
      </w:pPr>
      <w:r>
        <w:t xml:space="preserve">9.1 Funciones posibles de IA</w:t>
      </w:r>
    </w:p>
    <w:p>
      <w:pPr>
        <w:pStyle w:val="FirstParagraph"/>
      </w:pPr>
      <w:r>
        <w:t xml:space="preserve">La IA puede apoyar tareas como:</w:t>
      </w:r>
    </w:p>
    <w:p>
      <w:pPr>
        <w:pStyle w:val="Compact"/>
        <w:numPr>
          <w:ilvl w:val="0"/>
          <w:numId w:val="1009"/>
        </w:numPr>
      </w:pPr>
      <w:r>
        <w:t xml:space="preserve">transcribir audios;</w:t>
      </w:r>
    </w:p>
    <w:p>
      <w:pPr>
        <w:pStyle w:val="Compact"/>
        <w:numPr>
          <w:ilvl w:val="0"/>
          <w:numId w:val="1009"/>
        </w:numPr>
      </w:pPr>
      <w:r>
        <w:t xml:space="preserve">resumir relatos;</w:t>
      </w:r>
    </w:p>
    <w:p>
      <w:pPr>
        <w:pStyle w:val="Compact"/>
        <w:numPr>
          <w:ilvl w:val="0"/>
          <w:numId w:val="1009"/>
        </w:numPr>
      </w:pPr>
      <w:r>
        <w:t xml:space="preserve">ordenar cronologías;</w:t>
      </w:r>
    </w:p>
    <w:p>
      <w:pPr>
        <w:pStyle w:val="Compact"/>
        <w:numPr>
          <w:ilvl w:val="0"/>
          <w:numId w:val="1009"/>
        </w:numPr>
      </w:pPr>
      <w:r>
        <w:t xml:space="preserve">clasificar preliminarmente eventos;</w:t>
      </w:r>
    </w:p>
    <w:p>
      <w:pPr>
        <w:pStyle w:val="Compact"/>
        <w:numPr>
          <w:ilvl w:val="0"/>
          <w:numId w:val="1009"/>
        </w:numPr>
      </w:pPr>
      <w:r>
        <w:t xml:space="preserve">identificar información faltante;</w:t>
      </w:r>
    </w:p>
    <w:p>
      <w:pPr>
        <w:pStyle w:val="Compact"/>
        <w:numPr>
          <w:ilvl w:val="0"/>
          <w:numId w:val="1009"/>
        </w:numPr>
      </w:pPr>
      <w:r>
        <w:t xml:space="preserve">sugerir medidas iniciales;</w:t>
      </w:r>
    </w:p>
    <w:p>
      <w:pPr>
        <w:pStyle w:val="Compact"/>
        <w:numPr>
          <w:ilvl w:val="0"/>
          <w:numId w:val="1009"/>
        </w:numPr>
      </w:pPr>
      <w:r>
        <w:t xml:space="preserve">generar checklists;</w:t>
      </w:r>
    </w:p>
    <w:p>
      <w:pPr>
        <w:pStyle w:val="Compact"/>
        <w:numPr>
          <w:ilvl w:val="0"/>
          <w:numId w:val="1009"/>
        </w:numPr>
      </w:pPr>
      <w:r>
        <w:t xml:space="preserve">preparar borradores de documentos;</w:t>
      </w:r>
    </w:p>
    <w:p>
      <w:pPr>
        <w:pStyle w:val="Compact"/>
        <w:numPr>
          <w:ilvl w:val="0"/>
          <w:numId w:val="1009"/>
        </w:numPr>
      </w:pPr>
      <w:r>
        <w:t xml:space="preserve">detectar inconsistencias;</w:t>
      </w:r>
    </w:p>
    <w:p>
      <w:pPr>
        <w:pStyle w:val="Compact"/>
        <w:numPr>
          <w:ilvl w:val="0"/>
          <w:numId w:val="1009"/>
        </w:numPr>
      </w:pPr>
      <w:r>
        <w:t xml:space="preserve">facilitar revisión humana;</w:t>
      </w:r>
    </w:p>
    <w:p>
      <w:pPr>
        <w:pStyle w:val="Compact"/>
        <w:numPr>
          <w:ilvl w:val="0"/>
          <w:numId w:val="1009"/>
        </w:numPr>
      </w:pPr>
      <w:r>
        <w:t xml:space="preserve">mejorar seguridad y calidad del servicio.</w:t>
      </w:r>
    </w:p>
    <w:bookmarkEnd w:id="30"/>
    <w:bookmarkStart w:id="31" w:name="limitaciones-de-ia"/>
    <w:p>
      <w:pPr>
        <w:pStyle w:val="Heading2"/>
      </w:pPr>
      <w:r>
        <w:t xml:space="preserve">9.2 Limitaciones de IA</w:t>
      </w:r>
    </w:p>
    <w:p>
      <w:pPr>
        <w:pStyle w:val="FirstParagraph"/>
      </w:pPr>
      <w:r>
        <w:t xml:space="preserve">El usuario reconoce que los resultados generados por IA pueden ser:</w:t>
      </w:r>
    </w:p>
    <w:p>
      <w:pPr>
        <w:pStyle w:val="Compact"/>
        <w:numPr>
          <w:ilvl w:val="0"/>
          <w:numId w:val="1010"/>
        </w:numPr>
      </w:pPr>
      <w:r>
        <w:t xml:space="preserve">probabilísticos;</w:t>
      </w:r>
    </w:p>
    <w:p>
      <w:pPr>
        <w:pStyle w:val="Compact"/>
        <w:numPr>
          <w:ilvl w:val="0"/>
          <w:numId w:val="1010"/>
        </w:numPr>
      </w:pPr>
      <w:r>
        <w:t xml:space="preserve">incompletos;</w:t>
      </w:r>
    </w:p>
    <w:p>
      <w:pPr>
        <w:pStyle w:val="Compact"/>
        <w:numPr>
          <w:ilvl w:val="0"/>
          <w:numId w:val="1010"/>
        </w:numPr>
      </w:pPr>
      <w:r>
        <w:t xml:space="preserve">incorrectos;</w:t>
      </w:r>
    </w:p>
    <w:p>
      <w:pPr>
        <w:pStyle w:val="Compact"/>
        <w:numPr>
          <w:ilvl w:val="0"/>
          <w:numId w:val="1010"/>
        </w:numPr>
      </w:pPr>
      <w:r>
        <w:t xml:space="preserve">desactualizados;</w:t>
      </w:r>
    </w:p>
    <w:p>
      <w:pPr>
        <w:pStyle w:val="Compact"/>
        <w:numPr>
          <w:ilvl w:val="0"/>
          <w:numId w:val="1010"/>
        </w:numPr>
      </w:pPr>
      <w:r>
        <w:t xml:space="preserve">no adecuados para un caso concreto;</w:t>
      </w:r>
    </w:p>
    <w:p>
      <w:pPr>
        <w:pStyle w:val="Compact"/>
        <w:numPr>
          <w:ilvl w:val="0"/>
          <w:numId w:val="1010"/>
        </w:numPr>
      </w:pPr>
      <w:r>
        <w:t xml:space="preserve">dependientes de la calidad de la información entregada.</w:t>
      </w:r>
    </w:p>
    <w:p>
      <w:pPr>
        <w:pStyle w:val="FirstParagraph"/>
      </w:pPr>
      <w:r>
        <w:t xml:space="preserve">Por eso, los outputs de IA no deben utilizarse como única base para decisiones críticas, legales, financieras, bancarias, regulatorias o de seguridad.</w:t>
      </w:r>
    </w:p>
    <w:bookmarkEnd w:id="31"/>
    <w:bookmarkStart w:id="32" w:name="revisión-humana-proporcional"/>
    <w:p>
      <w:pPr>
        <w:pStyle w:val="Heading2"/>
      </w:pPr>
      <w:r>
        <w:t xml:space="preserve">9.3 Revisión humana proporcional</w:t>
      </w:r>
    </w:p>
    <w:p>
      <w:pPr>
        <w:pStyle w:val="FirstParagraph"/>
      </w:pPr>
      <w:r>
        <w:t xml:space="preserve">Cuando un caso, documento o decisión tenga impacto relevante, AlertaCuenta debe procurar una revisión humana proporcional al riesgo, especialmente si se trata de documentos legales, escalamiento institucional, respuestas frente a rechazos, datos sensibles o información financiera crítica.</w:t>
      </w:r>
    </w:p>
    <w:bookmarkEnd w:id="32"/>
    <w:bookmarkStart w:id="33" w:name="prohibición-de-abuso-de-ia"/>
    <w:p>
      <w:pPr>
        <w:pStyle w:val="Heading2"/>
      </w:pPr>
      <w:r>
        <w:t xml:space="preserve">9.4 Prohibición de abuso de IA</w:t>
      </w:r>
    </w:p>
    <w:p>
      <w:pPr>
        <w:pStyle w:val="FirstParagraph"/>
      </w:pPr>
      <w:r>
        <w:t xml:space="preserve">El usuario no podrá intentar manipular, extraer, replicar, vulnerar, evadir o explotar los sistemas de IA de AlertaCuenta, sus instrucciones internas, prompts, reglas, controles, flujos, metodologías o mecanismos de seguridad.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ocumentos-generados-por-la-plataforma"/>
    <w:p>
      <w:pPr>
        <w:pStyle w:val="Heading1"/>
      </w:pPr>
      <w:r>
        <w:t xml:space="preserve">10. Documentos generados por la plataforma</w:t>
      </w:r>
    </w:p>
    <w:p>
      <w:pPr>
        <w:pStyle w:val="FirstParagraph"/>
      </w:pPr>
      <w:r>
        <w:t xml:space="preserve">AlertaCuenta puede generar borradores, resúmenes, checklists, cartas, reclamos, minutas, formularios u otros documentos.</w:t>
      </w:r>
    </w:p>
    <w:p>
      <w:pPr>
        <w:pStyle w:val="BodyText"/>
      </w:pPr>
      <w:r>
        <w:t xml:space="preserve">Estos documentos:</w:t>
      </w:r>
    </w:p>
    <w:p>
      <w:pPr>
        <w:pStyle w:val="Compact"/>
        <w:numPr>
          <w:ilvl w:val="0"/>
          <w:numId w:val="1011"/>
        </w:numPr>
      </w:pPr>
      <w:r>
        <w:t xml:space="preserve">se basan en la información entregada por el usuario;</w:t>
      </w:r>
    </w:p>
    <w:p>
      <w:pPr>
        <w:pStyle w:val="Compact"/>
        <w:numPr>
          <w:ilvl w:val="0"/>
          <w:numId w:val="1011"/>
        </w:numPr>
      </w:pPr>
      <w:r>
        <w:t xml:space="preserve">pueden requerir revisión, corrección o validación;</w:t>
      </w:r>
    </w:p>
    <w:p>
      <w:pPr>
        <w:pStyle w:val="Compact"/>
        <w:numPr>
          <w:ilvl w:val="0"/>
          <w:numId w:val="1011"/>
        </w:numPr>
      </w:pPr>
      <w:r>
        <w:t xml:space="preserve">no garantizan aceptación por bancos, autoridades, tribunales o terceros;</w:t>
      </w:r>
    </w:p>
    <w:p>
      <w:pPr>
        <w:pStyle w:val="Compact"/>
        <w:numPr>
          <w:ilvl w:val="0"/>
          <w:numId w:val="1011"/>
        </w:numPr>
      </w:pPr>
      <w:r>
        <w:t xml:space="preserve">no aseguran recuperación de dinero;</w:t>
      </w:r>
    </w:p>
    <w:p>
      <w:pPr>
        <w:pStyle w:val="Compact"/>
        <w:numPr>
          <w:ilvl w:val="0"/>
          <w:numId w:val="1011"/>
        </w:numPr>
      </w:pPr>
      <w:r>
        <w:t xml:space="preserve">no sustituyen asesoría profesional cuando el caso lo requiera;</w:t>
      </w:r>
    </w:p>
    <w:p>
      <w:pPr>
        <w:pStyle w:val="Compact"/>
        <w:numPr>
          <w:ilvl w:val="0"/>
          <w:numId w:val="1011"/>
        </w:numPr>
      </w:pPr>
      <w:r>
        <w:t xml:space="preserve">deben ser revisados por el usuario antes de ser enviados o utilizados.</w:t>
      </w:r>
    </w:p>
    <w:p>
      <w:pPr>
        <w:pStyle w:val="FirstParagraph"/>
      </w:pPr>
      <w:r>
        <w:t xml:space="preserve">Cuando AlertaCuenta ofrezca documentos validados por profesionales, esa validación deberá indicarse expresamente, con su alcance, limitaciones y condiciones.</w:t>
      </w:r>
    </w:p>
    <w:p>
      <w:r>
        <w:pict>
          <v:rect style="width:0;height:1.5pt" o:hralign="center" o:hrstd="t" o:hr="t"/>
        </w:pict>
      </w:r>
    </w:p>
    <w:bookmarkEnd w:id="35"/>
    <w:bookmarkStart w:id="36" w:name="Xf47f2bdb7cf23fc2d8224de46d0f0794acd3a32"/>
    <w:p>
      <w:pPr>
        <w:pStyle w:val="Heading1"/>
      </w:pPr>
      <w:r>
        <w:t xml:space="preserve">11. Orientación, información y contenidos educativos</w:t>
      </w:r>
    </w:p>
    <w:p>
      <w:pPr>
        <w:pStyle w:val="FirstParagraph"/>
      </w:pPr>
      <w:r>
        <w:t xml:space="preserve">Los contenidos publicados en AlertaCuenta, incluyendo guías, artículos, respuestas frecuentes, checklists, explicaciones, diagramas, mensajes preventivos o recomendaciones generales, tienen finalidad informativa y educativa.</w:t>
      </w:r>
    </w:p>
    <w:p>
      <w:pPr>
        <w:pStyle w:val="BodyText"/>
      </w:pPr>
      <w:r>
        <w:t xml:space="preserve">Dichos contenidos no constituyen asesoría legal, financiera, tributaria, tecnológica o de ciberseguridad individualizada, salvo que se indique expresamente lo contrario en un servicio contratado o validado profesionalmente.</w:t>
      </w:r>
    </w:p>
    <w:p>
      <w:pPr>
        <w:pStyle w:val="BodyText"/>
      </w:pPr>
      <w:r>
        <w:t xml:space="preserve">La información puede cambiar por modificaciones legales, regulatorias, jurisprudenciales, bancarias, tecnológicas u operativas. AlertaCuenta procurará mantener sus contenidos actualizados, pero no garantiza actualización permanente o ausencia total de errores.</w:t>
      </w:r>
    </w:p>
    <w:p>
      <w:r>
        <w:pict>
          <v:rect style="width:0;height:1.5pt" o:hralign="center" o:hrstd="t" o:hr="t"/>
        </w:pict>
      </w:r>
    </w:p>
    <w:bookmarkEnd w:id="36"/>
    <w:bookmarkStart w:id="39" w:name="canales-oficiales-y-medidas-urgentes"/>
    <w:p>
      <w:pPr>
        <w:pStyle w:val="Heading1"/>
      </w:pPr>
      <w:r>
        <w:t xml:space="preserve">12. Canales oficiales y medidas urgentes</w:t>
      </w:r>
    </w:p>
    <w:p>
      <w:pPr>
        <w:pStyle w:val="FirstParagraph"/>
      </w:pPr>
      <w:r>
        <w:t xml:space="preserve">AlertaCuenta puede sugerir contactar a bancos, instituciones financieras, comercios, SERNAC, policías, Ministerio Público, tribunales u otros organismos según el caso.</w:t>
      </w:r>
    </w:p>
    <w:p>
      <w:pPr>
        <w:pStyle w:val="BodyText"/>
      </w:pPr>
      <w:r>
        <w:t xml:space="preserve">Sin embargo, el usuario debe verificar siempre los canales oficiales.</w:t>
      </w:r>
    </w:p>
    <w:bookmarkStart w:id="37" w:name="canales-oficiales-de-alertacuenta"/>
    <w:p>
      <w:pPr>
        <w:pStyle w:val="Heading2"/>
      </w:pPr>
      <w:r>
        <w:t xml:space="preserve">12.1 Canales oficiales de AlertaCuenta</w:t>
      </w:r>
    </w:p>
    <w:p>
      <w:pPr>
        <w:pStyle w:val="FirstParagraph"/>
      </w:pPr>
      <w:r>
        <w:rPr>
          <w:b/>
          <w:bCs/>
        </w:rPr>
        <w:t xml:space="preserve">Sitio web: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Correo de soporte:</w:t>
      </w:r>
      <w:r>
        <w:t xml:space="preserve"> </w:t>
      </w:r>
      <w:r>
        <w:t xml:space="preserve">[soporte@alertacuenta.cl]</w:t>
      </w:r>
      <w:r>
        <w:br/>
      </w:r>
      <w:r>
        <w:rPr>
          <w:b/>
          <w:bCs/>
        </w:rPr>
        <w:t xml:space="preserve">Correo de privacidad:</w:t>
      </w:r>
      <w:r>
        <w:t xml:space="preserve"> </w:t>
      </w:r>
      <w:r>
        <w:t xml:space="preserve">[privacidad@alertacuenta.cl]</w:t>
      </w:r>
      <w:r>
        <w:br/>
      </w:r>
      <w:r>
        <w:rPr>
          <w:b/>
          <w:bCs/>
        </w:rPr>
        <w:t xml:space="preserve">WhatsApp o teléfono oficial: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Formulario:</w:t>
      </w:r>
      <w:r>
        <w:t xml:space="preserve"> </w:t>
      </w:r>
      <w:r>
        <w:t xml:space="preserve">[●]</w:t>
      </w:r>
    </w:p>
    <w:p>
      <w:pPr>
        <w:pStyle w:val="BodyText"/>
      </w:pPr>
      <w:r>
        <w:t xml:space="preserve">AlertaCuenta no solicitará claves, códigos ni acceso remoto por ninguno de estos canales.</w:t>
      </w:r>
    </w:p>
    <w:bookmarkEnd w:id="37"/>
    <w:bookmarkStart w:id="38" w:name="medidas-de-urgencia"/>
    <w:p>
      <w:pPr>
        <w:pStyle w:val="Heading2"/>
      </w:pPr>
      <w:r>
        <w:t xml:space="preserve">12.2 Medidas de urgencia</w:t>
      </w:r>
    </w:p>
    <w:p>
      <w:pPr>
        <w:pStyle w:val="FirstParagraph"/>
      </w:pPr>
      <w:r>
        <w:t xml:space="preserve">Si crees que el fraude está ocurriendo ahora, debes priorizar:</w:t>
      </w:r>
    </w:p>
    <w:p>
      <w:pPr>
        <w:pStyle w:val="Compact"/>
        <w:numPr>
          <w:ilvl w:val="0"/>
          <w:numId w:val="1012"/>
        </w:numPr>
      </w:pPr>
      <w:r>
        <w:t xml:space="preserve">cortar comunicaciones sospechosas;</w:t>
      </w:r>
    </w:p>
    <w:p>
      <w:pPr>
        <w:pStyle w:val="Compact"/>
        <w:numPr>
          <w:ilvl w:val="0"/>
          <w:numId w:val="1012"/>
        </w:numPr>
      </w:pPr>
      <w:r>
        <w:t xml:space="preserve">no entregar claves ni códigos;</w:t>
      </w:r>
    </w:p>
    <w:p>
      <w:pPr>
        <w:pStyle w:val="Compact"/>
        <w:numPr>
          <w:ilvl w:val="0"/>
          <w:numId w:val="1012"/>
        </w:numPr>
      </w:pPr>
      <w:r>
        <w:t xml:space="preserve">contactar al banco por canales oficiales;</w:t>
      </w:r>
    </w:p>
    <w:p>
      <w:pPr>
        <w:pStyle w:val="Compact"/>
        <w:numPr>
          <w:ilvl w:val="0"/>
          <w:numId w:val="1012"/>
        </w:numPr>
      </w:pPr>
      <w:r>
        <w:t xml:space="preserve">bloquear productos si corresponde;</w:t>
      </w:r>
    </w:p>
    <w:p>
      <w:pPr>
        <w:pStyle w:val="Compact"/>
        <w:numPr>
          <w:ilvl w:val="0"/>
          <w:numId w:val="1012"/>
        </w:numPr>
      </w:pPr>
      <w:r>
        <w:t xml:space="preserve">cambiar claves desde canales oficiales;</w:t>
      </w:r>
    </w:p>
    <w:p>
      <w:pPr>
        <w:pStyle w:val="Compact"/>
        <w:numPr>
          <w:ilvl w:val="0"/>
          <w:numId w:val="1012"/>
        </w:numPr>
      </w:pPr>
      <w:r>
        <w:t xml:space="preserve">conservar evidencia;</w:t>
      </w:r>
    </w:p>
    <w:p>
      <w:pPr>
        <w:pStyle w:val="Compact"/>
        <w:numPr>
          <w:ilvl w:val="0"/>
          <w:numId w:val="1012"/>
        </w:numPr>
      </w:pPr>
      <w:r>
        <w:t xml:space="preserve">presentar reclamos, constancias o denuncias cuando corresponda.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uentas-registro-y-acceso"/>
    <w:p>
      <w:pPr>
        <w:pStyle w:val="Heading1"/>
      </w:pPr>
      <w:r>
        <w:t xml:space="preserve">13. Cuentas, registro y acceso</w:t>
      </w:r>
    </w:p>
    <w:p>
      <w:pPr>
        <w:pStyle w:val="FirstParagraph"/>
      </w:pPr>
      <w:r>
        <w:t xml:space="preserve">AlertaCuenta podrá permitir acceso sin cuenta, con cuenta, mediante formulario, enlace seguro, autenticación, validación de correo, teléfono u otro mecanismo, según la etapa del producto.</w:t>
      </w:r>
    </w:p>
    <w:p>
      <w:pPr>
        <w:pStyle w:val="BodyText"/>
      </w:pPr>
      <w:r>
        <w:t xml:space="preserve">Si se habilitan cuentas de usuario, el usuario será responsable de:</w:t>
      </w:r>
    </w:p>
    <w:p>
      <w:pPr>
        <w:pStyle w:val="Compact"/>
        <w:numPr>
          <w:ilvl w:val="0"/>
          <w:numId w:val="1013"/>
        </w:numPr>
      </w:pPr>
      <w:r>
        <w:t xml:space="preserve">mantener la confidencialidad de sus credenciales;</w:t>
      </w:r>
    </w:p>
    <w:p>
      <w:pPr>
        <w:pStyle w:val="Compact"/>
        <w:numPr>
          <w:ilvl w:val="0"/>
          <w:numId w:val="1013"/>
        </w:numPr>
      </w:pPr>
      <w:r>
        <w:t xml:space="preserve">usar contraseñas seguras;</w:t>
      </w:r>
    </w:p>
    <w:p>
      <w:pPr>
        <w:pStyle w:val="Compact"/>
        <w:numPr>
          <w:ilvl w:val="0"/>
          <w:numId w:val="1013"/>
        </w:numPr>
      </w:pPr>
      <w:r>
        <w:t xml:space="preserve">no compartir accesos;</w:t>
      </w:r>
    </w:p>
    <w:p>
      <w:pPr>
        <w:pStyle w:val="Compact"/>
        <w:numPr>
          <w:ilvl w:val="0"/>
          <w:numId w:val="1013"/>
        </w:numPr>
      </w:pPr>
      <w:r>
        <w:t xml:space="preserve">informar accesos no autorizados;</w:t>
      </w:r>
    </w:p>
    <w:p>
      <w:pPr>
        <w:pStyle w:val="Compact"/>
        <w:numPr>
          <w:ilvl w:val="0"/>
          <w:numId w:val="1013"/>
        </w:numPr>
      </w:pPr>
      <w:r>
        <w:t xml:space="preserve">mantener actualizados sus datos de contacto;</w:t>
      </w:r>
    </w:p>
    <w:p>
      <w:pPr>
        <w:pStyle w:val="Compact"/>
        <w:numPr>
          <w:ilvl w:val="0"/>
          <w:numId w:val="1013"/>
        </w:numPr>
      </w:pPr>
      <w:r>
        <w:t xml:space="preserve">cerrar sesión en dispositivos compartidos.</w:t>
      </w:r>
    </w:p>
    <w:p>
      <w:pPr>
        <w:pStyle w:val="FirstParagraph"/>
      </w:pPr>
      <w:r>
        <w:t xml:space="preserve">AlertaCuenta podrá implementar medidas de seguridad adicionales, como verificación de identidad, autenticación multifactor, bloqueo temporal o validaciones reforzadas, cuando sea razonable.</w:t>
      </w:r>
    </w:p>
    <w:p>
      <w:r>
        <w:pict>
          <v:rect style="width:0;height:1.5pt" o:hralign="center" o:hrstd="t" o:hr="t"/>
        </w:pict>
      </w:r>
    </w:p>
    <w:bookmarkEnd w:id="40"/>
    <w:bookmarkStart w:id="41" w:name="X01ddd0f27665afb2c0078690e6636d601bc6d2c"/>
    <w:p>
      <w:pPr>
        <w:pStyle w:val="Heading1"/>
      </w:pPr>
      <w:r>
        <w:t xml:space="preserve">14. Privacidad y tratamiento de datos personales</w:t>
      </w:r>
    </w:p>
    <w:p>
      <w:pPr>
        <w:pStyle w:val="FirstParagraph"/>
      </w:pPr>
      <w:r>
        <w:t xml:space="preserve">El tratamiento de datos personales realizado por AlertaCuenta se regula por la</w:t>
      </w:r>
      <w:r>
        <w:t xml:space="preserve"> </w:t>
      </w:r>
      <w:r>
        <w:rPr>
          <w:b/>
          <w:bCs/>
        </w:rPr>
        <w:t xml:space="preserve">Política de Privacidad</w:t>
      </w:r>
      <w:r>
        <w:t xml:space="preserve"> </w:t>
      </w:r>
      <w:r>
        <w:t xml:space="preserve">y documentos relacionados del Centro de Confianza.</w:t>
      </w:r>
    </w:p>
    <w:p>
      <w:pPr>
        <w:pStyle w:val="BodyText"/>
      </w:pPr>
      <w:r>
        <w:t xml:space="preserve">El usuario reconoce que, para prestar el servicio, AlertaCuenta puede tratar datos personales, datos financieros limitados, evidencia del caso, datos técnicos, comunicaciones, documentos y outputs generados por la plataforma, conforme a las finalidades y bases indicadas en la Política de Privacidad.</w:t>
      </w:r>
    </w:p>
    <w:p>
      <w:pPr>
        <w:pStyle w:val="BodyText"/>
      </w:pPr>
      <w:r>
        <w:t xml:space="preserve">Cuando corresponda, el usuario podrá ejercer sus derechos de acceso, rectificación, supresión, oposición, portabilidad, retiro de consentimiento u otros reconocidos por la normativa aplicable.</w:t>
      </w:r>
    </w:p>
    <w:p>
      <w:r>
        <w:pict>
          <v:rect style="width:0;height:1.5pt" o:hralign="center" o:hrstd="t" o:hr="t"/>
        </w:pict>
      </w:r>
    </w:p>
    <w:bookmarkEnd w:id="41"/>
    <w:bookmarkStart w:id="42" w:name="cookies-y-tecnologías-similares"/>
    <w:p>
      <w:pPr>
        <w:pStyle w:val="Heading1"/>
      </w:pPr>
      <w:r>
        <w:t xml:space="preserve">15. Cookies y tecnologías similares</w:t>
      </w:r>
    </w:p>
    <w:p>
      <w:pPr>
        <w:pStyle w:val="FirstParagraph"/>
      </w:pPr>
      <w:r>
        <w:t xml:space="preserve">AlertaCuenta puede usar cookies y tecnologías similares para funcionamiento técnico, seguridad, gestión de preferencias, analítica y mejora de experiencia.</w:t>
      </w:r>
    </w:p>
    <w:p>
      <w:pPr>
        <w:pStyle w:val="BodyText"/>
      </w:pPr>
      <w:r>
        <w:t xml:space="preserve">Las cookies estrictamente necesarias pueden operar para permitir el funcionamiento básico del sitio o servicio. Las cookies no esenciales, cuando existan, estarán sujetas al consentimiento o configuración del usuario conforme a la</w:t>
      </w:r>
      <w:r>
        <w:t xml:space="preserve"> </w:t>
      </w:r>
      <w:r>
        <w:rPr>
          <w:b/>
          <w:bCs/>
        </w:rPr>
        <w:t xml:space="preserve">Política de Cookies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propiedad-intelectual"/>
    <w:p>
      <w:pPr>
        <w:pStyle w:val="Heading1"/>
      </w:pPr>
      <w:r>
        <w:t xml:space="preserve">16. Propiedad intelectual</w:t>
      </w:r>
    </w:p>
    <w:p>
      <w:pPr>
        <w:pStyle w:val="FirstParagraph"/>
      </w:pPr>
      <w:r>
        <w:t xml:space="preserve">Todos los derechos sobre la plataforma, sitio web, diseño, marca, logos, interfaz, textos, contenidos, flujos, taxonomías, prompts, metodologías, software, código, modelos, estructura de documentos, plantillas, materiales educativos y demás activos intelectuales de AlertaCuenta pertenecen a AlertaCuenta o a sus licenciantes, salvo que se indique lo contrario.</w:t>
      </w:r>
    </w:p>
    <w:p>
      <w:pPr>
        <w:pStyle w:val="BodyText"/>
      </w:pPr>
      <w:r>
        <w:t xml:space="preserve">El uso de la plataforma no transfiere propiedad intelectual al usuario.</w:t>
      </w:r>
    </w:p>
    <w:p>
      <w:pPr>
        <w:pStyle w:val="BodyText"/>
      </w:pPr>
      <w:r>
        <w:t xml:space="preserve">Queda prohibido copiar, reproducir, adaptar, distribuir, vender, sublicenciar, descompilar, extraer know-how, hacer ingeniería inversa o crear obras derivadas no autorizadas a partir de los activos de AlertaCuenta.</w:t>
      </w:r>
    </w:p>
    <w:p>
      <w:r>
        <w:pict>
          <v:rect style="width:0;height:1.5pt" o:hralign="center" o:hrstd="t" o:hr="t"/>
        </w:pict>
      </w:r>
    </w:p>
    <w:bookmarkEnd w:id="43"/>
    <w:bookmarkStart w:id="44" w:name="X814c5042d3e9e1c01e76112b14cb03bcc3f53da"/>
    <w:p>
      <w:pPr>
        <w:pStyle w:val="Heading1"/>
      </w:pPr>
      <w:r>
        <w:t xml:space="preserve">17. Contenido del usuario y licencia limitada</w:t>
      </w:r>
    </w:p>
    <w:p>
      <w:pPr>
        <w:pStyle w:val="FirstParagraph"/>
      </w:pPr>
      <w:r>
        <w:t xml:space="preserve">El usuario mantiene la titularidad sobre la información, documentos, relatos, evidencias, archivos, prompts, consultas o contenidos que entregue a AlertaCuenta.</w:t>
      </w:r>
    </w:p>
    <w:p>
      <w:pPr>
        <w:pStyle w:val="BodyText"/>
      </w:pPr>
      <w:r>
        <w:t xml:space="preserve">Al entregar contenido, el usuario otorga a AlertaCuenta una licencia limitada, no exclusiva, revocable en la medida compatible con el servicio, gratuita y necesaria para:</w:t>
      </w:r>
    </w:p>
    <w:p>
      <w:pPr>
        <w:pStyle w:val="Compact"/>
        <w:numPr>
          <w:ilvl w:val="0"/>
          <w:numId w:val="1014"/>
        </w:numPr>
      </w:pPr>
      <w:r>
        <w:t xml:space="preserve">prestar el servicio solicitado;</w:t>
      </w:r>
    </w:p>
    <w:p>
      <w:pPr>
        <w:pStyle w:val="Compact"/>
        <w:numPr>
          <w:ilvl w:val="0"/>
          <w:numId w:val="1014"/>
        </w:numPr>
      </w:pPr>
      <w:r>
        <w:t xml:space="preserve">procesar el caso;</w:t>
      </w:r>
    </w:p>
    <w:p>
      <w:pPr>
        <w:pStyle w:val="Compact"/>
        <w:numPr>
          <w:ilvl w:val="0"/>
          <w:numId w:val="1014"/>
        </w:numPr>
      </w:pPr>
      <w:r>
        <w:t xml:space="preserve">ordenar evidencia;</w:t>
      </w:r>
    </w:p>
    <w:p>
      <w:pPr>
        <w:pStyle w:val="Compact"/>
        <w:numPr>
          <w:ilvl w:val="0"/>
          <w:numId w:val="1014"/>
        </w:numPr>
      </w:pPr>
      <w:r>
        <w:t xml:space="preserve">generar documentos;</w:t>
      </w:r>
    </w:p>
    <w:p>
      <w:pPr>
        <w:pStyle w:val="Compact"/>
        <w:numPr>
          <w:ilvl w:val="0"/>
          <w:numId w:val="1014"/>
        </w:numPr>
      </w:pPr>
      <w:r>
        <w:t xml:space="preserve">operar, mantener y proteger la plataforma;</w:t>
      </w:r>
    </w:p>
    <w:p>
      <w:pPr>
        <w:pStyle w:val="Compact"/>
        <w:numPr>
          <w:ilvl w:val="0"/>
          <w:numId w:val="1014"/>
        </w:numPr>
      </w:pPr>
      <w:r>
        <w:t xml:space="preserve">resolver problemas técnicos;</w:t>
      </w:r>
    </w:p>
    <w:p>
      <w:pPr>
        <w:pStyle w:val="Compact"/>
        <w:numPr>
          <w:ilvl w:val="0"/>
          <w:numId w:val="1014"/>
        </w:numPr>
      </w:pPr>
      <w:r>
        <w:t xml:space="preserve">cumplir obligaciones legales;</w:t>
      </w:r>
    </w:p>
    <w:p>
      <w:pPr>
        <w:pStyle w:val="Compact"/>
        <w:numPr>
          <w:ilvl w:val="0"/>
          <w:numId w:val="1014"/>
        </w:numPr>
      </w:pPr>
      <w:r>
        <w:t xml:space="preserve">responder solicitudes del usuario;</w:t>
      </w:r>
    </w:p>
    <w:p>
      <w:pPr>
        <w:pStyle w:val="Compact"/>
        <w:numPr>
          <w:ilvl w:val="0"/>
          <w:numId w:val="1014"/>
        </w:numPr>
      </w:pPr>
      <w:r>
        <w:t xml:space="preserve">mejorar el servicio mediante información agregada, anonimizada, minimizada o autorizada, cuando corresponda.</w:t>
      </w:r>
    </w:p>
    <w:p>
      <w:pPr>
        <w:pStyle w:val="FirstParagraph"/>
      </w:pPr>
      <w:r>
        <w:t xml:space="preserve">AlertaCuenta no debe utilizar información identificable del usuario para entrenar modelos generales de propósito amplio sin autorización expresa o base jurídica suficiente.</w:t>
      </w:r>
    </w:p>
    <w:p>
      <w:r>
        <w:pict>
          <v:rect style="width:0;height:1.5pt" o:hralign="center" o:hrstd="t" o:hr="t"/>
        </w:pict>
      </w:r>
    </w:p>
    <w:bookmarkEnd w:id="44"/>
    <w:bookmarkStart w:id="45" w:name="servicios-pagados-precios-y-reembolsos"/>
    <w:p>
      <w:pPr>
        <w:pStyle w:val="Heading1"/>
      </w:pPr>
      <w:r>
        <w:t xml:space="preserve">18. Servicios pagados, precios y reembolsos</w:t>
      </w:r>
    </w:p>
    <w:p>
      <w:pPr>
        <w:pStyle w:val="FirstParagraph"/>
      </w:pPr>
      <w:r>
        <w:t xml:space="preserve">Si AlertaCuenta ofrece servicios pagados, documentos profesionales, revisiones humanas, asesorías, planes, suscripciones o productos digitales, las condiciones comerciales específicas deberán informarse antes de la contratación.</w:t>
      </w:r>
    </w:p>
    <w:p>
      <w:pPr>
        <w:pStyle w:val="BodyText"/>
      </w:pPr>
      <w:r>
        <w:t xml:space="preserve">Dichas condiciones podrán incluir:</w:t>
      </w:r>
    </w:p>
    <w:p>
      <w:pPr>
        <w:pStyle w:val="Compact"/>
        <w:numPr>
          <w:ilvl w:val="0"/>
          <w:numId w:val="1015"/>
        </w:numPr>
      </w:pPr>
      <w:r>
        <w:t xml:space="preserve">precio;</w:t>
      </w:r>
    </w:p>
    <w:p>
      <w:pPr>
        <w:pStyle w:val="Compact"/>
        <w:numPr>
          <w:ilvl w:val="0"/>
          <w:numId w:val="1015"/>
        </w:numPr>
      </w:pPr>
      <w:r>
        <w:t xml:space="preserve">alcance del servicio;</w:t>
      </w:r>
    </w:p>
    <w:p>
      <w:pPr>
        <w:pStyle w:val="Compact"/>
        <w:numPr>
          <w:ilvl w:val="0"/>
          <w:numId w:val="1015"/>
        </w:numPr>
      </w:pPr>
      <w:r>
        <w:t xml:space="preserve">impuestos aplicables;</w:t>
      </w:r>
    </w:p>
    <w:p>
      <w:pPr>
        <w:pStyle w:val="Compact"/>
        <w:numPr>
          <w:ilvl w:val="0"/>
          <w:numId w:val="1015"/>
        </w:numPr>
      </w:pPr>
      <w:r>
        <w:t xml:space="preserve">medios de pago;</w:t>
      </w:r>
    </w:p>
    <w:p>
      <w:pPr>
        <w:pStyle w:val="Compact"/>
        <w:numPr>
          <w:ilvl w:val="0"/>
          <w:numId w:val="1015"/>
        </w:numPr>
      </w:pPr>
      <w:r>
        <w:t xml:space="preserve">tiempo estimado de entrega;</w:t>
      </w:r>
    </w:p>
    <w:p>
      <w:pPr>
        <w:pStyle w:val="Compact"/>
        <w:numPr>
          <w:ilvl w:val="0"/>
          <w:numId w:val="1015"/>
        </w:numPr>
      </w:pPr>
      <w:r>
        <w:t xml:space="preserve">condiciones de revisión;</w:t>
      </w:r>
    </w:p>
    <w:p>
      <w:pPr>
        <w:pStyle w:val="Compact"/>
        <w:numPr>
          <w:ilvl w:val="0"/>
          <w:numId w:val="1015"/>
        </w:numPr>
      </w:pPr>
      <w:r>
        <w:t xml:space="preserve">limitaciones;</w:t>
      </w:r>
    </w:p>
    <w:p>
      <w:pPr>
        <w:pStyle w:val="Compact"/>
        <w:numPr>
          <w:ilvl w:val="0"/>
          <w:numId w:val="1015"/>
        </w:numPr>
      </w:pPr>
      <w:r>
        <w:t xml:space="preserve">política de reembolso;</w:t>
      </w:r>
    </w:p>
    <w:p>
      <w:pPr>
        <w:pStyle w:val="Compact"/>
        <w:numPr>
          <w:ilvl w:val="0"/>
          <w:numId w:val="1015"/>
        </w:numPr>
      </w:pPr>
      <w:r>
        <w:t xml:space="preserve">derecho a retracto cuando corresponda;</w:t>
      </w:r>
    </w:p>
    <w:p>
      <w:pPr>
        <w:pStyle w:val="Compact"/>
        <w:numPr>
          <w:ilvl w:val="0"/>
          <w:numId w:val="1015"/>
        </w:numPr>
      </w:pPr>
      <w:r>
        <w:t xml:space="preserve">exclusiones;</w:t>
      </w:r>
    </w:p>
    <w:p>
      <w:pPr>
        <w:pStyle w:val="Compact"/>
        <w:numPr>
          <w:ilvl w:val="0"/>
          <w:numId w:val="1015"/>
        </w:numPr>
      </w:pPr>
      <w:r>
        <w:t xml:space="preserve">soporte disponible.</w:t>
      </w:r>
    </w:p>
    <w:p>
      <w:pPr>
        <w:pStyle w:val="FirstParagraph"/>
      </w:pPr>
      <w:r>
        <w:t xml:space="preserve">En ausencia de condiciones comerciales específicas, el acceso informativo o uso de una demo no genera obligación de prestación profesional, resultado garantizado ni servicio pagado.</w:t>
      </w:r>
    </w:p>
    <w:p>
      <w:r>
        <w:pict>
          <v:rect style="width:0;height:1.5pt" o:hralign="center" o:hrstd="t" o:hr="t"/>
        </w:pict>
      </w:r>
    </w:p>
    <w:bookmarkEnd w:id="45"/>
    <w:bookmarkStart w:id="46" w:name="terceros-proveedores-e-integraciones"/>
    <w:p>
      <w:pPr>
        <w:pStyle w:val="Heading1"/>
      </w:pPr>
      <w:r>
        <w:t xml:space="preserve">19. Terceros, proveedores e integraciones</w:t>
      </w:r>
    </w:p>
    <w:p>
      <w:pPr>
        <w:pStyle w:val="FirstParagraph"/>
      </w:pPr>
      <w:r>
        <w:t xml:space="preserve">AlertaCuenta puede apoyarse en terceros para operar la plataforma, incluyendo proveedores de nube, hosting, formularios, correo, mensajería, analítica, inteligencia artificial, seguridad, monitoreo, pagos, soporte o infraestructura.</w:t>
      </w:r>
    </w:p>
    <w:p>
      <w:pPr>
        <w:pStyle w:val="BodyText"/>
      </w:pPr>
      <w:r>
        <w:t xml:space="preserve">También puede enlazar o referir a sitios, canales o servicios de bancos, autoridades, comercios, instituciones públicas, profesionales o aliados.</w:t>
      </w:r>
    </w:p>
    <w:p>
      <w:pPr>
        <w:pStyle w:val="BodyText"/>
      </w:pPr>
      <w:r>
        <w:t xml:space="preserve">AlertaCuenta no controla necesariamente los servicios de terceros, sus políticas, disponibilidad, decisiones, respuestas o medidas de seguridad. El usuario debe revisar las condiciones y políticas aplicables a esos terceros antes de entregarles información.</w:t>
      </w:r>
    </w:p>
    <w:p>
      <w:pPr>
        <w:pStyle w:val="BodyText"/>
      </w:pPr>
      <w:r>
        <w:t xml:space="preserve">Cuando un tercero trate datos por cuenta de AlertaCuenta, se procurará que esté sujeto a obligaciones razonables de confidencialidad, seguridad y tratamiento de datos.</w:t>
      </w:r>
    </w:p>
    <w:p>
      <w:r>
        <w:pict>
          <v:rect style="width:0;height:1.5pt" o:hralign="center" o:hrstd="t" o:hr="t"/>
        </w:pict>
      </w:r>
    </w:p>
    <w:bookmarkEnd w:id="46"/>
    <w:bookmarkStart w:id="47" w:name="disponibilidad-y-continuidad"/>
    <w:p>
      <w:pPr>
        <w:pStyle w:val="Heading1"/>
      </w:pPr>
      <w:r>
        <w:t xml:space="preserve">20. Disponibilidad y continuidad</w:t>
      </w:r>
    </w:p>
    <w:p>
      <w:pPr>
        <w:pStyle w:val="FirstParagraph"/>
      </w:pPr>
      <w:r>
        <w:t xml:space="preserve">AlertaCuenta puede encontrarse en desarrollo, prueba, piloto, MVP o mejora continua. Por ello, pueden existir:</w:t>
      </w:r>
    </w:p>
    <w:p>
      <w:pPr>
        <w:pStyle w:val="Compact"/>
        <w:numPr>
          <w:ilvl w:val="0"/>
          <w:numId w:val="1016"/>
        </w:numPr>
      </w:pPr>
      <w:r>
        <w:t xml:space="preserve">interrupciones;</w:t>
      </w:r>
    </w:p>
    <w:p>
      <w:pPr>
        <w:pStyle w:val="Compact"/>
        <w:numPr>
          <w:ilvl w:val="0"/>
          <w:numId w:val="1016"/>
        </w:numPr>
      </w:pPr>
      <w:r>
        <w:t xml:space="preserve">errores;</w:t>
      </w:r>
    </w:p>
    <w:p>
      <w:pPr>
        <w:pStyle w:val="Compact"/>
        <w:numPr>
          <w:ilvl w:val="0"/>
          <w:numId w:val="1016"/>
        </w:numPr>
      </w:pPr>
      <w:r>
        <w:t xml:space="preserve">mantenciones;</w:t>
      </w:r>
    </w:p>
    <w:p>
      <w:pPr>
        <w:pStyle w:val="Compact"/>
        <w:numPr>
          <w:ilvl w:val="0"/>
          <w:numId w:val="1016"/>
        </w:numPr>
      </w:pPr>
      <w:r>
        <w:t xml:space="preserve">cambios de funcionalidad;</w:t>
      </w:r>
    </w:p>
    <w:p>
      <w:pPr>
        <w:pStyle w:val="Compact"/>
        <w:numPr>
          <w:ilvl w:val="0"/>
          <w:numId w:val="1016"/>
        </w:numPr>
      </w:pPr>
      <w:r>
        <w:t xml:space="preserve">ajustes de diseño;</w:t>
      </w:r>
    </w:p>
    <w:p>
      <w:pPr>
        <w:pStyle w:val="Compact"/>
        <w:numPr>
          <w:ilvl w:val="0"/>
          <w:numId w:val="1016"/>
        </w:numPr>
      </w:pPr>
      <w:r>
        <w:t xml:space="preserve">limitaciones temporales;</w:t>
      </w:r>
    </w:p>
    <w:p>
      <w:pPr>
        <w:pStyle w:val="Compact"/>
        <w:numPr>
          <w:ilvl w:val="0"/>
          <w:numId w:val="1016"/>
        </w:numPr>
      </w:pPr>
      <w:r>
        <w:t xml:space="preserve">discontinuación de módulos;</w:t>
      </w:r>
    </w:p>
    <w:p>
      <w:pPr>
        <w:pStyle w:val="Compact"/>
        <w:numPr>
          <w:ilvl w:val="0"/>
          <w:numId w:val="1016"/>
        </w:numPr>
      </w:pPr>
      <w:r>
        <w:t xml:space="preserve">cambios de proveedores;</w:t>
      </w:r>
    </w:p>
    <w:p>
      <w:pPr>
        <w:pStyle w:val="Compact"/>
        <w:numPr>
          <w:ilvl w:val="0"/>
          <w:numId w:val="1016"/>
        </w:numPr>
      </w:pPr>
      <w:r>
        <w:t xml:space="preserve">fallas de conectividad;</w:t>
      </w:r>
    </w:p>
    <w:p>
      <w:pPr>
        <w:pStyle w:val="Compact"/>
        <w:numPr>
          <w:ilvl w:val="0"/>
          <w:numId w:val="1016"/>
        </w:numPr>
      </w:pPr>
      <w:r>
        <w:t xml:space="preserve">indisponibilidad parcial o total.</w:t>
      </w:r>
    </w:p>
    <w:p>
      <w:pPr>
        <w:pStyle w:val="FirstParagraph"/>
      </w:pPr>
      <w:r>
        <w:t xml:space="preserve">Salvo que exista un acuerdo específico, AlertaCuenta se entrega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y</w:t>
      </w:r>
      <w:r>
        <w:t xml:space="preserve"> </w:t>
      </w:r>
      <w:r>
        <w:t xml:space="preserve">“según disponibilidad”</w:t>
      </w:r>
      <w:r>
        <w:t xml:space="preserve">, sin garantía de operación ininterrumpida, ausencia total de errores o compatibilidad con todos los dispositivos, navegadores, sistemas o necesidades del usuario.</w:t>
      </w:r>
    </w:p>
    <w:p>
      <w:r>
        <w:pict>
          <v:rect style="width:0;height:1.5pt" o:hralign="center" o:hrstd="t" o:hr="t"/>
        </w:pict>
      </w:r>
    </w:p>
    <w:bookmarkEnd w:id="47"/>
    <w:bookmarkStart w:id="48" w:name="garantías-y-descargos"/>
    <w:p>
      <w:pPr>
        <w:pStyle w:val="Heading1"/>
      </w:pPr>
      <w:r>
        <w:t xml:space="preserve">21. Garantías y descargos</w:t>
      </w:r>
    </w:p>
    <w:p>
      <w:pPr>
        <w:pStyle w:val="FirstParagraph"/>
      </w:pPr>
      <w:r>
        <w:t xml:space="preserve">En la máxima medida permitida por la ley aplicable, AlertaCuenta no garantiza:</w:t>
      </w:r>
    </w:p>
    <w:p>
      <w:pPr>
        <w:pStyle w:val="Compact"/>
        <w:numPr>
          <w:ilvl w:val="0"/>
          <w:numId w:val="1017"/>
        </w:numPr>
      </w:pPr>
      <w:r>
        <w:t xml:space="preserve">recuperación de dinero;</w:t>
      </w:r>
    </w:p>
    <w:p>
      <w:pPr>
        <w:pStyle w:val="Compact"/>
        <w:numPr>
          <w:ilvl w:val="0"/>
          <w:numId w:val="1017"/>
        </w:numPr>
      </w:pPr>
      <w:r>
        <w:t xml:space="preserve">aceptación de reclamos por bancos o terceros;</w:t>
      </w:r>
    </w:p>
    <w:p>
      <w:pPr>
        <w:pStyle w:val="Compact"/>
        <w:numPr>
          <w:ilvl w:val="0"/>
          <w:numId w:val="1017"/>
        </w:numPr>
      </w:pPr>
      <w:r>
        <w:t xml:space="preserve">respuesta favorable de instituciones;</w:t>
      </w:r>
    </w:p>
    <w:p>
      <w:pPr>
        <w:pStyle w:val="Compact"/>
        <w:numPr>
          <w:ilvl w:val="0"/>
          <w:numId w:val="1017"/>
        </w:numPr>
      </w:pPr>
      <w:r>
        <w:t xml:space="preserve">exactitud absoluta de outputs generados por IA;</w:t>
      </w:r>
    </w:p>
    <w:p>
      <w:pPr>
        <w:pStyle w:val="Compact"/>
        <w:numPr>
          <w:ilvl w:val="0"/>
          <w:numId w:val="1017"/>
        </w:numPr>
      </w:pPr>
      <w:r>
        <w:t xml:space="preserve">ausencia de errores;</w:t>
      </w:r>
    </w:p>
    <w:p>
      <w:pPr>
        <w:pStyle w:val="Compact"/>
        <w:numPr>
          <w:ilvl w:val="0"/>
          <w:numId w:val="1017"/>
        </w:numPr>
      </w:pPr>
      <w:r>
        <w:t xml:space="preserve">disponibilidad permanente;</w:t>
      </w:r>
    </w:p>
    <w:p>
      <w:pPr>
        <w:pStyle w:val="Compact"/>
        <w:numPr>
          <w:ilvl w:val="0"/>
          <w:numId w:val="1017"/>
        </w:numPr>
      </w:pPr>
      <w:r>
        <w:t xml:space="preserve">idoneidad para todos los casos;</w:t>
      </w:r>
    </w:p>
    <w:p>
      <w:pPr>
        <w:pStyle w:val="Compact"/>
        <w:numPr>
          <w:ilvl w:val="0"/>
          <w:numId w:val="1017"/>
        </w:numPr>
      </w:pPr>
      <w:r>
        <w:t xml:space="preserve">resultado legal, financiero, comercial o regulatorio específico;</w:t>
      </w:r>
    </w:p>
    <w:p>
      <w:pPr>
        <w:pStyle w:val="Compact"/>
        <w:numPr>
          <w:ilvl w:val="0"/>
          <w:numId w:val="1017"/>
        </w:numPr>
      </w:pPr>
      <w:r>
        <w:t xml:space="preserve">que una orientación general sea suficiente para un caso complejo.</w:t>
      </w:r>
    </w:p>
    <w:p>
      <w:pPr>
        <w:pStyle w:val="FirstParagraph"/>
      </w:pPr>
      <w:r>
        <w:t xml:space="preserve">Nada en estos Términos limita derechos irrenunciables del consumidor o del titular de datos personales cuando la ley aplicable los reconozca.</w:t>
      </w:r>
    </w:p>
    <w:p>
      <w:r>
        <w:pict>
          <v:rect style="width:0;height:1.5pt" o:hralign="center" o:hrstd="t" o:hr="t"/>
        </w:pict>
      </w:r>
    </w:p>
    <w:bookmarkEnd w:id="48"/>
    <w:bookmarkStart w:id="49" w:name="limitación-de-responsabilidad"/>
    <w:p>
      <w:pPr>
        <w:pStyle w:val="Heading1"/>
      </w:pPr>
      <w:r>
        <w:t xml:space="preserve">22. Limitación de responsabilidad</w:t>
      </w:r>
    </w:p>
    <w:p>
      <w:pPr>
        <w:pStyle w:val="FirstParagraph"/>
      </w:pPr>
      <w:r>
        <w:t xml:space="preserve">En la máxima medida permitida por la ley aplicable, AlertaCuenta no será responsable por daños indirectos, especiales, incidentales, punitivos, consecuenciales, lucro cesante, pérdida de oportunidad, pérdida reputacional, pérdida de datos atribuible a factores fuera de su control razonable, decisiones adoptadas exclusivamente por el usuario sin revisión, ni resultados derivados de información falsa, incompleta o tardía entregada por el usuario.</w:t>
      </w:r>
    </w:p>
    <w:p>
      <w:pPr>
        <w:pStyle w:val="BodyText"/>
      </w:pPr>
      <w:r>
        <w:t xml:space="preserve">AlertaCuenta tampoco será responsable por:</w:t>
      </w:r>
    </w:p>
    <w:p>
      <w:pPr>
        <w:pStyle w:val="Compact"/>
        <w:numPr>
          <w:ilvl w:val="0"/>
          <w:numId w:val="1018"/>
        </w:numPr>
      </w:pPr>
      <w:r>
        <w:t xml:space="preserve">decisiones de bancos, comercios, autoridades o tribunales;</w:t>
      </w:r>
    </w:p>
    <w:p>
      <w:pPr>
        <w:pStyle w:val="Compact"/>
        <w:numPr>
          <w:ilvl w:val="0"/>
          <w:numId w:val="1018"/>
        </w:numPr>
      </w:pPr>
      <w:r>
        <w:t xml:space="preserve">falta de bloqueo oportuno de productos por parte del usuario o institución;</w:t>
      </w:r>
    </w:p>
    <w:p>
      <w:pPr>
        <w:pStyle w:val="Compact"/>
        <w:numPr>
          <w:ilvl w:val="0"/>
          <w:numId w:val="1018"/>
        </w:numPr>
      </w:pPr>
      <w:r>
        <w:t xml:space="preserve">entrega de claves o códigos a terceros;</w:t>
      </w:r>
    </w:p>
    <w:p>
      <w:pPr>
        <w:pStyle w:val="Compact"/>
        <w:numPr>
          <w:ilvl w:val="0"/>
          <w:numId w:val="1018"/>
        </w:numPr>
      </w:pPr>
      <w:r>
        <w:t xml:space="preserve">uso de canales no oficiales;</w:t>
      </w:r>
    </w:p>
    <w:p>
      <w:pPr>
        <w:pStyle w:val="Compact"/>
        <w:numPr>
          <w:ilvl w:val="0"/>
          <w:numId w:val="1018"/>
        </w:numPr>
      </w:pPr>
      <w:r>
        <w:t xml:space="preserve">instalación de aplicaciones maliciosas por instrucciones de terceros;</w:t>
      </w:r>
    </w:p>
    <w:p>
      <w:pPr>
        <w:pStyle w:val="Compact"/>
        <w:numPr>
          <w:ilvl w:val="0"/>
          <w:numId w:val="1018"/>
        </w:numPr>
      </w:pPr>
      <w:r>
        <w:t xml:space="preserve">errores derivados de documentos manipulados o información falsa;</w:t>
      </w:r>
    </w:p>
    <w:p>
      <w:pPr>
        <w:pStyle w:val="Compact"/>
        <w:numPr>
          <w:ilvl w:val="0"/>
          <w:numId w:val="1018"/>
        </w:numPr>
      </w:pPr>
      <w:r>
        <w:t xml:space="preserve">fallas de proveedores externos fuera de su control razonable;</w:t>
      </w:r>
    </w:p>
    <w:p>
      <w:pPr>
        <w:pStyle w:val="Compact"/>
        <w:numPr>
          <w:ilvl w:val="0"/>
          <w:numId w:val="1018"/>
        </w:numPr>
      </w:pPr>
      <w:r>
        <w:t xml:space="preserve">uso indebido o no autorizado de la plataforma por el usuario.</w:t>
      </w:r>
    </w:p>
    <w:p>
      <w:pPr>
        <w:pStyle w:val="FirstParagraph"/>
      </w:pPr>
      <w:r>
        <w:t xml:space="preserve">Esta cláusula no excluye responsabilidad que no pueda excluirse conforme a la ley aplicable.</w:t>
      </w:r>
    </w:p>
    <w:p>
      <w:r>
        <w:pict>
          <v:rect style="width:0;height:1.5pt" o:hralign="center" o:hrstd="t" o:hr="t"/>
        </w:pict>
      </w:r>
    </w:p>
    <w:bookmarkEnd w:id="49"/>
    <w:bookmarkStart w:id="50" w:name="indemnidad"/>
    <w:p>
      <w:pPr>
        <w:pStyle w:val="Heading1"/>
      </w:pPr>
      <w:r>
        <w:t xml:space="preserve">23. Indemnidad</w:t>
      </w:r>
    </w:p>
    <w:p>
      <w:pPr>
        <w:pStyle w:val="FirstParagraph"/>
      </w:pPr>
      <w:r>
        <w:t xml:space="preserve">El usuario acepta mantener indemne a AlertaCuenta, sus colaboradores, proveedores, aliados y representantes frente a reclamos, daños, sanciones, costos o responsabilidades derivados de:</w:t>
      </w:r>
    </w:p>
    <w:p>
      <w:pPr>
        <w:pStyle w:val="Compact"/>
        <w:numPr>
          <w:ilvl w:val="0"/>
          <w:numId w:val="1019"/>
        </w:numPr>
      </w:pPr>
      <w:r>
        <w:t xml:space="preserve">uso ilícito de la plataforma;</w:t>
      </w:r>
    </w:p>
    <w:p>
      <w:pPr>
        <w:pStyle w:val="Compact"/>
        <w:numPr>
          <w:ilvl w:val="0"/>
          <w:numId w:val="1019"/>
        </w:numPr>
      </w:pPr>
      <w:r>
        <w:t xml:space="preserve">entrega de información falsa o manipulada;</w:t>
      </w:r>
    </w:p>
    <w:p>
      <w:pPr>
        <w:pStyle w:val="Compact"/>
        <w:numPr>
          <w:ilvl w:val="0"/>
          <w:numId w:val="1019"/>
        </w:numPr>
      </w:pPr>
      <w:r>
        <w:t xml:space="preserve">vulneración de derechos de terceros;</w:t>
      </w:r>
    </w:p>
    <w:p>
      <w:pPr>
        <w:pStyle w:val="Compact"/>
        <w:numPr>
          <w:ilvl w:val="0"/>
          <w:numId w:val="1019"/>
        </w:numPr>
      </w:pPr>
      <w:r>
        <w:t xml:space="preserve">carga de archivos maliciosos;</w:t>
      </w:r>
    </w:p>
    <w:p>
      <w:pPr>
        <w:pStyle w:val="Compact"/>
        <w:numPr>
          <w:ilvl w:val="0"/>
          <w:numId w:val="1019"/>
        </w:numPr>
      </w:pPr>
      <w:r>
        <w:t xml:space="preserve">uso abusivo de sistemas de IA;</w:t>
      </w:r>
    </w:p>
    <w:p>
      <w:pPr>
        <w:pStyle w:val="Compact"/>
        <w:numPr>
          <w:ilvl w:val="0"/>
          <w:numId w:val="1019"/>
        </w:numPr>
      </w:pPr>
      <w:r>
        <w:t xml:space="preserve">infracción de estos Términos;</w:t>
      </w:r>
    </w:p>
    <w:p>
      <w:pPr>
        <w:pStyle w:val="Compact"/>
        <w:numPr>
          <w:ilvl w:val="0"/>
          <w:numId w:val="1019"/>
        </w:numPr>
      </w:pPr>
      <w:r>
        <w:t xml:space="preserve">incumplimiento de la ley aplicable;</w:t>
      </w:r>
    </w:p>
    <w:p>
      <w:pPr>
        <w:pStyle w:val="Compact"/>
        <w:numPr>
          <w:ilvl w:val="0"/>
          <w:numId w:val="1019"/>
        </w:numPr>
      </w:pPr>
      <w:r>
        <w:t xml:space="preserve">ausencia de autorización para entregar datos o documentos de terceros.</w:t>
      </w:r>
    </w:p>
    <w:p>
      <w:pPr>
        <w:pStyle w:val="FirstParagraph"/>
      </w:pPr>
      <w:r>
        <w:t xml:space="preserve">Esta obligación se aplicará en la medida permitida por la ley y sin afectar derechos irrenunciables de consumidores o titulares de datos.</w:t>
      </w:r>
    </w:p>
    <w:p>
      <w:r>
        <w:pict>
          <v:rect style="width:0;height:1.5pt" o:hralign="center" o:hrstd="t" o:hr="t"/>
        </w:pict>
      </w:r>
    </w:p>
    <w:bookmarkEnd w:id="50"/>
    <w:bookmarkStart w:id="51" w:name="suspensión-bloqueo-o-terminación"/>
    <w:p>
      <w:pPr>
        <w:pStyle w:val="Heading1"/>
      </w:pPr>
      <w:r>
        <w:t xml:space="preserve">24. Suspensión, bloqueo o terminación</w:t>
      </w:r>
    </w:p>
    <w:p>
      <w:pPr>
        <w:pStyle w:val="FirstParagraph"/>
      </w:pPr>
      <w:r>
        <w:t xml:space="preserve">AlertaCuenta podrá suspender, bloquear, restringir o terminar el acceso de un usuario cuando existan razones como:</w:t>
      </w:r>
    </w:p>
    <w:p>
      <w:pPr>
        <w:pStyle w:val="Compact"/>
        <w:numPr>
          <w:ilvl w:val="0"/>
          <w:numId w:val="1020"/>
        </w:numPr>
      </w:pPr>
      <w:r>
        <w:t xml:space="preserve">incumplimiento de estos Términos;</w:t>
      </w:r>
    </w:p>
    <w:p>
      <w:pPr>
        <w:pStyle w:val="Compact"/>
        <w:numPr>
          <w:ilvl w:val="0"/>
          <w:numId w:val="1020"/>
        </w:numPr>
      </w:pPr>
      <w:r>
        <w:t xml:space="preserve">riesgo de seguridad;</w:t>
      </w:r>
    </w:p>
    <w:p>
      <w:pPr>
        <w:pStyle w:val="Compact"/>
        <w:numPr>
          <w:ilvl w:val="0"/>
          <w:numId w:val="1020"/>
        </w:numPr>
      </w:pPr>
      <w:r>
        <w:t xml:space="preserve">abuso de la plataforma;</w:t>
      </w:r>
    </w:p>
    <w:p>
      <w:pPr>
        <w:pStyle w:val="Compact"/>
        <w:numPr>
          <w:ilvl w:val="0"/>
          <w:numId w:val="1020"/>
        </w:numPr>
      </w:pPr>
      <w:r>
        <w:t xml:space="preserve">uso ilícito;</w:t>
      </w:r>
    </w:p>
    <w:p>
      <w:pPr>
        <w:pStyle w:val="Compact"/>
        <w:numPr>
          <w:ilvl w:val="0"/>
          <w:numId w:val="1020"/>
        </w:numPr>
      </w:pPr>
      <w:r>
        <w:t xml:space="preserve">carga de archivos maliciosos;</w:t>
      </w:r>
    </w:p>
    <w:p>
      <w:pPr>
        <w:pStyle w:val="Compact"/>
        <w:numPr>
          <w:ilvl w:val="0"/>
          <w:numId w:val="1020"/>
        </w:numPr>
      </w:pPr>
      <w:r>
        <w:t xml:space="preserve">intentos de vulneración;</w:t>
      </w:r>
    </w:p>
    <w:p>
      <w:pPr>
        <w:pStyle w:val="Compact"/>
        <w:numPr>
          <w:ilvl w:val="0"/>
          <w:numId w:val="1020"/>
        </w:numPr>
      </w:pPr>
      <w:r>
        <w:t xml:space="preserve">fraude o simulación;</w:t>
      </w:r>
    </w:p>
    <w:p>
      <w:pPr>
        <w:pStyle w:val="Compact"/>
        <w:numPr>
          <w:ilvl w:val="0"/>
          <w:numId w:val="1020"/>
        </w:numPr>
      </w:pPr>
      <w:r>
        <w:t xml:space="preserve">suplantación;</w:t>
      </w:r>
    </w:p>
    <w:p>
      <w:pPr>
        <w:pStyle w:val="Compact"/>
        <w:numPr>
          <w:ilvl w:val="0"/>
          <w:numId w:val="1020"/>
        </w:numPr>
      </w:pPr>
      <w:r>
        <w:t xml:space="preserve">requerimiento legal;</w:t>
      </w:r>
    </w:p>
    <w:p>
      <w:pPr>
        <w:pStyle w:val="Compact"/>
        <w:numPr>
          <w:ilvl w:val="0"/>
          <w:numId w:val="1020"/>
        </w:numPr>
      </w:pPr>
      <w:r>
        <w:t xml:space="preserve">protección de otros usuarios;</w:t>
      </w:r>
    </w:p>
    <w:p>
      <w:pPr>
        <w:pStyle w:val="Compact"/>
        <w:numPr>
          <w:ilvl w:val="0"/>
          <w:numId w:val="1020"/>
        </w:numPr>
      </w:pPr>
      <w:r>
        <w:t xml:space="preserve">discontinuación del servicio o módulo.</w:t>
      </w:r>
    </w:p>
    <w:p>
      <w:pPr>
        <w:pStyle w:val="FirstParagraph"/>
      </w:pPr>
      <w:r>
        <w:t xml:space="preserve">Cuando sea razonable y posible, AlertaCuenta podrá informar al usuario sobre la medida adoptada, salvo que ello comprometa seguridad, investigación, cumplimiento legal o derechos de terceros.</w:t>
      </w:r>
    </w:p>
    <w:p>
      <w:r>
        <w:pict>
          <v:rect style="width:0;height:1.5pt" o:hralign="center" o:hrstd="t" o:hr="t"/>
        </w:pict>
      </w:r>
    </w:p>
    <w:bookmarkEnd w:id="51"/>
    <w:bookmarkStart w:id="52" w:name="Xff630fb7a844fc0215d07ff8f4e65d132e819fc"/>
    <w:p>
      <w:pPr>
        <w:pStyle w:val="Heading1"/>
      </w:pPr>
      <w:r>
        <w:t xml:space="preserve">25. Cambios en la plataforma y en estos Términos</w:t>
      </w:r>
    </w:p>
    <w:p>
      <w:pPr>
        <w:pStyle w:val="FirstParagraph"/>
      </w:pPr>
      <w:r>
        <w:t xml:space="preserve">AlertaCuenta podrá modificar, actualizar, complementar o reemplazar estos Términos para reflejar cambios legales, técnicos, operativos, comerciales, de seguridad, de IA, de proveedores o de modelo de servicio.</w:t>
      </w:r>
    </w:p>
    <w:p>
      <w:pPr>
        <w:pStyle w:val="BodyText"/>
      </w:pPr>
      <w:r>
        <w:t xml:space="preserve">La versión vigente será la publicada en el sitio o repositorio oficial de AlertaCuenta, con su fecha de actualización.</w:t>
      </w:r>
    </w:p>
    <w:p>
      <w:pPr>
        <w:pStyle w:val="BodyText"/>
      </w:pPr>
      <w:r>
        <w:t xml:space="preserve">El uso continuado de la plataforma después de publicada una nueva versión implica aceptación de los Términos actualizados, salvo que la ley exija una forma distinta de consentimiento o comunicación.</w:t>
      </w:r>
    </w:p>
    <w:p>
      <w:r>
        <w:pict>
          <v:rect style="width:0;height:1.5pt" o:hralign="center" o:hrstd="t" o:hr="t"/>
        </w:pict>
      </w:r>
    </w:p>
    <w:bookmarkEnd w:id="52"/>
    <w:bookmarkStart w:id="53" w:name="comunicaciones-electrónicas"/>
    <w:p>
      <w:pPr>
        <w:pStyle w:val="Heading1"/>
      </w:pPr>
      <w:r>
        <w:t xml:space="preserve">26. Comunicaciones electrónicas</w:t>
      </w:r>
    </w:p>
    <w:p>
      <w:pPr>
        <w:pStyle w:val="FirstParagraph"/>
      </w:pPr>
      <w:r>
        <w:t xml:space="preserve">El usuario acepta que AlertaCuenta pueda comunicarse por medios electrónicos o telefónicos para:</w:t>
      </w:r>
    </w:p>
    <w:p>
      <w:pPr>
        <w:pStyle w:val="Compact"/>
        <w:numPr>
          <w:ilvl w:val="0"/>
          <w:numId w:val="1021"/>
        </w:numPr>
      </w:pPr>
      <w:r>
        <w:t xml:space="preserve">responder solicitudes;</w:t>
      </w:r>
    </w:p>
    <w:p>
      <w:pPr>
        <w:pStyle w:val="Compact"/>
        <w:numPr>
          <w:ilvl w:val="0"/>
          <w:numId w:val="1021"/>
        </w:numPr>
      </w:pPr>
      <w:r>
        <w:t xml:space="preserve">enviar documentos;</w:t>
      </w:r>
    </w:p>
    <w:p>
      <w:pPr>
        <w:pStyle w:val="Compact"/>
        <w:numPr>
          <w:ilvl w:val="0"/>
          <w:numId w:val="1021"/>
        </w:numPr>
      </w:pPr>
      <w:r>
        <w:t xml:space="preserve">informar estado del caso;</w:t>
      </w:r>
    </w:p>
    <w:p>
      <w:pPr>
        <w:pStyle w:val="Compact"/>
        <w:numPr>
          <w:ilvl w:val="0"/>
          <w:numId w:val="1021"/>
        </w:numPr>
      </w:pPr>
      <w:r>
        <w:t xml:space="preserve">solicitar antecedentes faltantes;</w:t>
      </w:r>
    </w:p>
    <w:p>
      <w:pPr>
        <w:pStyle w:val="Compact"/>
        <w:numPr>
          <w:ilvl w:val="0"/>
          <w:numId w:val="1021"/>
        </w:numPr>
      </w:pPr>
      <w:r>
        <w:t xml:space="preserve">entregar alertas de seguridad;</w:t>
      </w:r>
    </w:p>
    <w:p>
      <w:pPr>
        <w:pStyle w:val="Compact"/>
        <w:numPr>
          <w:ilvl w:val="0"/>
          <w:numId w:val="1021"/>
        </w:numPr>
      </w:pPr>
      <w:r>
        <w:t xml:space="preserve">comunicar cambios relevantes;</w:t>
      </w:r>
    </w:p>
    <w:p>
      <w:pPr>
        <w:pStyle w:val="Compact"/>
        <w:numPr>
          <w:ilvl w:val="0"/>
          <w:numId w:val="1021"/>
        </w:numPr>
      </w:pPr>
      <w:r>
        <w:t xml:space="preserve">gestionar soporte;</w:t>
      </w:r>
    </w:p>
    <w:p>
      <w:pPr>
        <w:pStyle w:val="Compact"/>
        <w:numPr>
          <w:ilvl w:val="0"/>
          <w:numId w:val="1021"/>
        </w:numPr>
      </w:pPr>
      <w:r>
        <w:t xml:space="preserve">responder solicitudes de privacidad;</w:t>
      </w:r>
    </w:p>
    <w:p>
      <w:pPr>
        <w:pStyle w:val="Compact"/>
        <w:numPr>
          <w:ilvl w:val="0"/>
          <w:numId w:val="1021"/>
        </w:numPr>
      </w:pPr>
      <w:r>
        <w:t xml:space="preserve">enviar comunicaciones operativas o legales.</w:t>
      </w:r>
    </w:p>
    <w:p>
      <w:pPr>
        <w:pStyle w:val="FirstParagraph"/>
      </w:pPr>
      <w:r>
        <w:t xml:space="preserve">Las comunicaciones comerciales no esenciales podrán gestionarse conforme a las preferencias del usuario y normativa aplicable.</w:t>
      </w:r>
    </w:p>
    <w:p>
      <w:r>
        <w:pict>
          <v:rect style="width:0;height:1.5pt" o:hralign="center" o:hrstd="t" o:hr="t"/>
        </w:pict>
      </w:r>
    </w:p>
    <w:bookmarkEnd w:id="53"/>
    <w:bookmarkStart w:id="54" w:name="ley-aplicable-y-jurisdicción"/>
    <w:p>
      <w:pPr>
        <w:pStyle w:val="Heading1"/>
      </w:pPr>
      <w:r>
        <w:t xml:space="preserve">27. Ley aplicable y jurisdicción</w:t>
      </w:r>
    </w:p>
    <w:p>
      <w:pPr>
        <w:pStyle w:val="FirstParagraph"/>
      </w:pPr>
      <w:r>
        <w:t xml:space="preserve">Estos Términos se regirán por las leyes de la República de Chile, salvo que un contrato específico, piloto institucional, acuerdo internacional o instrumento particular establezca una regla distinta.</w:t>
      </w:r>
    </w:p>
    <w:p>
      <w:pPr>
        <w:pStyle w:val="BodyText"/>
      </w:pPr>
      <w:r>
        <w:t xml:space="preserve">Para controversias relacionadas con el uso de la plataforma, y en ausencia de pacto específico, las partes se someterán a la competencia de los tribunales ordinarios de justicia que correspondan conforme a la ley chilena aplicable.</w:t>
      </w:r>
    </w:p>
    <w:p>
      <w:pPr>
        <w:pStyle w:val="BodyText"/>
      </w:pPr>
      <w:r>
        <w:t xml:space="preserve">Cuando el usuario tenga calidad de consumidor, se respetarán los derechos, acciones, competencias y mecanismos que la normativa de protección al consumidor le reconozca.</w:t>
      </w:r>
    </w:p>
    <w:p>
      <w:r>
        <w:pict>
          <v:rect style="width:0;height:1.5pt" o:hralign="center" o:hrstd="t" o:hr="t"/>
        </w:pict>
      </w:r>
    </w:p>
    <w:bookmarkEnd w:id="54"/>
    <w:bookmarkStart w:id="55" w:name="separabilidad-y-no-renuncia"/>
    <w:p>
      <w:pPr>
        <w:pStyle w:val="Heading1"/>
      </w:pPr>
      <w:r>
        <w:t xml:space="preserve">28. Separabilidad y no renuncia</w:t>
      </w:r>
    </w:p>
    <w:p>
      <w:pPr>
        <w:pStyle w:val="FirstParagraph"/>
      </w:pPr>
      <w:r>
        <w:t xml:space="preserve">Si alguna disposición de estos Términos fuese declarada inválida, inaplicable o inejecutable, dicha circunstancia no afectará la validez de las demás disposiciones, que continuarán vigentes en la máxima medida permitida por la ley.</w:t>
      </w:r>
    </w:p>
    <w:p>
      <w:pPr>
        <w:pStyle w:val="BodyText"/>
      </w:pPr>
      <w:r>
        <w:t xml:space="preserve">La falta de ejercicio inmediato de un derecho por parte de AlertaCuenta no constituirá renuncia a dicho derecho ni impedirá su ejercicio posterior.</w:t>
      </w:r>
    </w:p>
    <w:p>
      <w:r>
        <w:pict>
          <v:rect style="width:0;height:1.5pt" o:hralign="center" o:hrstd="t" o:hr="t"/>
        </w:pict>
      </w:r>
    </w:p>
    <w:bookmarkEnd w:id="55"/>
    <w:bookmarkStart w:id="56" w:name="relación-con-otros-documentos"/>
    <w:p>
      <w:pPr>
        <w:pStyle w:val="Heading1"/>
      </w:pPr>
      <w:r>
        <w:t xml:space="preserve">29. Relación con otros documentos</w:t>
      </w:r>
    </w:p>
    <w:p>
      <w:pPr>
        <w:pStyle w:val="FirstParagraph"/>
      </w:pPr>
      <w:r>
        <w:t xml:space="preserve">Estos Términos deben leerse junto con:</w:t>
      </w:r>
    </w:p>
    <w:p>
      <w:pPr>
        <w:pStyle w:val="Compact"/>
        <w:numPr>
          <w:ilvl w:val="0"/>
          <w:numId w:val="1022"/>
        </w:numPr>
      </w:pPr>
      <w:r>
        <w:t xml:space="preserve">Centro de Confianza AlertaCuenta;</w:t>
      </w:r>
    </w:p>
    <w:p>
      <w:pPr>
        <w:pStyle w:val="Compact"/>
        <w:numPr>
          <w:ilvl w:val="0"/>
          <w:numId w:val="1022"/>
        </w:numPr>
      </w:pPr>
      <w:r>
        <w:t xml:space="preserve">Política de Privacidad;</w:t>
      </w:r>
    </w:p>
    <w:p>
      <w:pPr>
        <w:pStyle w:val="Compact"/>
        <w:numPr>
          <w:ilvl w:val="0"/>
          <w:numId w:val="1022"/>
        </w:numPr>
      </w:pPr>
      <w:r>
        <w:t xml:space="preserve">Aviso Especial de Datos Financieros y Evidencia de Fraude;</w:t>
      </w:r>
    </w:p>
    <w:p>
      <w:pPr>
        <w:pStyle w:val="Compact"/>
        <w:numPr>
          <w:ilvl w:val="0"/>
          <w:numId w:val="1022"/>
        </w:numPr>
      </w:pPr>
      <w:r>
        <w:t xml:space="preserve">Política de Cookies;</w:t>
      </w:r>
    </w:p>
    <w:p>
      <w:pPr>
        <w:pStyle w:val="Compact"/>
        <w:numPr>
          <w:ilvl w:val="0"/>
          <w:numId w:val="1022"/>
        </w:numPr>
      </w:pPr>
      <w:r>
        <w:t xml:space="preserve">Declaración de Seguridad de la Información;</w:t>
      </w:r>
    </w:p>
    <w:p>
      <w:pPr>
        <w:pStyle w:val="Compact"/>
        <w:numPr>
          <w:ilvl w:val="0"/>
          <w:numId w:val="1022"/>
        </w:numPr>
      </w:pPr>
      <w:r>
        <w:t xml:space="preserve">Política de Gobierno de Datos;</w:t>
      </w:r>
    </w:p>
    <w:p>
      <w:pPr>
        <w:pStyle w:val="Compact"/>
        <w:numPr>
          <w:ilvl w:val="0"/>
          <w:numId w:val="1022"/>
        </w:numPr>
      </w:pPr>
      <w:r>
        <w:t xml:space="preserve">Política de Gobernanza de Inteligencia Artificial;</w:t>
      </w:r>
    </w:p>
    <w:p>
      <w:pPr>
        <w:pStyle w:val="Compact"/>
        <w:numPr>
          <w:ilvl w:val="0"/>
          <w:numId w:val="1022"/>
        </w:numPr>
      </w:pPr>
      <w:r>
        <w:t xml:space="preserve">DPA o Acuerdo de Tratamiento de Datos, cuando corresponda;</w:t>
      </w:r>
    </w:p>
    <w:p>
      <w:pPr>
        <w:pStyle w:val="Compact"/>
        <w:numPr>
          <w:ilvl w:val="0"/>
          <w:numId w:val="1022"/>
        </w:numPr>
      </w:pPr>
      <w:r>
        <w:t xml:space="preserve">condiciones comerciales particulares, si existen.</w:t>
      </w:r>
    </w:p>
    <w:p>
      <w:pPr>
        <w:pStyle w:val="FirstParagraph"/>
      </w:pPr>
      <w:r>
        <w:t xml:space="preserve">En caso de contradicción, prevalecerá el documento más específico respecto de la materia particular, salvo que la ley o un contrato válido dispongan otra cosa.</w:t>
      </w:r>
    </w:p>
    <w:p>
      <w:r>
        <w:pict>
          <v:rect style="width:0;height:1.5pt" o:hralign="center" o:hrstd="t" o:hr="t"/>
        </w:pict>
      </w:r>
    </w:p>
    <w:bookmarkEnd w:id="56"/>
    <w:bookmarkStart w:id="57" w:name="contacto"/>
    <w:p>
      <w:pPr>
        <w:pStyle w:val="Heading1"/>
      </w:pPr>
      <w:r>
        <w:t xml:space="preserve">30. Contacto</w:t>
      </w:r>
    </w:p>
    <w:p>
      <w:pPr>
        <w:pStyle w:val="FirstParagraph"/>
      </w:pPr>
      <w:r>
        <w:t xml:space="preserve">Para consultas sobre estos Términos, soporte, seguridad o privacidad, puedes contactar a AlertaCuenta a través de:</w:t>
      </w:r>
    </w:p>
    <w:p>
      <w:pPr>
        <w:pStyle w:val="BodyText"/>
      </w:pPr>
      <w:r>
        <w:rPr>
          <w:b/>
          <w:bCs/>
        </w:rPr>
        <w:t xml:space="preserve">Soporte:</w:t>
      </w:r>
      <w:r>
        <w:t xml:space="preserve"> </w:t>
      </w:r>
      <w:r>
        <w:t xml:space="preserve">[soporte@alertacuenta.cl]</w:t>
      </w:r>
      <w:r>
        <w:br/>
      </w:r>
      <w:r>
        <w:rPr>
          <w:b/>
          <w:bCs/>
        </w:rPr>
        <w:t xml:space="preserve">Privacidad:</w:t>
      </w:r>
      <w:r>
        <w:t xml:space="preserve"> </w:t>
      </w:r>
      <w:r>
        <w:t xml:space="preserve">[privacidad@alertacuenta.cl]</w:t>
      </w:r>
      <w:r>
        <w:br/>
      </w:r>
      <w:r>
        <w:rPr>
          <w:b/>
          <w:bCs/>
        </w:rPr>
        <w:t xml:space="preserve">Formulario: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Sitio web:</w:t>
      </w:r>
      <w:r>
        <w:t xml:space="preserve"> </w:t>
      </w:r>
      <w:r>
        <w:t xml:space="preserve">[●]</w:t>
      </w:r>
    </w:p>
    <w:p>
      <w:r>
        <w:pict>
          <v:rect style="width:0;height:1.5pt" o:hralign="center" o:hrstd="t" o:hr="t"/>
        </w:pict>
      </w:r>
    </w:p>
    <w:bookmarkEnd w:id="57"/>
    <w:bookmarkStart w:id="58" w:name="mensaje-final-al-usuario"/>
    <w:p>
      <w:pPr>
        <w:pStyle w:val="Heading1"/>
      </w:pPr>
      <w:r>
        <w:t xml:space="preserve">31. Mensaje final al usuario</w:t>
      </w:r>
    </w:p>
    <w:p>
      <w:pPr>
        <w:pStyle w:val="FirstParagraph"/>
      </w:pPr>
      <w:r>
        <w:t xml:space="preserve">AlertaCuenta está diseñada para ayudarte a actuar frente al fraude con más claridad, orden y protección.</w:t>
      </w:r>
    </w:p>
    <w:p>
      <w:pPr>
        <w:pStyle w:val="BodyText"/>
      </w:pPr>
      <w:r>
        <w:t xml:space="preserve">Pero la primera barrera de seguridad siempre empieza contigo:</w:t>
      </w:r>
    </w:p>
    <w:p>
      <w:pPr>
        <w:pStyle w:val="BodyText"/>
      </w:pPr>
      <w:r>
        <w:rPr>
          <w:b/>
          <w:bCs/>
        </w:rPr>
        <w:t xml:space="preserve">No entregues claves. No compartas códigos. No instales aplicaciones por instrucción de desconocidos. Conserva evidencia. Contacta a tu banco por canales oficiales. Revisa antes de enviar. Actúa rápido, pero con cuidado.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2026-05-07T03:31:32Z</dcterms:created>
  <dcterms:modified xsi:type="dcterms:W3CDTF">2026-05-07T03:31:32Z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