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INTELLECTUAL PROPERTY</w:t>
      </w:r>
    </w:p>
    <w:p>
      <w:pPr>
        <w:spacing w:after="120"/>
        <w:jc w:val="center"/>
      </w:pPr>
      <w:r>
        <w:rPr>
          <w:b/>
          <w:bCs/>
          <w:sz w:val="36"/>
          <w:szCs w:val="36"/>
        </w:rPr>
        <w:t xml:space="preserve">OWNERSHIP POLICY</w:t>
      </w:r>
    </w:p>
    <w:p>
      <w:pPr>
        <w:spacing w:after="60"/>
        <w:jc w:val="center"/>
      </w:pPr>
      <w:r>
        <w:rPr>
          <w:color w:val="1B365D"/>
          <w:sz w:val="24"/>
          <w:szCs w:val="24"/>
        </w:rPr>
        <w:t xml:space="preserve">IVYAR LLC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B365D" w:sz="12"/>
              <w:right w:val="none" w:color="FFFFFF" w:sz="0"/>
            </w:tcBorders>
          </w:tcPr>
          <w:p/>
        </w:tc>
      </w:tr>
    </w:tbl>
    <w:p>
      <w:pPr>
        <w:spacing w:before="240" w:after="360"/>
        <w:jc w:val="center"/>
      </w:pPr>
      <w:r>
        <w:rPr>
          <w:i/>
          <w:iCs/>
          <w:color w:val="666666"/>
          <w:sz w:val="20"/>
          <w:szCs w:val="20"/>
        </w:rPr>
        <w:t xml:space="preserve">Effective Date: January 1, 2024  |  Version: 1.0  |  Classification: CONFIDENTIAL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4"/>
              <w:bottom w:val="single" w:color="C9A227" w:sz="1"/>
              <w:right w:val="single" w:color="C9A227" w:sz="1"/>
            </w:tcBorders>
            <w:shd w:fill="FFFBEA" w:val="clear"/>
          </w:tcPr>
          <w:p>
            <w:pPr>
              <w:spacing w:before="160" w:after="80"/>
              <w:ind w:left="180" w:right="180"/>
            </w:pPr>
            <w:r>
              <w:rPr>
                <w:b/>
                <w:bCs/>
                <w:color w:val="1B365D"/>
                <w:sz w:val="22"/>
                <w:szCs w:val="22"/>
              </w:rPr>
              <w:t xml:space="preserve">PURPOSE</w:t>
            </w:r>
          </w:p>
          <w:p>
            <w:pPr>
              <w:spacing w:after="160"/>
              <w:ind w:left="180" w:right="180"/>
            </w:pPr>
            <w:r>
              <w:rPr>
                <w:sz w:val="22"/>
                <w:szCs w:val="22"/>
              </w:rPr>
              <w:t xml:space="preserve">This policy establishes the ownership, protection, and management of all intellectual property created by, for, or in connection with IVYAR LLC. It applies to all employees, contractors, consultants, and third parties who create, contribute to, or have access to IVYAR intellectual property.</w:t>
            </w:r>
          </w:p>
        </w:tc>
      </w:tr>
    </w:tbl>
    <w:p>
      <w:pPr>
        <w:spacing w:before="320" w:after="160"/>
      </w:pPr>
      <w:r>
        <w:rPr>
          <w:b/>
          <w:bCs/>
          <w:color w:val="1B365D"/>
          <w:sz w:val="24"/>
          <w:szCs w:val="24"/>
        </w:rPr>
        <w:t xml:space="preserve">1. DEFINITIONS</w:t>
      </w:r>
    </w:p>
    <w:p>
      <w:pPr>
        <w:spacing w:after="100"/>
      </w:pPr>
      <w:r>
        <w:rPr>
          <w:b/>
          <w:bCs/>
          <w:sz w:val="22"/>
          <w:szCs w:val="22"/>
        </w:rPr>
        <w:t xml:space="preserve">"Company" </w:t>
      </w:r>
      <w:r>
        <w:rPr>
          <w:sz w:val="22"/>
          <w:szCs w:val="22"/>
        </w:rPr>
        <w:t xml:space="preserve">means IVYAR LLC, a Delaware limited liability company, including its subsidiaries and affiliates.</w:t>
      </w:r>
    </w:p>
    <w:p>
      <w:pPr>
        <w:spacing w:after="100"/>
      </w:pPr>
      <w:r>
        <w:rPr>
          <w:b/>
          <w:bCs/>
          <w:sz w:val="22"/>
          <w:szCs w:val="22"/>
        </w:rPr>
        <w:t xml:space="preserve">"Company IP" </w:t>
      </w:r>
      <w:r>
        <w:rPr>
          <w:sz w:val="22"/>
          <w:szCs w:val="22"/>
        </w:rPr>
        <w:t xml:space="preserve">means all Intellectual Property that is: (a) created, developed, or conceived by Personnel within the scope of their engagement with the Company; (b) created using Company resources, facilities, or Confidential Information; or (c) related to the Company's current or anticipated business, products, or services.</w:t>
      </w:r>
    </w:p>
    <w:p>
      <w:pPr>
        <w:spacing w:after="100"/>
      </w:pPr>
      <w:r>
        <w:rPr>
          <w:b/>
          <w:bCs/>
          <w:sz w:val="22"/>
          <w:szCs w:val="22"/>
        </w:rPr>
        <w:t xml:space="preserve">"Confidential Information" </w:t>
      </w:r>
      <w:r>
        <w:rPr>
          <w:sz w:val="22"/>
          <w:szCs w:val="22"/>
        </w:rPr>
        <w:t xml:space="preserve">means any non-public information relating to the Company's business, technology, customers, or operations, including but not limited to trade secrets, source code, algorithms, business plans, and customer data.</w:t>
      </w:r>
    </w:p>
    <w:p>
      <w:pPr>
        <w:spacing w:after="100"/>
      </w:pPr>
      <w:r>
        <w:rPr>
          <w:b/>
          <w:bCs/>
          <w:sz w:val="22"/>
          <w:szCs w:val="22"/>
        </w:rPr>
        <w:t xml:space="preserve">"Intellectual Property" or "IP" </w:t>
      </w:r>
      <w:r>
        <w:rPr>
          <w:sz w:val="22"/>
          <w:szCs w:val="22"/>
        </w:rPr>
        <w:t xml:space="preserve">means all patents, patent applications, copyrights, trademarks, trade secrets, inventions, discoveries, improvements, ideas, designs, software, source code, documentation, know-how, and any other intellectual property rights, whether or not patentable or registrable.</w:t>
      </w:r>
    </w:p>
    <w:p>
      <w:pPr>
        <w:spacing w:after="100"/>
      </w:pPr>
      <w:r>
        <w:rPr>
          <w:b/>
          <w:bCs/>
          <w:sz w:val="22"/>
          <w:szCs w:val="22"/>
        </w:rPr>
        <w:t xml:space="preserve">"Personnel" </w:t>
      </w:r>
      <w:r>
        <w:rPr>
          <w:sz w:val="22"/>
          <w:szCs w:val="22"/>
        </w:rPr>
        <w:t xml:space="preserve">means all employees, officers, directors, contractors, consultants, interns, and any other individuals who perform work for or on behalf of the Company.</w:t>
      </w:r>
    </w:p>
    <w:p>
      <w:pPr>
        <w:spacing w:after="100"/>
      </w:pPr>
      <w:r>
        <w:rPr>
          <w:b/>
          <w:bCs/>
          <w:sz w:val="22"/>
          <w:szCs w:val="22"/>
        </w:rPr>
        <w:t xml:space="preserve">"Prior IP" </w:t>
      </w:r>
      <w:r>
        <w:rPr>
          <w:sz w:val="22"/>
          <w:szCs w:val="22"/>
        </w:rPr>
        <w:t xml:space="preserve">means Intellectual Property that was created, developed, or owned by Personnel prior to their engagement with the Company, as disclosed in writing at the commencement of their engagement.</w:t>
      </w:r>
    </w:p>
    <w:p>
      <w:pPr>
        <w:spacing w:after="120"/>
      </w:pPr>
      <w:r>
        <w:rPr>
          <w:b/>
          <w:bCs/>
          <w:sz w:val="22"/>
          <w:szCs w:val="22"/>
        </w:rPr>
        <w:t xml:space="preserve">"Work Product" </w:t>
      </w:r>
      <w:r>
        <w:rPr>
          <w:sz w:val="22"/>
          <w:szCs w:val="22"/>
        </w:rPr>
        <w:t xml:space="preserve">means all work, deliverables, materials, inventions, and creations produced by Personnel in the course of their engagement with the Company.</w:t>
      </w:r>
    </w:p>
    <w:p>
      <w:pPr>
        <w:spacing w:before="320" w:after="160"/>
      </w:pPr>
      <w:r>
        <w:rPr>
          <w:b/>
          <w:bCs/>
          <w:color w:val="1B365D"/>
          <w:sz w:val="24"/>
          <w:szCs w:val="24"/>
        </w:rPr>
        <w:t xml:space="preserve">2. OWNERSHIP OF COMPANY INTELLECTUAL PROPERTY</w:t>
      </w:r>
    </w:p>
    <w:p>
      <w:pPr>
        <w:spacing w:before="200" w:after="100"/>
      </w:pPr>
      <w:r>
        <w:rPr>
          <w:b/>
          <w:bCs/>
          <w:color w:val="0D1B2A"/>
          <w:sz w:val="22"/>
          <w:szCs w:val="22"/>
        </w:rPr>
        <w:t xml:space="preserve">2.1 General Ownership Principle</w:t>
      </w:r>
    </w:p>
    <w:p>
      <w:pPr>
        <w:spacing w:after="120"/>
      </w:pPr>
      <w:r>
        <w:rPr>
          <w:sz w:val="22"/>
          <w:szCs w:val="22"/>
        </w:rPr>
        <w:t xml:space="preserve">All Company IP is the sole and exclusive property of IVYAR LLC. The Company shall own all right, title, and interest in and to all Company IP, including all Intellectual Property Rights therein, throughout the world and in perpetuity.</w:t>
      </w:r>
    </w:p>
    <w:p>
      <w:pPr>
        <w:spacing w:before="200" w:after="100"/>
      </w:pPr>
      <w:r>
        <w:rPr>
          <w:b/>
          <w:bCs/>
          <w:color w:val="0D1B2A"/>
          <w:sz w:val="22"/>
          <w:szCs w:val="22"/>
        </w:rPr>
        <w:t xml:space="preserve">2.2 Work Made for Hire</w:t>
      </w:r>
    </w:p>
    <w:p>
      <w:pPr>
        <w:spacing w:after="120"/>
      </w:pPr>
      <w:r>
        <w:rPr>
          <w:sz w:val="22"/>
          <w:szCs w:val="22"/>
        </w:rPr>
        <w:t xml:space="preserve">To the maximum extent permitted by applicable law, all Work Product created by Personnel within the scope of their engagement shall be considered "work made for hire" as defined under the U.S. Copyright Act (17 U.S.C. § 101) and shall be owned exclusively by the Company.</w:t>
      </w:r>
    </w:p>
    <w:p>
      <w:pPr>
        <w:spacing w:before="200" w:after="100"/>
      </w:pPr>
      <w:r>
        <w:rPr>
          <w:b/>
          <w:bCs/>
          <w:color w:val="0D1B2A"/>
          <w:sz w:val="22"/>
          <w:szCs w:val="22"/>
        </w:rPr>
        <w:t xml:space="preserve">2.3 Assignment of Rights</w:t>
      </w:r>
    </w:p>
    <w:p>
      <w:pPr>
        <w:spacing w:after="120"/>
      </w:pPr>
      <w:r>
        <w:rPr>
          <w:sz w:val="22"/>
          <w:szCs w:val="22"/>
        </w:rPr>
        <w:t xml:space="preserve">To the extent that any Work Product does not qualify as work made for hire, Personnel hereby irrevocably assign, transfer, and convey to the Company all right, title, and interest in and to such Work Product, including all Intellectual Property Rights therein. This assignment includes:</w:t>
      </w:r>
    </w:p>
    <w:p>
      <w:pPr>
        <w:pStyle w:val="ListParagraph"/>
        <w:numPr>
          <w:ilvl w:val="0"/>
          <w:numId w:val="2"/>
        </w:numPr>
        <w:spacing w:after="80"/>
      </w:pPr>
      <w:r>
        <w:rPr>
          <w:sz w:val="22"/>
          <w:szCs w:val="22"/>
        </w:rPr>
        <w:t xml:space="preserve">All patents and patent applications, including continuations, divisionals, and reissues;</w:t>
      </w:r>
    </w:p>
    <w:p>
      <w:pPr>
        <w:pStyle w:val="ListParagraph"/>
        <w:numPr>
          <w:ilvl w:val="0"/>
          <w:numId w:val="2"/>
        </w:numPr>
        <w:spacing w:after="80"/>
      </w:pPr>
      <w:r>
        <w:rPr>
          <w:sz w:val="22"/>
          <w:szCs w:val="22"/>
        </w:rPr>
        <w:t xml:space="preserve">All copyrights, including the right to create derivative works;</w:t>
      </w:r>
    </w:p>
    <w:p>
      <w:pPr>
        <w:pStyle w:val="ListParagraph"/>
        <w:numPr>
          <w:ilvl w:val="0"/>
          <w:numId w:val="2"/>
        </w:numPr>
        <w:spacing w:after="80"/>
      </w:pPr>
      <w:r>
        <w:rPr>
          <w:sz w:val="22"/>
          <w:szCs w:val="22"/>
        </w:rPr>
        <w:t xml:space="preserve">All trade secrets and proprietary information;</w:t>
      </w:r>
    </w:p>
    <w:p>
      <w:pPr>
        <w:pStyle w:val="ListParagraph"/>
        <w:numPr>
          <w:ilvl w:val="0"/>
          <w:numId w:val="2"/>
        </w:numPr>
        <w:spacing w:after="80"/>
      </w:pPr>
      <w:r>
        <w:rPr>
          <w:sz w:val="22"/>
          <w:szCs w:val="22"/>
        </w:rPr>
        <w:t xml:space="preserve">All trademarks and service marks;</w:t>
      </w:r>
    </w:p>
    <w:p>
      <w:pPr>
        <w:pStyle w:val="ListParagraph"/>
        <w:numPr>
          <w:ilvl w:val="0"/>
          <w:numId w:val="2"/>
        </w:numPr>
        <w:spacing w:after="80"/>
      </w:pPr>
      <w:r>
        <w:rPr>
          <w:sz w:val="22"/>
          <w:szCs w:val="22"/>
        </w:rPr>
        <w:t xml:space="preserve">All moral rights, to the extent assignable under applicable law;</w:t>
      </w:r>
    </w:p>
    <w:p>
      <w:pPr>
        <w:pStyle w:val="ListParagraph"/>
        <w:numPr>
          <w:ilvl w:val="0"/>
          <w:numId w:val="2"/>
        </w:numPr>
        <w:spacing w:after="80"/>
      </w:pPr>
      <w:r>
        <w:rPr>
          <w:sz w:val="22"/>
          <w:szCs w:val="22"/>
        </w:rPr>
        <w:t xml:space="preserve">All rights to sue for past, present, and future infringement.</w:t>
      </w:r>
    </w:p>
    <w:p>
      <w:pPr>
        <w:spacing w:before="200" w:after="100"/>
      </w:pPr>
      <w:r>
        <w:rPr>
          <w:b/>
          <w:bCs/>
          <w:color w:val="0D1B2A"/>
          <w:sz w:val="22"/>
          <w:szCs w:val="22"/>
        </w:rPr>
        <w:t xml:space="preserve">2.4 Waiver of Moral Rights</w:t>
      </w:r>
    </w:p>
    <w:p>
      <w:pPr>
        <w:spacing w:after="120"/>
      </w:pPr>
      <w:r>
        <w:rPr>
          <w:sz w:val="22"/>
          <w:szCs w:val="22"/>
        </w:rPr>
        <w:t xml:space="preserve">To the extent permitted by applicable law, Personnel hereby waive all moral rights (including rights of attribution, integrity, and disclosure) in any Work Product. Where moral rights cannot be waived, Personnel agree not to assert such rights against the Company or its successors.</w:t>
      </w:r>
    </w:p>
    <w:p>
      <w:pPr>
        <w:spacing w:before="320" w:after="160"/>
      </w:pPr>
      <w:r>
        <w:rPr>
          <w:b/>
          <w:bCs/>
          <w:color w:val="1B365D"/>
          <w:sz w:val="24"/>
          <w:szCs w:val="24"/>
        </w:rPr>
        <w:t xml:space="preserve">3. CATEGORIES OF INTELLECTUAL PROPERTY</w:t>
      </w:r>
    </w:p>
    <w:p>
      <w:pPr>
        <w:spacing w:before="200" w:after="100"/>
      </w:pPr>
      <w:r>
        <w:rPr>
          <w:b/>
          <w:bCs/>
          <w:color w:val="0D1B2A"/>
          <w:sz w:val="22"/>
          <w:szCs w:val="22"/>
        </w:rPr>
        <w:t xml:space="preserve">3.1 Core Platform IP</w:t>
      </w:r>
    </w:p>
    <w:p>
      <w:pPr>
        <w:spacing w:after="120"/>
      </w:pPr>
      <w:r>
        <w:rPr>
          <w:sz w:val="22"/>
          <w:szCs w:val="22"/>
        </w:rPr>
        <w:t xml:space="preserve">The following categories of IP are considered core to the Company's business and are subject to the highest level of protection:</w:t>
      </w:r>
    </w:p>
    <w:p>
      <w:pPr>
        <w:pStyle w:val="ListParagraph"/>
        <w:numPr>
          <w:ilvl w:val="0"/>
          <w:numId w:val="3"/>
        </w:numPr>
        <w:spacing w:after="80"/>
      </w:pPr>
      <w:r>
        <w:rPr>
          <w:sz w:val="22"/>
          <w:szCs w:val="22"/>
        </w:rPr>
        <w:t xml:space="preserve">IVYAR Platform source code, object code, and software architecture</w:t>
      </w:r>
    </w:p>
    <w:p>
      <w:pPr>
        <w:pStyle w:val="ListParagraph"/>
        <w:numPr>
          <w:ilvl w:val="0"/>
          <w:numId w:val="3"/>
        </w:numPr>
        <w:spacing w:after="80"/>
      </w:pPr>
      <w:r>
        <w:rPr>
          <w:sz w:val="22"/>
          <w:szCs w:val="22"/>
        </w:rPr>
        <w:t xml:space="preserve">Security frameworks, protocols, and encryption implementations</w:t>
      </w:r>
    </w:p>
    <w:p>
      <w:pPr>
        <w:pStyle w:val="ListParagraph"/>
        <w:numPr>
          <w:ilvl w:val="0"/>
          <w:numId w:val="3"/>
        </w:numPr>
        <w:spacing w:after="80"/>
      </w:pPr>
      <w:r>
        <w:rPr>
          <w:sz w:val="22"/>
          <w:szCs w:val="22"/>
        </w:rPr>
        <w:t xml:space="preserve">Governance algorithms and workflow engines</w:t>
      </w:r>
    </w:p>
    <w:p>
      <w:pPr>
        <w:pStyle w:val="ListParagraph"/>
        <w:numPr>
          <w:ilvl w:val="0"/>
          <w:numId w:val="3"/>
        </w:numPr>
        <w:spacing w:after="80"/>
      </w:pPr>
      <w:r>
        <w:rPr>
          <w:sz w:val="22"/>
          <w:szCs w:val="22"/>
        </w:rPr>
        <w:t xml:space="preserve">Artificial intelligence and machine learning models</w:t>
      </w:r>
    </w:p>
    <w:p>
      <w:pPr>
        <w:pStyle w:val="ListParagraph"/>
        <w:numPr>
          <w:ilvl w:val="0"/>
          <w:numId w:val="3"/>
        </w:numPr>
        <w:spacing w:after="80"/>
      </w:pPr>
      <w:r>
        <w:rPr>
          <w:sz w:val="22"/>
          <w:szCs w:val="22"/>
        </w:rPr>
        <w:t xml:space="preserve">Simulation engine and scenario modeling systems</w:t>
      </w:r>
    </w:p>
    <w:p>
      <w:pPr>
        <w:pStyle w:val="ListParagraph"/>
        <w:numPr>
          <w:ilvl w:val="0"/>
          <w:numId w:val="3"/>
        </w:numPr>
        <w:spacing w:after="80"/>
      </w:pPr>
      <w:r>
        <w:rPr>
          <w:sz w:val="22"/>
          <w:szCs w:val="22"/>
        </w:rPr>
        <w:t xml:space="preserve">API designs and integration specifications</w:t>
      </w:r>
    </w:p>
    <w:p>
      <w:pPr>
        <w:pStyle w:val="ListParagraph"/>
        <w:numPr>
          <w:ilvl w:val="0"/>
          <w:numId w:val="3"/>
        </w:numPr>
        <w:spacing w:after="80"/>
      </w:pPr>
      <w:r>
        <w:rPr>
          <w:sz w:val="22"/>
          <w:szCs w:val="22"/>
        </w:rPr>
        <w:t xml:space="preserve">Database schemas and data structures</w:t>
      </w:r>
    </w:p>
    <w:p>
      <w:pPr>
        <w:spacing w:before="200" w:after="100"/>
      </w:pPr>
      <w:r>
        <w:rPr>
          <w:b/>
          <w:bCs/>
          <w:color w:val="0D1B2A"/>
          <w:sz w:val="22"/>
          <w:szCs w:val="22"/>
        </w:rPr>
        <w:t xml:space="preserve">3.2 Documentation and Content</w:t>
      </w:r>
    </w:p>
    <w:p>
      <w:pPr>
        <w:spacing w:after="120"/>
      </w:pPr>
      <w:r>
        <w:rPr>
          <w:sz w:val="22"/>
          <w:szCs w:val="22"/>
        </w:rPr>
        <w:t xml:space="preserve">The Company owns all documentation and content created in connection with its business:</w:t>
      </w:r>
    </w:p>
    <w:p>
      <w:pPr>
        <w:pStyle w:val="ListParagraph"/>
        <w:numPr>
          <w:ilvl w:val="0"/>
          <w:numId w:val="3"/>
        </w:numPr>
        <w:spacing w:after="80"/>
      </w:pPr>
      <w:r>
        <w:rPr>
          <w:sz w:val="22"/>
          <w:szCs w:val="22"/>
        </w:rPr>
        <w:t xml:space="preserve">Technical documentation, specifications, and manuals</w:t>
      </w:r>
    </w:p>
    <w:p>
      <w:pPr>
        <w:pStyle w:val="ListParagraph"/>
        <w:numPr>
          <w:ilvl w:val="0"/>
          <w:numId w:val="3"/>
        </w:numPr>
        <w:spacing w:after="80"/>
      </w:pPr>
      <w:r>
        <w:rPr>
          <w:sz w:val="22"/>
          <w:szCs w:val="22"/>
        </w:rPr>
        <w:t xml:space="preserve">User guides, training materials, and educational content</w:t>
      </w:r>
    </w:p>
    <w:p>
      <w:pPr>
        <w:pStyle w:val="ListParagraph"/>
        <w:numPr>
          <w:ilvl w:val="0"/>
          <w:numId w:val="3"/>
        </w:numPr>
        <w:spacing w:after="80"/>
      </w:pPr>
      <w:r>
        <w:rPr>
          <w:sz w:val="22"/>
          <w:szCs w:val="22"/>
        </w:rPr>
        <w:t xml:space="preserve">Marketing materials, website content, and promotional materials</w:t>
      </w:r>
    </w:p>
    <w:p>
      <w:pPr>
        <w:pStyle w:val="ListParagraph"/>
        <w:numPr>
          <w:ilvl w:val="0"/>
          <w:numId w:val="3"/>
        </w:numPr>
        <w:spacing w:after="80"/>
      </w:pPr>
      <w:r>
        <w:rPr>
          <w:sz w:val="22"/>
          <w:szCs w:val="22"/>
        </w:rPr>
        <w:t xml:space="preserve">Proposals, presentations, and sales collateral</w:t>
      </w:r>
    </w:p>
    <w:p>
      <w:pPr>
        <w:pStyle w:val="ListParagraph"/>
        <w:numPr>
          <w:ilvl w:val="0"/>
          <w:numId w:val="3"/>
        </w:numPr>
        <w:spacing w:after="80"/>
      </w:pPr>
      <w:r>
        <w:rPr>
          <w:sz w:val="22"/>
          <w:szCs w:val="22"/>
        </w:rPr>
        <w:t xml:space="preserve">Research reports, white papers, and publications</w:t>
      </w:r>
    </w:p>
    <w:p>
      <w:pPr>
        <w:spacing w:before="200" w:after="100"/>
      </w:pPr>
      <w:r>
        <w:rPr>
          <w:b/>
          <w:bCs/>
          <w:color w:val="0D1B2A"/>
          <w:sz w:val="22"/>
          <w:szCs w:val="22"/>
        </w:rPr>
        <w:t xml:space="preserve">3.3 Trademarks and Branding</w:t>
      </w:r>
    </w:p>
    <w:p>
      <w:pPr>
        <w:spacing w:after="120"/>
      </w:pPr>
      <w:r>
        <w:rPr>
          <w:sz w:val="22"/>
          <w:szCs w:val="22"/>
        </w:rPr>
        <w:t xml:space="preserve">The Company owns all trademarks, service marks, and branding elements:</w:t>
      </w:r>
    </w:p>
    <w:p>
      <w:pPr>
        <w:pStyle w:val="ListParagraph"/>
        <w:numPr>
          <w:ilvl w:val="0"/>
          <w:numId w:val="3"/>
        </w:numPr>
        <w:spacing w:after="80"/>
      </w:pPr>
      <w:r>
        <w:rPr>
          <w:sz w:val="22"/>
          <w:szCs w:val="22"/>
        </w:rPr>
        <w:t xml:space="preserve">The IVYAR name and logo</w:t>
      </w:r>
    </w:p>
    <w:p>
      <w:pPr>
        <w:pStyle w:val="ListParagraph"/>
        <w:numPr>
          <w:ilvl w:val="0"/>
          <w:numId w:val="3"/>
        </w:numPr>
        <w:spacing w:after="80"/>
      </w:pPr>
      <w:r>
        <w:rPr>
          <w:sz w:val="22"/>
          <w:szCs w:val="22"/>
        </w:rPr>
        <w:t xml:space="preserve">Product and service names (IVYAR Academy, IVYAR Security Framework, etc.)</w:t>
      </w:r>
    </w:p>
    <w:p>
      <w:pPr>
        <w:pStyle w:val="ListParagraph"/>
        <w:numPr>
          <w:ilvl w:val="0"/>
          <w:numId w:val="3"/>
        </w:numPr>
        <w:spacing w:after="80"/>
      </w:pPr>
      <w:r>
        <w:rPr>
          <w:sz w:val="22"/>
          <w:szCs w:val="22"/>
        </w:rPr>
        <w:t xml:space="preserve">Slogans, taglines, and marketing phrases</w:t>
      </w:r>
    </w:p>
    <w:p>
      <w:pPr>
        <w:pStyle w:val="ListParagraph"/>
        <w:numPr>
          <w:ilvl w:val="0"/>
          <w:numId w:val="3"/>
        </w:numPr>
        <w:spacing w:after="80"/>
      </w:pPr>
      <w:r>
        <w:rPr>
          <w:sz w:val="22"/>
          <w:szCs w:val="22"/>
        </w:rPr>
        <w:t xml:space="preserve">Visual identity elements, color schemes, and design systems</w:t>
      </w:r>
    </w:p>
    <w:p>
      <w:pPr>
        <w:pStyle w:val="ListParagraph"/>
        <w:numPr>
          <w:ilvl w:val="0"/>
          <w:numId w:val="3"/>
        </w:numPr>
        <w:spacing w:after="80"/>
      </w:pPr>
      <w:r>
        <w:rPr>
          <w:sz w:val="22"/>
          <w:szCs w:val="22"/>
        </w:rPr>
        <w:t xml:space="preserve">Domain names and social media handles</w:t>
      </w:r>
    </w:p>
    <w:p>
      <w:r>
        <w:br w:type="page"/>
      </w:r>
    </w:p>
    <w:p>
      <w:pPr>
        <w:spacing w:before="320" w:after="160"/>
      </w:pPr>
      <w:r>
        <w:rPr>
          <w:b/>
          <w:bCs/>
          <w:color w:val="1B365D"/>
          <w:sz w:val="24"/>
          <w:szCs w:val="24"/>
        </w:rPr>
        <w:t xml:space="preserve">4. PERSONNEL OBLIGATIONS</w:t>
      </w:r>
    </w:p>
    <w:p>
      <w:pPr>
        <w:spacing w:before="200" w:after="100"/>
      </w:pPr>
      <w:r>
        <w:rPr>
          <w:b/>
          <w:bCs/>
          <w:color w:val="0D1B2A"/>
          <w:sz w:val="22"/>
          <w:szCs w:val="22"/>
        </w:rPr>
        <w:t xml:space="preserve">4.1 Disclosure Requirements</w:t>
      </w:r>
    </w:p>
    <w:p>
      <w:pPr>
        <w:spacing w:after="120"/>
      </w:pPr>
      <w:r>
        <w:rPr>
          <w:sz w:val="22"/>
          <w:szCs w:val="22"/>
        </w:rPr>
        <w:t xml:space="preserve">All Personnel must promptly and fully disclose to the Company:</w:t>
      </w:r>
    </w:p>
    <w:p>
      <w:pPr>
        <w:pStyle w:val="ListParagraph"/>
        <w:numPr>
          <w:ilvl w:val="0"/>
          <w:numId w:val="2"/>
        </w:numPr>
        <w:spacing w:after="80"/>
      </w:pPr>
      <w:r>
        <w:rPr>
          <w:sz w:val="22"/>
          <w:szCs w:val="22"/>
        </w:rPr>
        <w:t xml:space="preserve">All inventions, discoveries, and ideas conceived or developed during their engagement;</w:t>
      </w:r>
    </w:p>
    <w:p>
      <w:pPr>
        <w:pStyle w:val="ListParagraph"/>
        <w:numPr>
          <w:ilvl w:val="0"/>
          <w:numId w:val="2"/>
        </w:numPr>
        <w:spacing w:after="80"/>
      </w:pPr>
      <w:r>
        <w:rPr>
          <w:sz w:val="22"/>
          <w:szCs w:val="22"/>
        </w:rPr>
        <w:t xml:space="preserve">Any Prior IP that may be incorporated into Work Product;</w:t>
      </w:r>
    </w:p>
    <w:p>
      <w:pPr>
        <w:pStyle w:val="ListParagraph"/>
        <w:numPr>
          <w:ilvl w:val="0"/>
          <w:numId w:val="2"/>
        </w:numPr>
        <w:spacing w:after="80"/>
      </w:pPr>
      <w:r>
        <w:rPr>
          <w:sz w:val="22"/>
          <w:szCs w:val="22"/>
        </w:rPr>
        <w:t xml:space="preserve">Any third-party IP that may be relevant to their work;</w:t>
      </w:r>
    </w:p>
    <w:p>
      <w:pPr>
        <w:pStyle w:val="ListParagraph"/>
        <w:numPr>
          <w:ilvl w:val="0"/>
          <w:numId w:val="2"/>
        </w:numPr>
        <w:spacing w:after="80"/>
      </w:pPr>
      <w:r>
        <w:rPr>
          <w:sz w:val="22"/>
          <w:szCs w:val="22"/>
        </w:rPr>
        <w:t xml:space="preserve">Any actual or potential conflicts of interest relating to IP.</w:t>
      </w:r>
    </w:p>
    <w:p>
      <w:pPr>
        <w:spacing w:before="200" w:after="100"/>
      </w:pPr>
      <w:r>
        <w:rPr>
          <w:b/>
          <w:bCs/>
          <w:color w:val="0D1B2A"/>
          <w:sz w:val="22"/>
          <w:szCs w:val="22"/>
        </w:rPr>
        <w:t xml:space="preserve">4.2 Cooperation</w:t>
      </w:r>
    </w:p>
    <w:p>
      <w:pPr>
        <w:spacing w:after="120"/>
      </w:pPr>
      <w:r>
        <w:rPr>
          <w:sz w:val="22"/>
          <w:szCs w:val="22"/>
        </w:rPr>
        <w:t xml:space="preserve">Personnel agree to cooperate with the Company in securing, maintaining, and enforcing Intellectual Property Rights, including:</w:t>
      </w:r>
    </w:p>
    <w:p>
      <w:pPr>
        <w:pStyle w:val="ListParagraph"/>
        <w:numPr>
          <w:ilvl w:val="0"/>
          <w:numId w:val="2"/>
        </w:numPr>
        <w:spacing w:after="80"/>
      </w:pPr>
      <w:r>
        <w:rPr>
          <w:sz w:val="22"/>
          <w:szCs w:val="22"/>
        </w:rPr>
        <w:t xml:space="preserve">Executing all documents necessary to perfect the Company's ownership;</w:t>
      </w:r>
    </w:p>
    <w:p>
      <w:pPr>
        <w:pStyle w:val="ListParagraph"/>
        <w:numPr>
          <w:ilvl w:val="0"/>
          <w:numId w:val="2"/>
        </w:numPr>
        <w:spacing w:after="80"/>
      </w:pPr>
      <w:r>
        <w:rPr>
          <w:sz w:val="22"/>
          <w:szCs w:val="22"/>
        </w:rPr>
        <w:t xml:space="preserve">Providing testimony and assistance in legal proceedings;</w:t>
      </w:r>
    </w:p>
    <w:p>
      <w:pPr>
        <w:pStyle w:val="ListParagraph"/>
        <w:numPr>
          <w:ilvl w:val="0"/>
          <w:numId w:val="2"/>
        </w:numPr>
        <w:spacing w:after="80"/>
      </w:pPr>
      <w:r>
        <w:rPr>
          <w:sz w:val="22"/>
          <w:szCs w:val="22"/>
        </w:rPr>
        <w:t xml:space="preserve">Assisting with patent, trademark, and copyright applications;</w:t>
      </w:r>
    </w:p>
    <w:p>
      <w:pPr>
        <w:pStyle w:val="ListParagraph"/>
        <w:numPr>
          <w:ilvl w:val="0"/>
          <w:numId w:val="2"/>
        </w:numPr>
        <w:spacing w:after="80"/>
      </w:pPr>
      <w:r>
        <w:rPr>
          <w:sz w:val="22"/>
          <w:szCs w:val="22"/>
        </w:rPr>
        <w:t xml:space="preserve">Maintaining confidentiality of all Company IP.</w:t>
      </w:r>
    </w:p>
    <w:p>
      <w:pPr>
        <w:spacing w:before="200" w:after="100"/>
      </w:pPr>
      <w:r>
        <w:rPr>
          <w:b/>
          <w:bCs/>
          <w:color w:val="0D1B2A"/>
          <w:sz w:val="22"/>
          <w:szCs w:val="22"/>
        </w:rPr>
        <w:t xml:space="preserve">4.3 Power of Attorney</w:t>
      </w:r>
    </w:p>
    <w:p>
      <w:pPr>
        <w:spacing w:after="120"/>
      </w:pPr>
      <w:r>
        <w:rPr>
          <w:sz w:val="22"/>
          <w:szCs w:val="22"/>
        </w:rPr>
        <w:t xml:space="preserve">Personnel hereby appoint the Company and its authorized officers as their attorney-in-fact to execute any documents necessary to effectuate the assignments described in this Policy, in the event that Personnel are unable or unwilling to do so.</w:t>
      </w:r>
    </w:p>
    <w:p>
      <w:pPr>
        <w:spacing w:before="200" w:after="100"/>
      </w:pPr>
      <w:r>
        <w:rPr>
          <w:b/>
          <w:bCs/>
          <w:color w:val="0D1B2A"/>
          <w:sz w:val="22"/>
          <w:szCs w:val="22"/>
        </w:rPr>
        <w:t xml:space="preserve">4.4 Post-Engagement Obligations</w:t>
      </w:r>
    </w:p>
    <w:p>
      <w:pPr>
        <w:spacing w:after="120"/>
      </w:pPr>
      <w:r>
        <w:rPr>
          <w:sz w:val="22"/>
          <w:szCs w:val="22"/>
        </w:rPr>
        <w:t xml:space="preserve">Personnel obligations under this Policy survive termination of their engagement with the Company. Upon termination, Personnel must:</w:t>
      </w:r>
    </w:p>
    <w:p>
      <w:pPr>
        <w:pStyle w:val="ListParagraph"/>
        <w:numPr>
          <w:ilvl w:val="0"/>
          <w:numId w:val="2"/>
        </w:numPr>
        <w:spacing w:after="80"/>
      </w:pPr>
      <w:r>
        <w:rPr>
          <w:sz w:val="22"/>
          <w:szCs w:val="22"/>
        </w:rPr>
        <w:t xml:space="preserve">Return all Company property, including documents and materials containing Company IP;</w:t>
      </w:r>
    </w:p>
    <w:p>
      <w:pPr>
        <w:pStyle w:val="ListParagraph"/>
        <w:numPr>
          <w:ilvl w:val="0"/>
          <w:numId w:val="2"/>
        </w:numPr>
        <w:spacing w:after="80"/>
      </w:pPr>
      <w:r>
        <w:rPr>
          <w:sz w:val="22"/>
          <w:szCs w:val="22"/>
        </w:rPr>
        <w:t xml:space="preserve">Delete all copies of Confidential Information from personal devices;</w:t>
      </w:r>
    </w:p>
    <w:p>
      <w:pPr>
        <w:pStyle w:val="ListParagraph"/>
        <w:numPr>
          <w:ilvl w:val="0"/>
          <w:numId w:val="2"/>
        </w:numPr>
        <w:spacing w:after="80"/>
      </w:pPr>
      <w:r>
        <w:rPr>
          <w:sz w:val="22"/>
          <w:szCs w:val="22"/>
        </w:rPr>
        <w:t xml:space="preserve">Certify in writing compliance with these obligations;</w:t>
      </w:r>
    </w:p>
    <w:p>
      <w:pPr>
        <w:pStyle w:val="ListParagraph"/>
        <w:numPr>
          <w:ilvl w:val="0"/>
          <w:numId w:val="2"/>
        </w:numPr>
        <w:spacing w:after="80"/>
      </w:pPr>
      <w:r>
        <w:rPr>
          <w:sz w:val="22"/>
          <w:szCs w:val="22"/>
        </w:rPr>
        <w:t xml:space="preserve">Continue to maintain confidentiality of all Company IP indefinitely.</w:t>
      </w:r>
    </w:p>
    <w:p>
      <w:pPr>
        <w:spacing w:before="320" w:after="160"/>
      </w:pPr>
      <w:r>
        <w:rPr>
          <w:b/>
          <w:bCs/>
          <w:color w:val="1B365D"/>
          <w:sz w:val="24"/>
          <w:szCs w:val="24"/>
        </w:rPr>
        <w:t xml:space="preserve">5. PRIOR IP AND THIRD-PARTY IP</w:t>
      </w:r>
    </w:p>
    <w:p>
      <w:pPr>
        <w:spacing w:before="200" w:after="100"/>
      </w:pPr>
      <w:r>
        <w:rPr>
          <w:b/>
          <w:bCs/>
          <w:color w:val="0D1B2A"/>
          <w:sz w:val="22"/>
          <w:szCs w:val="22"/>
        </w:rPr>
        <w:t xml:space="preserve">5.1 Disclosure of Prior IP</w:t>
      </w:r>
    </w:p>
    <w:p>
      <w:pPr>
        <w:spacing w:after="120"/>
      </w:pPr>
      <w:r>
        <w:rPr>
          <w:sz w:val="22"/>
          <w:szCs w:val="22"/>
        </w:rPr>
        <w:t xml:space="preserve">At the commencement of their engagement, all Personnel must disclose in writing any Prior IP that:</w:t>
      </w:r>
    </w:p>
    <w:p>
      <w:pPr>
        <w:pStyle w:val="ListParagraph"/>
        <w:numPr>
          <w:ilvl w:val="0"/>
          <w:numId w:val="2"/>
        </w:numPr>
        <w:spacing w:after="80"/>
      </w:pPr>
      <w:r>
        <w:rPr>
          <w:sz w:val="22"/>
          <w:szCs w:val="22"/>
        </w:rPr>
        <w:t xml:space="preserve">They intend to use in connection with their work for the Company;</w:t>
      </w:r>
    </w:p>
    <w:p>
      <w:pPr>
        <w:pStyle w:val="ListParagraph"/>
        <w:numPr>
          <w:ilvl w:val="0"/>
          <w:numId w:val="2"/>
        </w:numPr>
        <w:spacing w:after="80"/>
      </w:pPr>
      <w:r>
        <w:rPr>
          <w:sz w:val="22"/>
          <w:szCs w:val="22"/>
        </w:rPr>
        <w:t xml:space="preserve">Is relevant to the Company's business or products;</w:t>
      </w:r>
    </w:p>
    <w:p>
      <w:pPr>
        <w:pStyle w:val="ListParagraph"/>
        <w:numPr>
          <w:ilvl w:val="0"/>
          <w:numId w:val="2"/>
        </w:numPr>
        <w:spacing w:after="80"/>
      </w:pPr>
      <w:r>
        <w:rPr>
          <w:sz w:val="22"/>
          <w:szCs w:val="22"/>
        </w:rPr>
        <w:t xml:space="preserve">May be incorporated into Work Product.</w:t>
      </w:r>
    </w:p>
    <w:p>
      <w:pPr>
        <w:spacing w:before="200" w:after="100"/>
      </w:pPr>
      <w:r>
        <w:rPr>
          <w:b/>
          <w:bCs/>
          <w:color w:val="0D1B2A"/>
          <w:sz w:val="22"/>
          <w:szCs w:val="22"/>
        </w:rPr>
        <w:t xml:space="preserve">5.2 License to Prior IP</w:t>
      </w:r>
    </w:p>
    <w:p>
      <w:pPr>
        <w:spacing w:after="120"/>
      </w:pPr>
      <w:r>
        <w:rPr>
          <w:sz w:val="22"/>
          <w:szCs w:val="22"/>
        </w:rPr>
        <w:t xml:space="preserve">If Personnel incorporate any Prior IP into Work Product, Personnel hereby grant the Company a perpetual, irrevocable, worldwide, royalty-free, fully paid-up, non-exclusive license to use, modify, sublicense, and distribute such Prior IP as part of the Work Product.</w:t>
      </w:r>
    </w:p>
    <w:p>
      <w:pPr>
        <w:spacing w:before="200" w:after="100"/>
      </w:pPr>
      <w:r>
        <w:rPr>
          <w:b/>
          <w:bCs/>
          <w:color w:val="0D1B2A"/>
          <w:sz w:val="22"/>
          <w:szCs w:val="22"/>
        </w:rPr>
        <w:t xml:space="preserve">5.3 Third-Party IP</w:t>
      </w:r>
    </w:p>
    <w:p>
      <w:pPr>
        <w:spacing w:after="120"/>
      </w:pPr>
      <w:r>
        <w:rPr>
          <w:sz w:val="22"/>
          <w:szCs w:val="22"/>
        </w:rPr>
        <w:t xml:space="preserve">Personnel may not incorporate any third-party IP into Work Product without prior written approval from the Company. When third-party IP is approved for use, Personnel must ensure that:</w:t>
      </w:r>
    </w:p>
    <w:p>
      <w:pPr>
        <w:pStyle w:val="ListParagraph"/>
        <w:numPr>
          <w:ilvl w:val="0"/>
          <w:numId w:val="2"/>
        </w:numPr>
        <w:spacing w:after="80"/>
      </w:pPr>
      <w:r>
        <w:rPr>
          <w:sz w:val="22"/>
          <w:szCs w:val="22"/>
        </w:rPr>
        <w:t xml:space="preserve">The Company has appropriate licenses or rights to use such IP;</w:t>
      </w:r>
    </w:p>
    <w:p>
      <w:pPr>
        <w:pStyle w:val="ListParagraph"/>
        <w:numPr>
          <w:ilvl w:val="0"/>
          <w:numId w:val="2"/>
        </w:numPr>
        <w:spacing w:after="80"/>
      </w:pPr>
      <w:r>
        <w:rPr>
          <w:sz w:val="22"/>
          <w:szCs w:val="22"/>
        </w:rPr>
        <w:t xml:space="preserve">Open source software is used in compliance with applicable licenses;</w:t>
      </w:r>
    </w:p>
    <w:p>
      <w:pPr>
        <w:pStyle w:val="ListParagraph"/>
        <w:numPr>
          <w:ilvl w:val="0"/>
          <w:numId w:val="2"/>
        </w:numPr>
        <w:spacing w:after="80"/>
      </w:pPr>
      <w:r>
        <w:rPr>
          <w:sz w:val="22"/>
          <w:szCs w:val="22"/>
        </w:rPr>
        <w:t xml:space="preserve">Third-party licenses are documented and tracked.</w:t>
      </w:r>
    </w:p>
    <w:p>
      <w:pPr>
        <w:spacing w:before="200" w:after="100"/>
      </w:pPr>
      <w:r>
        <w:rPr>
          <w:b/>
          <w:bCs/>
          <w:color w:val="0D1B2A"/>
          <w:sz w:val="22"/>
          <w:szCs w:val="22"/>
        </w:rPr>
        <w:t xml:space="preserve">5.4 Open Source Software</w:t>
      </w:r>
    </w:p>
    <w:p>
      <w:pPr>
        <w:spacing w:after="120"/>
      </w:pPr>
      <w:r>
        <w:rPr>
          <w:sz w:val="22"/>
          <w:szCs w:val="22"/>
        </w:rPr>
        <w:t xml:space="preserve">The use of open source software is subject to the Company's Open Source Policy. Personnel must:</w:t>
      </w:r>
    </w:p>
    <w:p>
      <w:pPr>
        <w:pStyle w:val="ListParagraph"/>
        <w:numPr>
          <w:ilvl w:val="0"/>
          <w:numId w:val="2"/>
        </w:numPr>
        <w:spacing w:after="80"/>
      </w:pPr>
      <w:r>
        <w:rPr>
          <w:sz w:val="22"/>
          <w:szCs w:val="22"/>
        </w:rPr>
        <w:t xml:space="preserve">Obtain approval before introducing new open source components;</w:t>
      </w:r>
    </w:p>
    <w:p>
      <w:pPr>
        <w:pStyle w:val="ListParagraph"/>
        <w:numPr>
          <w:ilvl w:val="0"/>
          <w:numId w:val="2"/>
        </w:numPr>
        <w:spacing w:after="80"/>
      </w:pPr>
      <w:r>
        <w:rPr>
          <w:sz w:val="22"/>
          <w:szCs w:val="22"/>
        </w:rPr>
        <w:t xml:space="preserve">Comply with all open source license obligations;</w:t>
      </w:r>
    </w:p>
    <w:p>
      <w:pPr>
        <w:pStyle w:val="ListParagraph"/>
        <w:numPr>
          <w:ilvl w:val="0"/>
          <w:numId w:val="2"/>
        </w:numPr>
        <w:spacing w:after="80"/>
      </w:pPr>
      <w:r>
        <w:rPr>
          <w:sz w:val="22"/>
          <w:szCs w:val="22"/>
        </w:rPr>
        <w:t xml:space="preserve">Avoid using copyleft licenses that could affect Company IP;</w:t>
      </w:r>
    </w:p>
    <w:p>
      <w:pPr>
        <w:pStyle w:val="ListParagraph"/>
        <w:numPr>
          <w:ilvl w:val="0"/>
          <w:numId w:val="2"/>
        </w:numPr>
        <w:spacing w:after="80"/>
      </w:pPr>
      <w:r>
        <w:rPr>
          <w:sz w:val="22"/>
          <w:szCs w:val="22"/>
        </w:rPr>
        <w:t xml:space="preserve">Document all open source dependencies.</w:t>
      </w:r>
    </w:p>
    <w:p>
      <w:pPr>
        <w:spacing w:before="320" w:after="160"/>
      </w:pPr>
      <w:r>
        <w:rPr>
          <w:b/>
          <w:bCs/>
          <w:color w:val="1B365D"/>
          <w:sz w:val="24"/>
          <w:szCs w:val="24"/>
        </w:rPr>
        <w:t xml:space="preserve">6. PROTECTION OF INTELLECTUAL PROPERTY</w:t>
      </w:r>
    </w:p>
    <w:p>
      <w:pPr>
        <w:spacing w:before="200" w:after="100"/>
      </w:pPr>
      <w:r>
        <w:rPr>
          <w:b/>
          <w:bCs/>
          <w:color w:val="0D1B2A"/>
          <w:sz w:val="22"/>
          <w:szCs w:val="22"/>
        </w:rPr>
        <w:t xml:space="preserve">6.1 Confidentiality</w:t>
      </w:r>
    </w:p>
    <w:p>
      <w:pPr>
        <w:spacing w:after="120"/>
      </w:pPr>
      <w:r>
        <w:rPr>
          <w:sz w:val="22"/>
          <w:szCs w:val="22"/>
        </w:rPr>
        <w:t xml:space="preserve">All Company IP shall be treated as Confidential Information. Personnel must:</w:t>
      </w:r>
    </w:p>
    <w:p>
      <w:pPr>
        <w:pStyle w:val="ListParagraph"/>
        <w:numPr>
          <w:ilvl w:val="0"/>
          <w:numId w:val="3"/>
        </w:numPr>
        <w:spacing w:after="80"/>
      </w:pPr>
      <w:r>
        <w:rPr>
          <w:sz w:val="22"/>
          <w:szCs w:val="22"/>
        </w:rPr>
        <w:t xml:space="preserve">Limit access to Company IP on a need-to-know basis</w:t>
      </w:r>
    </w:p>
    <w:p>
      <w:pPr>
        <w:pStyle w:val="ListParagraph"/>
        <w:numPr>
          <w:ilvl w:val="0"/>
          <w:numId w:val="3"/>
        </w:numPr>
        <w:spacing w:after="80"/>
      </w:pPr>
      <w:r>
        <w:rPr>
          <w:sz w:val="22"/>
          <w:szCs w:val="22"/>
        </w:rPr>
        <w:t xml:space="preserve">Use appropriate security measures to protect Company IP</w:t>
      </w:r>
    </w:p>
    <w:p>
      <w:pPr>
        <w:pStyle w:val="ListParagraph"/>
        <w:numPr>
          <w:ilvl w:val="0"/>
          <w:numId w:val="3"/>
        </w:numPr>
        <w:spacing w:after="80"/>
      </w:pPr>
      <w:r>
        <w:rPr>
          <w:sz w:val="22"/>
          <w:szCs w:val="22"/>
        </w:rPr>
        <w:t xml:space="preserve">Not disclose Company IP to unauthorized persons</w:t>
      </w:r>
    </w:p>
    <w:p>
      <w:pPr>
        <w:pStyle w:val="ListParagraph"/>
        <w:numPr>
          <w:ilvl w:val="0"/>
          <w:numId w:val="3"/>
        </w:numPr>
        <w:spacing w:after="80"/>
      </w:pPr>
      <w:r>
        <w:rPr>
          <w:sz w:val="22"/>
          <w:szCs w:val="22"/>
        </w:rPr>
        <w:t xml:space="preserve">Mark confidential materials appropriately</w:t>
      </w:r>
    </w:p>
    <w:p>
      <w:pPr>
        <w:pStyle w:val="ListParagraph"/>
        <w:numPr>
          <w:ilvl w:val="0"/>
          <w:numId w:val="3"/>
        </w:numPr>
        <w:spacing w:after="80"/>
      </w:pPr>
      <w:r>
        <w:rPr>
          <w:sz w:val="22"/>
          <w:szCs w:val="22"/>
        </w:rPr>
        <w:t xml:space="preserve">Report any suspected unauthorized access or disclosure</w:t>
      </w:r>
    </w:p>
    <w:p>
      <w:pPr>
        <w:spacing w:before="200" w:after="100"/>
      </w:pPr>
      <w:r>
        <w:rPr>
          <w:b/>
          <w:bCs/>
          <w:color w:val="0D1B2A"/>
          <w:sz w:val="22"/>
          <w:szCs w:val="22"/>
        </w:rPr>
        <w:t xml:space="preserve">6.2 Physical and Technical Security</w:t>
      </w:r>
    </w:p>
    <w:p>
      <w:pPr>
        <w:spacing w:after="120"/>
      </w:pPr>
      <w:r>
        <w:rPr>
          <w:sz w:val="22"/>
          <w:szCs w:val="22"/>
        </w:rPr>
        <w:t xml:space="preserve">The Company maintains physical and technical security measures to protect IP:</w:t>
      </w:r>
    </w:p>
    <w:p>
      <w:pPr>
        <w:pStyle w:val="ListParagraph"/>
        <w:numPr>
          <w:ilvl w:val="0"/>
          <w:numId w:val="3"/>
        </w:numPr>
        <w:spacing w:after="80"/>
      </w:pPr>
      <w:r>
        <w:rPr>
          <w:sz w:val="22"/>
          <w:szCs w:val="22"/>
        </w:rPr>
        <w:t xml:space="preserve">Access controls and authentication for systems containing IP</w:t>
      </w:r>
    </w:p>
    <w:p>
      <w:pPr>
        <w:pStyle w:val="ListParagraph"/>
        <w:numPr>
          <w:ilvl w:val="0"/>
          <w:numId w:val="3"/>
        </w:numPr>
        <w:spacing w:after="80"/>
      </w:pPr>
      <w:r>
        <w:rPr>
          <w:sz w:val="22"/>
          <w:szCs w:val="22"/>
        </w:rPr>
        <w:t xml:space="preserve">Encryption of sensitive data in transit and at rest</w:t>
      </w:r>
    </w:p>
    <w:p>
      <w:pPr>
        <w:pStyle w:val="ListParagraph"/>
        <w:numPr>
          <w:ilvl w:val="0"/>
          <w:numId w:val="3"/>
        </w:numPr>
        <w:spacing w:after="80"/>
      </w:pPr>
      <w:r>
        <w:rPr>
          <w:sz w:val="22"/>
          <w:szCs w:val="22"/>
        </w:rPr>
        <w:t xml:space="preserve">Secure storage of physical documents and materials</w:t>
      </w:r>
    </w:p>
    <w:p>
      <w:pPr>
        <w:pStyle w:val="ListParagraph"/>
        <w:numPr>
          <w:ilvl w:val="0"/>
          <w:numId w:val="3"/>
        </w:numPr>
        <w:spacing w:after="80"/>
      </w:pPr>
      <w:r>
        <w:rPr>
          <w:sz w:val="22"/>
          <w:szCs w:val="22"/>
        </w:rPr>
        <w:t xml:space="preserve">Regular security assessments and audits</w:t>
      </w:r>
    </w:p>
    <w:p>
      <w:pPr>
        <w:pStyle w:val="ListParagraph"/>
        <w:numPr>
          <w:ilvl w:val="0"/>
          <w:numId w:val="3"/>
        </w:numPr>
        <w:spacing w:after="80"/>
      </w:pPr>
      <w:r>
        <w:rPr>
          <w:sz w:val="22"/>
          <w:szCs w:val="22"/>
        </w:rPr>
        <w:t xml:space="preserve">Monitoring and logging of access to sensitive systems</w:t>
      </w:r>
    </w:p>
    <w:p>
      <w:pPr>
        <w:spacing w:before="200" w:after="100"/>
      </w:pPr>
      <w:r>
        <w:rPr>
          <w:b/>
          <w:bCs/>
          <w:color w:val="0D1B2A"/>
          <w:sz w:val="22"/>
          <w:szCs w:val="22"/>
        </w:rPr>
        <w:t xml:space="preserve">6.3 Patent Protection</w:t>
      </w:r>
    </w:p>
    <w:p>
      <w:pPr>
        <w:spacing w:after="120"/>
      </w:pPr>
      <w:r>
        <w:rPr>
          <w:sz w:val="22"/>
          <w:szCs w:val="22"/>
        </w:rPr>
        <w:t xml:space="preserve">The Company may seek patent protection for patentable inventions. Personnel must:</w:t>
      </w:r>
    </w:p>
    <w:p>
      <w:pPr>
        <w:pStyle w:val="ListParagraph"/>
        <w:numPr>
          <w:ilvl w:val="0"/>
          <w:numId w:val="2"/>
        </w:numPr>
        <w:spacing w:after="80"/>
      </w:pPr>
      <w:r>
        <w:rPr>
          <w:sz w:val="22"/>
          <w:szCs w:val="22"/>
        </w:rPr>
        <w:t xml:space="preserve">Promptly disclose all potentially patentable inventions;</w:t>
      </w:r>
    </w:p>
    <w:p>
      <w:pPr>
        <w:pStyle w:val="ListParagraph"/>
        <w:numPr>
          <w:ilvl w:val="0"/>
          <w:numId w:val="2"/>
        </w:numPr>
        <w:spacing w:after="80"/>
      </w:pPr>
      <w:r>
        <w:rPr>
          <w:sz w:val="22"/>
          <w:szCs w:val="22"/>
        </w:rPr>
        <w:t xml:space="preserve">Maintain confidentiality until patent applications are filed;</w:t>
      </w:r>
    </w:p>
    <w:p>
      <w:pPr>
        <w:pStyle w:val="ListParagraph"/>
        <w:numPr>
          <w:ilvl w:val="0"/>
          <w:numId w:val="2"/>
        </w:numPr>
        <w:spacing w:after="80"/>
      </w:pPr>
      <w:r>
        <w:rPr>
          <w:sz w:val="22"/>
          <w:szCs w:val="22"/>
        </w:rPr>
        <w:t xml:space="preserve">Cooperate with patent attorneys in preparing applications;</w:t>
      </w:r>
    </w:p>
    <w:p>
      <w:pPr>
        <w:pStyle w:val="ListParagraph"/>
        <w:numPr>
          <w:ilvl w:val="0"/>
          <w:numId w:val="2"/>
        </w:numPr>
        <w:spacing w:after="80"/>
      </w:pPr>
      <w:r>
        <w:rPr>
          <w:sz w:val="22"/>
          <w:szCs w:val="22"/>
        </w:rPr>
        <w:t xml:space="preserve">Not publicly disclose inventions without prior approval.</w:t>
      </w:r>
    </w:p>
    <w:p>
      <w:pPr>
        <w:spacing w:before="200" w:after="100"/>
      </w:pPr>
      <w:r>
        <w:rPr>
          <w:b/>
          <w:bCs/>
          <w:color w:val="0D1B2A"/>
          <w:sz w:val="22"/>
          <w:szCs w:val="22"/>
        </w:rPr>
        <w:t xml:space="preserve">6.4 Copyright Protection</w:t>
      </w:r>
    </w:p>
    <w:p>
      <w:pPr>
        <w:spacing w:after="120"/>
      </w:pPr>
      <w:r>
        <w:rPr>
          <w:sz w:val="22"/>
          <w:szCs w:val="22"/>
        </w:rPr>
        <w:t xml:space="preserve">All Company works shall include appropriate copyright notices. The standard notice format is:</w:t>
      </w:r>
    </w:p>
    <w:p>
      <w:pPr>
        <w:spacing w:before="120" w:after="120"/>
        <w:ind w:left="720" w:right="720"/>
        <w:jc w:val="center"/>
      </w:pPr>
      <w:r>
        <w:rPr>
          <w:i/>
          <w:iCs/>
          <w:sz w:val="22"/>
          <w:szCs w:val="22"/>
        </w:rPr>
        <w:t xml:space="preserve">© [Year] IVYAR LLC. All Rights Reserved.</w:t>
      </w:r>
    </w:p>
    <w:p>
      <w:pPr>
        <w:spacing w:before="200" w:after="100"/>
      </w:pPr>
      <w:r>
        <w:rPr>
          <w:b/>
          <w:bCs/>
          <w:color w:val="0D1B2A"/>
          <w:sz w:val="22"/>
          <w:szCs w:val="22"/>
        </w:rPr>
        <w:t xml:space="preserve">6.5 Trade Secret Protection</w:t>
      </w:r>
    </w:p>
    <w:p>
      <w:pPr>
        <w:spacing w:after="120"/>
      </w:pPr>
      <w:r>
        <w:rPr>
          <w:sz w:val="22"/>
          <w:szCs w:val="22"/>
        </w:rPr>
        <w:t xml:space="preserve">The Company maintains trade secrets through reasonable measures to preserve secrecy:</w:t>
      </w:r>
    </w:p>
    <w:p>
      <w:pPr>
        <w:pStyle w:val="ListParagraph"/>
        <w:numPr>
          <w:ilvl w:val="0"/>
          <w:numId w:val="3"/>
        </w:numPr>
        <w:spacing w:after="80"/>
      </w:pPr>
      <w:r>
        <w:rPr>
          <w:sz w:val="22"/>
          <w:szCs w:val="22"/>
        </w:rPr>
        <w:t xml:space="preserve">Limiting access to trade secrets to essential personnel</w:t>
      </w:r>
    </w:p>
    <w:p>
      <w:pPr>
        <w:pStyle w:val="ListParagraph"/>
        <w:numPr>
          <w:ilvl w:val="0"/>
          <w:numId w:val="3"/>
        </w:numPr>
        <w:spacing w:after="80"/>
      </w:pPr>
      <w:r>
        <w:rPr>
          <w:sz w:val="22"/>
          <w:szCs w:val="22"/>
        </w:rPr>
        <w:t xml:space="preserve">Requiring confidentiality agreements from all who access trade secrets</w:t>
      </w:r>
    </w:p>
    <w:p>
      <w:pPr>
        <w:pStyle w:val="ListParagraph"/>
        <w:numPr>
          <w:ilvl w:val="0"/>
          <w:numId w:val="3"/>
        </w:numPr>
        <w:spacing w:after="80"/>
      </w:pPr>
      <w:r>
        <w:rPr>
          <w:sz w:val="22"/>
          <w:szCs w:val="22"/>
        </w:rPr>
        <w:t xml:space="preserve">Marking trade secret materials as confidential</w:t>
      </w:r>
    </w:p>
    <w:p>
      <w:pPr>
        <w:pStyle w:val="ListParagraph"/>
        <w:numPr>
          <w:ilvl w:val="0"/>
          <w:numId w:val="3"/>
        </w:numPr>
        <w:spacing w:after="80"/>
      </w:pPr>
      <w:r>
        <w:rPr>
          <w:sz w:val="22"/>
          <w:szCs w:val="22"/>
        </w:rPr>
        <w:t xml:space="preserve">Implementing technical security measures</w:t>
      </w:r>
    </w:p>
    <w:p>
      <w:pPr>
        <w:pStyle w:val="ListParagraph"/>
        <w:numPr>
          <w:ilvl w:val="0"/>
          <w:numId w:val="3"/>
        </w:numPr>
        <w:spacing w:after="80"/>
      </w:pPr>
      <w:r>
        <w:rPr>
          <w:sz w:val="22"/>
          <w:szCs w:val="22"/>
        </w:rPr>
        <w:t xml:space="preserve">Conducting exit interviews to reinforce confidentiality obligations</w:t>
      </w:r>
    </w:p>
    <w:p>
      <w:r>
        <w:br w:type="page"/>
      </w:r>
    </w:p>
    <w:p>
      <w:pPr>
        <w:spacing w:before="320" w:after="160"/>
      </w:pPr>
      <w:r>
        <w:rPr>
          <w:b/>
          <w:bCs/>
          <w:color w:val="1B365D"/>
          <w:sz w:val="24"/>
          <w:szCs w:val="24"/>
        </w:rPr>
        <w:t xml:space="preserve">7. IP IN SPECIFIC CONTEXTS</w:t>
      </w:r>
    </w:p>
    <w:p>
      <w:pPr>
        <w:spacing w:before="200" w:after="100"/>
      </w:pPr>
      <w:r>
        <w:rPr>
          <w:b/>
          <w:bCs/>
          <w:color w:val="0D1B2A"/>
          <w:sz w:val="22"/>
          <w:szCs w:val="22"/>
        </w:rPr>
        <w:t xml:space="preserve">7.1 Customer Engagements</w:t>
      </w:r>
    </w:p>
    <w:p>
      <w:pPr>
        <w:spacing w:after="120"/>
      </w:pPr>
      <w:r>
        <w:rPr>
          <w:sz w:val="22"/>
          <w:szCs w:val="22"/>
        </w:rPr>
        <w:t xml:space="preserve">Unless expressly agreed otherwise in a written customer agreement:</w:t>
      </w:r>
    </w:p>
    <w:p>
      <w:pPr>
        <w:pStyle w:val="ListParagraph"/>
        <w:numPr>
          <w:ilvl w:val="0"/>
          <w:numId w:val="2"/>
        </w:numPr>
        <w:spacing w:after="80"/>
      </w:pPr>
      <w:r>
        <w:rPr>
          <w:sz w:val="22"/>
          <w:szCs w:val="22"/>
        </w:rPr>
        <w:t xml:space="preserve">The Company retains ownership of all pre-existing IP and tools used in customer engagements;</w:t>
      </w:r>
    </w:p>
    <w:p>
      <w:pPr>
        <w:pStyle w:val="ListParagraph"/>
        <w:numPr>
          <w:ilvl w:val="0"/>
          <w:numId w:val="2"/>
        </w:numPr>
        <w:spacing w:after="80"/>
      </w:pPr>
      <w:r>
        <w:rPr>
          <w:sz w:val="22"/>
          <w:szCs w:val="22"/>
        </w:rPr>
        <w:t xml:space="preserve">The Company retains ownership of all general knowledge, skills, and techniques developed;</w:t>
      </w:r>
    </w:p>
    <w:p>
      <w:pPr>
        <w:pStyle w:val="ListParagraph"/>
        <w:numPr>
          <w:ilvl w:val="0"/>
          <w:numId w:val="2"/>
        </w:numPr>
        <w:spacing w:after="80"/>
      </w:pPr>
      <w:r>
        <w:rPr>
          <w:sz w:val="22"/>
          <w:szCs w:val="22"/>
        </w:rPr>
        <w:t xml:space="preserve">Customizations and configurations may be subject to customer license rights;</w:t>
      </w:r>
    </w:p>
    <w:p>
      <w:pPr>
        <w:pStyle w:val="ListParagraph"/>
        <w:numPr>
          <w:ilvl w:val="0"/>
          <w:numId w:val="2"/>
        </w:numPr>
        <w:spacing w:after="80"/>
      </w:pPr>
      <w:r>
        <w:rPr>
          <w:sz w:val="22"/>
          <w:szCs w:val="22"/>
        </w:rPr>
        <w:t xml:space="preserve">Customer data remains the property of the customer.</w:t>
      </w:r>
    </w:p>
    <w:p>
      <w:pPr>
        <w:spacing w:before="200" w:after="100"/>
      </w:pPr>
      <w:r>
        <w:rPr>
          <w:b/>
          <w:bCs/>
          <w:color w:val="0D1B2A"/>
          <w:sz w:val="22"/>
          <w:szCs w:val="22"/>
        </w:rPr>
        <w:t xml:space="preserve">7.2 Collaborative Development</w:t>
      </w:r>
    </w:p>
    <w:p>
      <w:pPr>
        <w:spacing w:after="120"/>
      </w:pPr>
      <w:r>
        <w:rPr>
          <w:sz w:val="22"/>
          <w:szCs w:val="22"/>
        </w:rPr>
        <w:t xml:space="preserve">When the Company engages in collaborative development with third parties:</w:t>
      </w:r>
    </w:p>
    <w:p>
      <w:pPr>
        <w:pStyle w:val="ListParagraph"/>
        <w:numPr>
          <w:ilvl w:val="0"/>
          <w:numId w:val="2"/>
        </w:numPr>
        <w:spacing w:after="80"/>
      </w:pPr>
      <w:r>
        <w:rPr>
          <w:sz w:val="22"/>
          <w:szCs w:val="22"/>
        </w:rPr>
        <w:t xml:space="preserve">IP ownership must be established in writing before commencement;</w:t>
      </w:r>
    </w:p>
    <w:p>
      <w:pPr>
        <w:pStyle w:val="ListParagraph"/>
        <w:numPr>
          <w:ilvl w:val="0"/>
          <w:numId w:val="2"/>
        </w:numPr>
        <w:spacing w:after="80"/>
      </w:pPr>
      <w:r>
        <w:rPr>
          <w:sz w:val="22"/>
          <w:szCs w:val="22"/>
        </w:rPr>
        <w:t xml:space="preserve">Joint inventions shall be jointly owned unless otherwise agreed;</w:t>
      </w:r>
    </w:p>
    <w:p>
      <w:pPr>
        <w:pStyle w:val="ListParagraph"/>
        <w:numPr>
          <w:ilvl w:val="0"/>
          <w:numId w:val="2"/>
        </w:numPr>
        <w:spacing w:after="80"/>
      </w:pPr>
      <w:r>
        <w:rPr>
          <w:sz w:val="22"/>
          <w:szCs w:val="22"/>
        </w:rPr>
        <w:t xml:space="preserve">Each party retains ownership of its background IP;</w:t>
      </w:r>
    </w:p>
    <w:p>
      <w:pPr>
        <w:pStyle w:val="ListParagraph"/>
        <w:numPr>
          <w:ilvl w:val="0"/>
          <w:numId w:val="2"/>
        </w:numPr>
        <w:spacing w:after="80"/>
      </w:pPr>
      <w:r>
        <w:rPr>
          <w:sz w:val="22"/>
          <w:szCs w:val="22"/>
        </w:rPr>
        <w:t xml:space="preserve">Licensing terms for joint IP must be clearly defined.</w:t>
      </w:r>
    </w:p>
    <w:p>
      <w:pPr>
        <w:spacing w:before="200" w:after="100"/>
      </w:pPr>
      <w:r>
        <w:rPr>
          <w:b/>
          <w:bCs/>
          <w:color w:val="0D1B2A"/>
          <w:sz w:val="22"/>
          <w:szCs w:val="22"/>
        </w:rPr>
        <w:t xml:space="preserve">7.3 Acquisitions and Investments</w:t>
      </w:r>
    </w:p>
    <w:p>
      <w:pPr>
        <w:spacing w:after="120"/>
      </w:pPr>
      <w:r>
        <w:rPr>
          <w:sz w:val="22"/>
          <w:szCs w:val="22"/>
        </w:rPr>
        <w:t xml:space="preserve">In connection with acquisitions or investments:</w:t>
      </w:r>
    </w:p>
    <w:p>
      <w:pPr>
        <w:pStyle w:val="ListParagraph"/>
        <w:numPr>
          <w:ilvl w:val="0"/>
          <w:numId w:val="2"/>
        </w:numPr>
        <w:spacing w:after="80"/>
      </w:pPr>
      <w:r>
        <w:rPr>
          <w:sz w:val="22"/>
          <w:szCs w:val="22"/>
        </w:rPr>
        <w:t xml:space="preserve">Due diligence shall include comprehensive IP review;</w:t>
      </w:r>
    </w:p>
    <w:p>
      <w:pPr>
        <w:pStyle w:val="ListParagraph"/>
        <w:numPr>
          <w:ilvl w:val="0"/>
          <w:numId w:val="2"/>
        </w:numPr>
        <w:spacing w:after="80"/>
      </w:pPr>
      <w:r>
        <w:rPr>
          <w:sz w:val="22"/>
          <w:szCs w:val="22"/>
        </w:rPr>
        <w:t xml:space="preserve">IP ownership and licenses must be clearly documented;</w:t>
      </w:r>
    </w:p>
    <w:p>
      <w:pPr>
        <w:pStyle w:val="ListParagraph"/>
        <w:numPr>
          <w:ilvl w:val="0"/>
          <w:numId w:val="2"/>
        </w:numPr>
        <w:spacing w:after="80"/>
      </w:pPr>
      <w:r>
        <w:rPr>
          <w:sz w:val="22"/>
          <w:szCs w:val="22"/>
        </w:rPr>
        <w:t xml:space="preserve">Assignment of acquired IP must be properly executed;</w:t>
      </w:r>
    </w:p>
    <w:p>
      <w:pPr>
        <w:pStyle w:val="ListParagraph"/>
        <w:numPr>
          <w:ilvl w:val="0"/>
          <w:numId w:val="2"/>
        </w:numPr>
        <w:spacing w:after="80"/>
      </w:pPr>
      <w:r>
        <w:rPr>
          <w:sz w:val="22"/>
          <w:szCs w:val="22"/>
        </w:rPr>
        <w:t xml:space="preserve">Third-party rights and encumbrances must be identified.</w:t>
      </w:r>
    </w:p>
    <w:p>
      <w:pPr>
        <w:spacing w:before="320" w:after="160"/>
      </w:pPr>
      <w:r>
        <w:rPr>
          <w:b/>
          <w:bCs/>
          <w:color w:val="1B365D"/>
          <w:sz w:val="24"/>
          <w:szCs w:val="24"/>
        </w:rPr>
        <w:t xml:space="preserve">8. ENFORCEMENT AND REMEDIES</w:t>
      </w:r>
    </w:p>
    <w:p>
      <w:pPr>
        <w:spacing w:before="200" w:after="100"/>
      </w:pPr>
      <w:r>
        <w:rPr>
          <w:b/>
          <w:bCs/>
          <w:color w:val="0D1B2A"/>
          <w:sz w:val="22"/>
          <w:szCs w:val="22"/>
        </w:rPr>
        <w:t xml:space="preserve">8.1 Monitoring and Compliance</w:t>
      </w:r>
    </w:p>
    <w:p>
      <w:pPr>
        <w:spacing w:after="120"/>
      </w:pPr>
      <w:r>
        <w:rPr>
          <w:sz w:val="22"/>
          <w:szCs w:val="22"/>
        </w:rPr>
        <w:t xml:space="preserve">The Company monitors compliance with this Policy through:</w:t>
      </w:r>
    </w:p>
    <w:p>
      <w:pPr>
        <w:pStyle w:val="ListParagraph"/>
        <w:numPr>
          <w:ilvl w:val="0"/>
          <w:numId w:val="3"/>
        </w:numPr>
        <w:spacing w:after="80"/>
      </w:pPr>
      <w:r>
        <w:rPr>
          <w:sz w:val="22"/>
          <w:szCs w:val="22"/>
        </w:rPr>
        <w:t xml:space="preserve">Regular audits of IP practices and documentation</w:t>
      </w:r>
    </w:p>
    <w:p>
      <w:pPr>
        <w:pStyle w:val="ListParagraph"/>
        <w:numPr>
          <w:ilvl w:val="0"/>
          <w:numId w:val="3"/>
        </w:numPr>
        <w:spacing w:after="80"/>
      </w:pPr>
      <w:r>
        <w:rPr>
          <w:sz w:val="22"/>
          <w:szCs w:val="22"/>
        </w:rPr>
        <w:t xml:space="preserve">Review of departing employee compliance</w:t>
      </w:r>
    </w:p>
    <w:p>
      <w:pPr>
        <w:pStyle w:val="ListParagraph"/>
        <w:numPr>
          <w:ilvl w:val="0"/>
          <w:numId w:val="3"/>
        </w:numPr>
        <w:spacing w:after="80"/>
      </w:pPr>
      <w:r>
        <w:rPr>
          <w:sz w:val="22"/>
          <w:szCs w:val="22"/>
        </w:rPr>
        <w:t xml:space="preserve">Monitoring of public disclosures and publications</w:t>
      </w:r>
    </w:p>
    <w:p>
      <w:pPr>
        <w:pStyle w:val="ListParagraph"/>
        <w:numPr>
          <w:ilvl w:val="0"/>
          <w:numId w:val="3"/>
        </w:numPr>
        <w:spacing w:after="80"/>
      </w:pPr>
      <w:r>
        <w:rPr>
          <w:sz w:val="22"/>
          <w:szCs w:val="22"/>
        </w:rPr>
        <w:t xml:space="preserve">Investigation of suspected violations</w:t>
      </w:r>
    </w:p>
    <w:p>
      <w:pPr>
        <w:spacing w:before="200" w:after="100"/>
      </w:pPr>
      <w:r>
        <w:rPr>
          <w:b/>
          <w:bCs/>
          <w:color w:val="0D1B2A"/>
          <w:sz w:val="22"/>
          <w:szCs w:val="22"/>
        </w:rPr>
        <w:t xml:space="preserve">8.2 Consequences of Violation</w:t>
      </w:r>
    </w:p>
    <w:p>
      <w:pPr>
        <w:spacing w:after="120"/>
      </w:pPr>
      <w:r>
        <w:rPr>
          <w:sz w:val="22"/>
          <w:szCs w:val="22"/>
        </w:rPr>
        <w:t xml:space="preserve">Violation of this Policy may result in:</w:t>
      </w:r>
    </w:p>
    <w:p>
      <w:pPr>
        <w:pStyle w:val="ListParagraph"/>
        <w:numPr>
          <w:ilvl w:val="0"/>
          <w:numId w:val="3"/>
        </w:numPr>
        <w:spacing w:after="80"/>
      </w:pPr>
      <w:r>
        <w:rPr>
          <w:sz w:val="22"/>
          <w:szCs w:val="22"/>
        </w:rPr>
        <w:t xml:space="preserve">Disciplinary action, up to and including termination of employment</w:t>
      </w:r>
    </w:p>
    <w:p>
      <w:pPr>
        <w:pStyle w:val="ListParagraph"/>
        <w:numPr>
          <w:ilvl w:val="0"/>
          <w:numId w:val="3"/>
        </w:numPr>
        <w:spacing w:after="80"/>
      </w:pPr>
      <w:r>
        <w:rPr>
          <w:sz w:val="22"/>
          <w:szCs w:val="22"/>
        </w:rPr>
        <w:t xml:space="preserve">Termination of contractor or consultant engagement</w:t>
      </w:r>
    </w:p>
    <w:p>
      <w:pPr>
        <w:pStyle w:val="ListParagraph"/>
        <w:numPr>
          <w:ilvl w:val="0"/>
          <w:numId w:val="3"/>
        </w:numPr>
        <w:spacing w:after="80"/>
      </w:pPr>
      <w:r>
        <w:rPr>
          <w:sz w:val="22"/>
          <w:szCs w:val="22"/>
        </w:rPr>
        <w:t xml:space="preserve">Legal action to recover damages and obtain injunctive relief</w:t>
      </w:r>
    </w:p>
    <w:p>
      <w:pPr>
        <w:pStyle w:val="ListParagraph"/>
        <w:numPr>
          <w:ilvl w:val="0"/>
          <w:numId w:val="3"/>
        </w:numPr>
        <w:spacing w:after="80"/>
      </w:pPr>
      <w:r>
        <w:rPr>
          <w:sz w:val="22"/>
          <w:szCs w:val="22"/>
        </w:rPr>
        <w:t xml:space="preserve">Criminal referral where appropriate</w:t>
      </w:r>
    </w:p>
    <w:p>
      <w:pPr>
        <w:spacing w:before="200" w:after="100"/>
      </w:pPr>
      <w:r>
        <w:rPr>
          <w:b/>
          <w:bCs/>
          <w:color w:val="0D1B2A"/>
          <w:sz w:val="22"/>
          <w:szCs w:val="22"/>
        </w:rPr>
        <w:t xml:space="preserve">8.3 Infringement by Third Parties</w:t>
      </w:r>
    </w:p>
    <w:p>
      <w:pPr>
        <w:spacing w:after="120"/>
      </w:pPr>
      <w:r>
        <w:rPr>
          <w:sz w:val="22"/>
          <w:szCs w:val="22"/>
        </w:rPr>
        <w:t xml:space="preserve">The Company vigorously protects its IP rights. Personnel who become aware of potential infringement by third parties must promptly report such matters to the Legal Department.</w:t>
      </w:r>
    </w:p>
    <w:p>
      <w:pPr>
        <w:spacing w:before="320" w:after="160"/>
      </w:pPr>
      <w:r>
        <w:rPr>
          <w:b/>
          <w:bCs/>
          <w:color w:val="1B365D"/>
          <w:sz w:val="24"/>
          <w:szCs w:val="24"/>
        </w:rPr>
        <w:t xml:space="preserve">9. POLICY ADMINISTRATION</w:t>
      </w:r>
    </w:p>
    <w:p>
      <w:pPr>
        <w:spacing w:before="200" w:after="100"/>
      </w:pPr>
      <w:r>
        <w:rPr>
          <w:b/>
          <w:bCs/>
          <w:color w:val="0D1B2A"/>
          <w:sz w:val="22"/>
          <w:szCs w:val="22"/>
        </w:rPr>
        <w:t xml:space="preserve">9.1 Responsibility</w:t>
      </w:r>
    </w:p>
    <w:p>
      <w:pPr>
        <w:spacing w:after="120"/>
      </w:pPr>
      <w:r>
        <w:rPr>
          <w:sz w:val="22"/>
          <w:szCs w:val="22"/>
        </w:rPr>
        <w:t xml:space="preserve">The following parties are responsible for administering this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365D" w:val="clear"/>
          </w:tcPr>
          <w:p>
            <w:r>
              <w:rPr>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Legal Department</w:t>
            </w:r>
          </w:p>
        </w:tc>
        <w:tc>
          <w:tcPr>
            <w:tcW w:type="dxa" w:w="6360"/>
            <w:tcBorders>
              <w:top w:val="single" w:color="CCCCCC" w:sz="1"/>
              <w:left w:val="single" w:color="CCCCCC" w:sz="1"/>
              <w:bottom w:val="single" w:color="CCCCCC" w:sz="1"/>
              <w:right w:val="single" w:color="CCCCCC" w:sz="1"/>
            </w:tcBorders>
          </w:tcPr>
          <w:p>
            <w:r>
              <w:rPr>
                <w:sz w:val="20"/>
                <w:szCs w:val="20"/>
              </w:rPr>
              <w:t xml:space="preserve">Policy interpretation, IP registration, enforcement, agreements</w:t>
            </w:r>
          </w:p>
        </w:tc>
      </w:tr>
      <w:tr>
        <w:tc>
          <w:tcPr>
            <w:tcW w:type="dxa" w:w="3000"/>
            <w:tcBorders>
              <w:top w:val="single" w:color="CCCCCC" w:sz="1"/>
              <w:left w:val="single" w:color="CCCCCC" w:sz="1"/>
              <w:bottom w:val="single" w:color="CCCCCC" w:sz="1"/>
              <w:right w:val="single" w:color="CCCCCC" w:sz="1"/>
            </w:tcBorders>
            <w:shd w:fill="F8F9FA" w:val="clear"/>
          </w:tcPr>
          <w:p>
            <w:r>
              <w:rPr>
                <w:b/>
                <w:bCs/>
                <w:sz w:val="20"/>
                <w:szCs w:val="20"/>
              </w:rPr>
              <w:t xml:space="preserve">Human Resources</w:t>
            </w:r>
          </w:p>
        </w:tc>
        <w:tc>
          <w:tcPr>
            <w:tcW w:type="dxa" w:w="6360"/>
            <w:tcBorders>
              <w:top w:val="single" w:color="CCCCCC" w:sz="1"/>
              <w:left w:val="single" w:color="CCCCCC" w:sz="1"/>
              <w:bottom w:val="single" w:color="CCCCCC" w:sz="1"/>
              <w:right w:val="single" w:color="CCCCCC" w:sz="1"/>
            </w:tcBorders>
            <w:shd w:fill="F8F9FA" w:val="clear"/>
          </w:tcPr>
          <w:p>
            <w:r>
              <w:rPr>
                <w:sz w:val="20"/>
                <w:szCs w:val="20"/>
              </w:rPr>
              <w:t xml:space="preserve">Onboarding, training, exit procedures, compliance tracking</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Engineering</w:t>
            </w:r>
          </w:p>
        </w:tc>
        <w:tc>
          <w:tcPr>
            <w:tcW w:type="dxa" w:w="6360"/>
            <w:tcBorders>
              <w:top w:val="single" w:color="CCCCCC" w:sz="1"/>
              <w:left w:val="single" w:color="CCCCCC" w:sz="1"/>
              <w:bottom w:val="single" w:color="CCCCCC" w:sz="1"/>
              <w:right w:val="single" w:color="CCCCCC" w:sz="1"/>
            </w:tcBorders>
          </w:tcPr>
          <w:p>
            <w:r>
              <w:rPr>
                <w:sz w:val="20"/>
                <w:szCs w:val="20"/>
              </w:rPr>
              <w:t xml:space="preserve">Invention disclosure, open source compliance, code review</w:t>
            </w:r>
          </w:p>
        </w:tc>
      </w:tr>
      <w:tr>
        <w:tc>
          <w:tcPr>
            <w:tcW w:type="dxa" w:w="3000"/>
            <w:tcBorders>
              <w:top w:val="single" w:color="CCCCCC" w:sz="1"/>
              <w:left w:val="single" w:color="CCCCCC" w:sz="1"/>
              <w:bottom w:val="single" w:color="CCCCCC" w:sz="1"/>
              <w:right w:val="single" w:color="CCCCCC" w:sz="1"/>
            </w:tcBorders>
            <w:shd w:fill="F8F9FA" w:val="clear"/>
          </w:tcPr>
          <w:p>
            <w:r>
              <w:rPr>
                <w:b/>
                <w:bCs/>
                <w:sz w:val="20"/>
                <w:szCs w:val="20"/>
              </w:rPr>
              <w:t xml:space="preserve">Management</w:t>
            </w:r>
          </w:p>
        </w:tc>
        <w:tc>
          <w:tcPr>
            <w:tcW w:type="dxa" w:w="6360"/>
            <w:tcBorders>
              <w:top w:val="single" w:color="CCCCCC" w:sz="1"/>
              <w:left w:val="single" w:color="CCCCCC" w:sz="1"/>
              <w:bottom w:val="single" w:color="CCCCCC" w:sz="1"/>
              <w:right w:val="single" w:color="CCCCCC" w:sz="1"/>
            </w:tcBorders>
            <w:shd w:fill="F8F9FA" w:val="clear"/>
          </w:tcPr>
          <w:p>
            <w:r>
              <w:rPr>
                <w:sz w:val="20"/>
                <w:szCs w:val="20"/>
              </w:rPr>
              <w:t xml:space="preserve">Policy enforcement, resource allocation, strategic decisions</w:t>
            </w:r>
          </w:p>
        </w:tc>
      </w:tr>
    </w:tbl>
    <w:p>
      <w:pPr>
        <w:spacing w:before="200"/>
      </w:pPr>
    </w:p>
    <w:p>
      <w:pPr>
        <w:spacing w:before="200" w:after="100"/>
      </w:pPr>
      <w:r>
        <w:rPr>
          <w:b/>
          <w:bCs/>
          <w:color w:val="0D1B2A"/>
          <w:sz w:val="22"/>
          <w:szCs w:val="22"/>
        </w:rPr>
        <w:t xml:space="preserve">9.2 Training</w:t>
      </w:r>
    </w:p>
    <w:p>
      <w:pPr>
        <w:spacing w:after="120"/>
      </w:pPr>
      <w:r>
        <w:rPr>
          <w:sz w:val="22"/>
          <w:szCs w:val="22"/>
        </w:rPr>
        <w:t xml:space="preserve">All Personnel shall receive training on this Policy upon commencement of their engagement and periodically thereafter. Training records shall be maintained by Human Resources.</w:t>
      </w:r>
    </w:p>
    <w:p>
      <w:pPr>
        <w:spacing w:before="200" w:after="100"/>
      </w:pPr>
      <w:r>
        <w:rPr>
          <w:b/>
          <w:bCs/>
          <w:color w:val="0D1B2A"/>
          <w:sz w:val="22"/>
          <w:szCs w:val="22"/>
        </w:rPr>
        <w:t xml:space="preserve">9.3 Questions and Concerns</w:t>
      </w:r>
    </w:p>
    <w:p>
      <w:pPr>
        <w:spacing w:after="120"/>
      </w:pPr>
      <w:r>
        <w:rPr>
          <w:sz w:val="22"/>
          <w:szCs w:val="22"/>
        </w:rPr>
        <w:t xml:space="preserve">Questions regarding this Policy should be directed to:</w:t>
      </w:r>
    </w:p>
    <w:p>
      <w:pPr>
        <w:spacing w:before="120" w:after="40"/>
        <w:ind w:left="720"/>
      </w:pPr>
      <w:r>
        <w:rPr>
          <w:sz w:val="22"/>
          <w:szCs w:val="22"/>
        </w:rPr>
        <w:t xml:space="preserve">Legal Department: legal@ivyar.org</w:t>
      </w:r>
    </w:p>
    <w:p>
      <w:pPr>
        <w:spacing w:after="120"/>
        <w:ind w:left="720"/>
      </w:pPr>
      <w:r>
        <w:rPr>
          <w:sz w:val="22"/>
          <w:szCs w:val="22"/>
        </w:rPr>
        <w:t xml:space="preserve">Human Resources: hr@ivyar.org</w:t>
      </w:r>
    </w:p>
    <w:p>
      <w:pPr>
        <w:spacing w:before="320" w:after="160"/>
      </w:pPr>
      <w:r>
        <w:rPr>
          <w:b/>
          <w:bCs/>
          <w:color w:val="1B365D"/>
          <w:sz w:val="24"/>
          <w:szCs w:val="24"/>
        </w:rPr>
        <w:t xml:space="preserve">10. AMENDMENTS AND UPDATES</w:t>
      </w:r>
    </w:p>
    <w:p>
      <w:pPr>
        <w:spacing w:after="120"/>
      </w:pPr>
      <w:r>
        <w:rPr>
          <w:sz w:val="22"/>
          <w:szCs w:val="22"/>
        </w:rPr>
        <w:t xml:space="preserve">This Policy may be amended by the Company at any time. Material changes will be communicated to Personnel through appropriate channels. Continued engagement with the Company following such changes constitutes acceptance of the amended Policy.</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2"/>
              <w:left w:val="none" w:color="FFFFFF" w:sz="0"/>
              <w:bottom w:val="none" w:color="FFFFFF" w:sz="0"/>
              <w:right w:val="none" w:color="FFFFFF" w:sz="0"/>
            </w:tcBorders>
          </w:tcPr>
          <w:p/>
        </w:tc>
      </w:tr>
    </w:tbl>
    <w:p>
      <w:pPr>
        <w:spacing w:before="240"/>
      </w:pPr>
      <w:r>
        <w:rPr>
          <w:b/>
          <w:bCs/>
          <w:sz w:val="22"/>
          <w:szCs w:val="22"/>
        </w:rPr>
        <w:t xml:space="preserve">APPROVED BY:</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360"/>
      </w:tblGrid>
      <w:tr>
        <w:tc>
          <w:tcPr>
            <w:tcW w:type="dxa" w:w="4500"/>
            <w:tcBorders>
              <w:top w:val="none" w:color="FFFFFF" w:sz="0"/>
              <w:left w:val="none" w:color="FFFFFF" w:sz="0"/>
              <w:bottom w:val="single" w:color="000000" w:sz="1"/>
              <w:right w:val="none" w:color="FFFFFF" w:sz="0"/>
            </w:tcBorders>
          </w:tcPr>
          <w:p>
            <w:pPr>
              <w:spacing w:before="480"/>
            </w:pPr>
          </w:p>
        </w:tc>
        <w:tc>
          <w:tcPr>
            <w:tcW w:type="dxa" w:w="500"/>
            <w:tcBorders>
              <w:top w:val="none" w:color="FFFFFF" w:sz="0"/>
              <w:left w:val="none" w:color="FFFFFF" w:sz="0"/>
              <w:bottom w:val="none" w:color="FFFFFF" w:sz="0"/>
              <w:right w:val="none" w:color="FFFFFF" w:sz="0"/>
            </w:tcBorders>
          </w:tcPr>
          <w:p/>
        </w:tc>
        <w:tc>
          <w:tcPr>
            <w:tcW w:type="dxa" w:w="4360"/>
            <w:tcBorders>
              <w:top w:val="none" w:color="FFFFFF" w:sz="0"/>
              <w:left w:val="none" w:color="FFFFFF" w:sz="0"/>
              <w:bottom w:val="single" w:color="000000" w:sz="1"/>
              <w:right w:val="none" w:color="FFFFFF" w:sz="0"/>
            </w:tcBorders>
          </w:tcPr>
          <w:p>
            <w:pPr>
              <w:spacing w:before="480"/>
            </w:pPr>
          </w:p>
        </w:tc>
      </w:tr>
      <w:tr>
        <w:tc>
          <w:tcPr>
            <w:tcW w:type="dxa" w:w="4500"/>
            <w:tcBorders>
              <w:top w:val="none" w:color="FFFFFF" w:sz="0"/>
              <w:left w:val="none" w:color="FFFFFF" w:sz="0"/>
              <w:bottom w:val="none" w:color="FFFFFF" w:sz="0"/>
              <w:right w:val="none" w:color="FFFFFF" w:sz="0"/>
            </w:tcBorders>
          </w:tcPr>
          <w:p>
            <w:r>
              <w:rPr>
                <w:sz w:val="20"/>
                <w:szCs w:val="20"/>
              </w:rPr>
              <w:t xml:space="preserve">Chief Executive Officer</w:t>
            </w:r>
          </w:p>
        </w:tc>
        <w:tc>
          <w:tcPr>
            <w:tcW w:type="dxa" w:w="500"/>
            <w:tcBorders>
              <w:top w:val="none" w:color="FFFFFF" w:sz="0"/>
              <w:left w:val="none" w:color="FFFFFF" w:sz="0"/>
              <w:bottom w:val="none" w:color="FFFFFF" w:sz="0"/>
              <w:right w:val="none" w:color="FFFFFF" w:sz="0"/>
            </w:tcBorders>
          </w:tcPr>
          <w:p/>
        </w:tc>
        <w:tc>
          <w:tcPr>
            <w:tcW w:type="dxa" w:w="4360"/>
            <w:tcBorders>
              <w:top w:val="none" w:color="FFFFFF" w:sz="0"/>
              <w:left w:val="none" w:color="FFFFFF" w:sz="0"/>
              <w:bottom w:val="none" w:color="FFFFFF" w:sz="0"/>
              <w:right w:val="none" w:color="FFFFFF" w:sz="0"/>
            </w:tcBorders>
          </w:tcPr>
          <w:p>
            <w:r>
              <w:rPr>
                <w:sz w:val="20"/>
                <w:szCs w:val="20"/>
              </w:rPr>
              <w:t xml:space="preserve">Date</w:t>
            </w:r>
          </w:p>
        </w:tc>
      </w:tr>
    </w:tbl>
    <w:p>
      <w:pPr>
        <w:spacing w:before="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360"/>
      </w:tblGrid>
      <w:tr>
        <w:tc>
          <w:tcPr>
            <w:tcW w:type="dxa" w:w="4500"/>
            <w:tcBorders>
              <w:top w:val="none" w:color="FFFFFF" w:sz="0"/>
              <w:left w:val="none" w:color="FFFFFF" w:sz="0"/>
              <w:bottom w:val="single" w:color="000000" w:sz="1"/>
              <w:right w:val="none" w:color="FFFFFF" w:sz="0"/>
            </w:tcBorders>
          </w:tcPr>
          <w:p>
            <w:pPr>
              <w:spacing w:before="480"/>
            </w:pPr>
          </w:p>
        </w:tc>
        <w:tc>
          <w:tcPr>
            <w:tcW w:type="dxa" w:w="500"/>
            <w:tcBorders>
              <w:top w:val="none" w:color="FFFFFF" w:sz="0"/>
              <w:left w:val="none" w:color="FFFFFF" w:sz="0"/>
              <w:bottom w:val="none" w:color="FFFFFF" w:sz="0"/>
              <w:right w:val="none" w:color="FFFFFF" w:sz="0"/>
            </w:tcBorders>
          </w:tcPr>
          <w:p/>
        </w:tc>
        <w:tc>
          <w:tcPr>
            <w:tcW w:type="dxa" w:w="4360"/>
            <w:tcBorders>
              <w:top w:val="none" w:color="FFFFFF" w:sz="0"/>
              <w:left w:val="none" w:color="FFFFFF" w:sz="0"/>
              <w:bottom w:val="single" w:color="000000" w:sz="1"/>
              <w:right w:val="none" w:color="FFFFFF" w:sz="0"/>
            </w:tcBorders>
          </w:tcPr>
          <w:p>
            <w:pPr>
              <w:spacing w:before="480"/>
            </w:pPr>
          </w:p>
        </w:tc>
      </w:tr>
      <w:tr>
        <w:tc>
          <w:tcPr>
            <w:tcW w:type="dxa" w:w="4500"/>
            <w:tcBorders>
              <w:top w:val="none" w:color="FFFFFF" w:sz="0"/>
              <w:left w:val="none" w:color="FFFFFF" w:sz="0"/>
              <w:bottom w:val="none" w:color="FFFFFF" w:sz="0"/>
              <w:right w:val="none" w:color="FFFFFF" w:sz="0"/>
            </w:tcBorders>
          </w:tcPr>
          <w:p>
            <w:r>
              <w:rPr>
                <w:sz w:val="20"/>
                <w:szCs w:val="20"/>
              </w:rPr>
              <w:t xml:space="preserve">General Counsel</w:t>
            </w:r>
          </w:p>
        </w:tc>
        <w:tc>
          <w:tcPr>
            <w:tcW w:type="dxa" w:w="500"/>
            <w:tcBorders>
              <w:top w:val="none" w:color="FFFFFF" w:sz="0"/>
              <w:left w:val="none" w:color="FFFFFF" w:sz="0"/>
              <w:bottom w:val="none" w:color="FFFFFF" w:sz="0"/>
              <w:right w:val="none" w:color="FFFFFF" w:sz="0"/>
            </w:tcBorders>
          </w:tcPr>
          <w:p/>
        </w:tc>
        <w:tc>
          <w:tcPr>
            <w:tcW w:type="dxa" w:w="4360"/>
            <w:tcBorders>
              <w:top w:val="none" w:color="FFFFFF" w:sz="0"/>
              <w:left w:val="none" w:color="FFFFFF" w:sz="0"/>
              <w:bottom w:val="none" w:color="FFFFFF" w:sz="0"/>
              <w:right w:val="none" w:color="FFFFFF" w:sz="0"/>
            </w:tcBorders>
          </w:tcPr>
          <w:p>
            <w:r>
              <w:rPr>
                <w:sz w:val="20"/>
                <w:szCs w:val="20"/>
              </w:rPr>
              <w:t xml:space="preserve">Date</w:t>
            </w:r>
          </w:p>
        </w:tc>
      </w:tr>
    </w:tbl>
    <w:p>
      <w:pPr>
        <w:spacing w:before="360"/>
      </w:pPr>
    </w:p>
    <w:p>
      <w:pPr>
        <w:jc w:val="center"/>
      </w:pPr>
      <w:r>
        <w:rPr>
          <w:i/>
          <w:iCs/>
          <w:color w:val="666666"/>
          <w:sz w:val="20"/>
          <w:szCs w:val="20"/>
        </w:rPr>
        <w:t xml:space="preserve">© 2024 IVYAR LLC. All Rights Reserved.</w:t>
      </w:r>
    </w:p>
    <w:p>
      <w:pPr>
        <w:jc w:val="center"/>
      </w:pPr>
      <w:r>
        <w:rPr>
          <w:i/>
          <w:iCs/>
          <w:color w:val="999999"/>
          <w:sz w:val="18"/>
          <w:szCs w:val="18"/>
        </w:rPr>
        <w:t xml:space="preserve">[END OF POLICY]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LLC — Intellectual Property Ownership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2025-12-29T23:34:08.975Z</dcterms:created>
  <dcterms:modified xsi:type="dcterms:W3CDTF">2025-12-29T23:34:08.976Z</dcterms:modified>
</cp:coreProperties>
</file>

<file path=docProps/custom.xml><?xml version="1.0" encoding="utf-8"?>
<Properties xmlns="http://schemas.openxmlformats.org/officeDocument/2006/custom-properties" xmlns:vt="http://schemas.openxmlformats.org/officeDocument/2006/docPropsVTypes"/>
</file>