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PARTNER AGREEMENT</w:t>
      </w:r>
    </w:p>
    <w:p>
      <w:pPr>
        <w:spacing w:after="360"/>
        <w:jc w:val="center"/>
      </w:pPr>
      <w:r>
        <w:rPr>
          <w:sz w:val="24"/>
          <w:szCs w:val="24"/>
        </w:rPr>
        <w:t xml:space="preserve">IVYAR Governance, Security &amp; Defense Platform</w:t>
      </w:r>
    </w:p>
    <w:p>
      <w:pPr>
        <w:spacing w:after="120"/>
      </w:pPr>
      <w:r>
        <w:rPr>
          <w:sz w:val="22"/>
          <w:szCs w:val="22"/>
        </w:rPr>
        <w:t xml:space="preserve">This Partner Agreement (the "Agreement") is entered into as of the date last signed below (the "Effective Date"), by and between:</w:t>
      </w:r>
    </w:p>
    <w:p>
      <w:pPr>
        <w:spacing w:after="120"/>
      </w:pPr>
    </w:p>
    <w:p>
      <w:pPr>
        <w:spacing w:after="120"/>
      </w:pPr>
      <w:r>
        <w:rPr>
          <w:b/>
          <w:bCs/>
          <w:sz w:val="22"/>
          <w:szCs w:val="22"/>
        </w:rPr>
        <w:t xml:space="preserve">IVYAR:</w:t>
      </w:r>
    </w:p>
    <w:p>
      <w:pPr>
        <w:spacing w:after="120"/>
      </w:pPr>
      <w:r>
        <w:rPr>
          <w:sz w:val="22"/>
          <w:szCs w:val="22"/>
        </w:rPr>
        <w:t xml:space="preserve">IVYAR LLC, a Delaware limited liability company, with its principal place of business at [Address] ("IVYAR")</w:t>
      </w:r>
    </w:p>
    <w:p>
      <w:pPr>
        <w:spacing w:after="120"/>
      </w:pPr>
    </w:p>
    <w:p>
      <w:pPr>
        <w:spacing w:after="120"/>
      </w:pPr>
      <w:r>
        <w:rPr>
          <w:b/>
          <w:bCs/>
          <w:sz w:val="22"/>
          <w:szCs w:val="22"/>
        </w:rPr>
        <w:t xml:space="preserve">PARTNER:</w:t>
      </w:r>
    </w:p>
    <w:p>
      <w:pPr>
        <w:spacing w:after="120"/>
      </w:pPr>
      <w:r>
        <w:rPr>
          <w:sz w:val="22"/>
          <w:szCs w:val="22"/>
        </w:rPr>
        <w:t xml:space="preserve">[Full Legal Name], a [Type of Entity] organized under the laws of [Jurisdiction], with its principal place of business at [Address] ("Partner")</w:t>
      </w:r>
    </w:p>
    <w:p>
      <w:pPr>
        <w:spacing w:after="120"/>
      </w:pPr>
    </w:p>
    <w:p>
      <w:pPr>
        <w:spacing w:after="120"/>
      </w:pPr>
      <w:r>
        <w:rPr>
          <w:sz w:val="22"/>
          <w:szCs w:val="22"/>
        </w:rPr>
        <w:t xml:space="preserve">IVYAR and Partner may be referred to individually as a "Party" and collectively as the "Parties."</w:t>
      </w:r>
    </w:p>
    <w:p>
      <w:pPr>
        <w:spacing w:after="120"/>
      </w:pPr>
    </w:p>
    <w:p>
      <w:pPr>
        <w:spacing w:after="120"/>
      </w:pPr>
      <w:r>
        <w:rPr>
          <w:b/>
          <w:bCs/>
          <w:sz w:val="22"/>
          <w:szCs w:val="22"/>
        </w:rPr>
        <w:t xml:space="preserve">RECITALS</w:t>
      </w:r>
    </w:p>
    <w:p>
      <w:pPr>
        <w:spacing w:after="120"/>
      </w:pPr>
      <w:r>
        <w:rPr>
          <w:sz w:val="22"/>
          <w:szCs w:val="22"/>
        </w:rPr>
        <w:t xml:space="preserve">WHEREAS, IVYAR has developed the IVYAR Platform, a governance, security, and defense software solution;</w:t>
      </w:r>
    </w:p>
    <w:p>
      <w:pPr>
        <w:spacing w:after="120"/>
      </w:pPr>
      <w:r>
        <w:rPr>
          <w:sz w:val="22"/>
          <w:szCs w:val="22"/>
        </w:rPr>
        <w:t xml:space="preserve">WHEREAS, Partner desires to market, distribute, and/or integrate the IVYAR Platform to customers within its territory and market segments;</w:t>
      </w:r>
    </w:p>
    <w:p>
      <w:pPr>
        <w:spacing w:after="120"/>
      </w:pPr>
      <w:r>
        <w:rPr>
          <w:sz w:val="22"/>
          <w:szCs w:val="22"/>
        </w:rPr>
        <w:t xml:space="preserve">WHEREAS, IVYAR desires to engage Partner to expand the distribution and adoption of the IVYAR Platform; and</w:t>
      </w:r>
    </w:p>
    <w:p>
      <w:pPr>
        <w:spacing w:after="120"/>
      </w:pPr>
      <w:r>
        <w:rPr>
          <w:sz w:val="22"/>
          <w:szCs w:val="22"/>
        </w:rPr>
        <w:t xml:space="preserve">WHEREAS, the Parties wish to establish the terms and conditions of their partnership.</w:t>
      </w:r>
    </w:p>
    <w:p>
      <w:pPr>
        <w:spacing w:after="120"/>
      </w:pPr>
      <w:r>
        <w:rPr>
          <w:sz w:val="22"/>
          <w:szCs w:val="22"/>
        </w:rPr>
        <w:t xml:space="preserve">NOW, THEREFORE, in consideration of the mutual covenants herein, the Parties agree as follows:</w:t>
      </w:r>
    </w:p>
    <w:p>
      <w:pPr>
        <w:spacing w:before="360" w:after="120"/>
      </w:pPr>
      <w:r>
        <w:rPr>
          <w:b/>
          <w:bCs/>
          <w:sz w:val="24"/>
          <w:szCs w:val="24"/>
        </w:rPr>
        <w:t xml:space="preserve">ARTICLE 1</w:t>
      </w:r>
      <w:r>
        <w:rPr>
          <w:b/>
          <w:bCs/>
          <w:sz w:val="24"/>
          <w:szCs w:val="24"/>
        </w:rPr>
        <w:t xml:space="preserve">
DEFINITIONS</w:t>
      </w:r>
    </w:p>
    <w:p>
      <w:pPr>
        <w:pStyle w:val="ListParagraph"/>
        <w:numPr>
          <w:ilvl w:val="0"/>
          <w:numId w:val="2"/>
        </w:numPr>
        <w:spacing w:after="120"/>
      </w:pPr>
      <w:r>
        <w:rPr>
          <w:sz w:val="22"/>
          <w:szCs w:val="22"/>
        </w:rPr>
        <w:t xml:space="preserve">"Confidential Information" means any non-public information disclosed by either Party, including business plans, technology, customer data, pricing, and trade secrets.</w:t>
      </w:r>
    </w:p>
    <w:p>
      <w:pPr>
        <w:pStyle w:val="ListParagraph"/>
        <w:numPr>
          <w:ilvl w:val="0"/>
          <w:numId w:val="2"/>
        </w:numPr>
        <w:spacing w:after="120"/>
      </w:pPr>
      <w:r>
        <w:rPr>
          <w:sz w:val="22"/>
          <w:szCs w:val="22"/>
        </w:rPr>
        <w:t xml:space="preserve">"Customer" means any third party that purchases or licenses the Platform through Partner's efforts.</w:t>
      </w:r>
    </w:p>
    <w:p>
      <w:pPr>
        <w:pStyle w:val="ListParagraph"/>
        <w:numPr>
          <w:ilvl w:val="0"/>
          <w:numId w:val="2"/>
        </w:numPr>
        <w:spacing w:after="120"/>
      </w:pPr>
      <w:r>
        <w:rPr>
          <w:sz w:val="22"/>
          <w:szCs w:val="22"/>
        </w:rPr>
        <w:t xml:space="preserve">"Documentation" means user manuals, technical specifications, and other materials describing the Platform.</w:t>
      </w:r>
    </w:p>
    <w:p>
      <w:pPr>
        <w:pStyle w:val="ListParagraph"/>
        <w:numPr>
          <w:ilvl w:val="0"/>
          <w:numId w:val="2"/>
        </w:numPr>
        <w:spacing w:after="120"/>
      </w:pPr>
      <w:r>
        <w:rPr>
          <w:sz w:val="22"/>
          <w:szCs w:val="22"/>
        </w:rPr>
        <w:t xml:space="preserve">"Intellectual Property Rights" means all patents, copyrights, trademarks, trade secrets, and other intellectual property rights.</w:t>
      </w:r>
    </w:p>
    <w:p>
      <w:pPr>
        <w:pStyle w:val="ListParagraph"/>
        <w:numPr>
          <w:ilvl w:val="0"/>
          <w:numId w:val="2"/>
        </w:numPr>
        <w:spacing w:after="120"/>
      </w:pPr>
      <w:r>
        <w:rPr>
          <w:sz w:val="22"/>
          <w:szCs w:val="22"/>
        </w:rPr>
        <w:t xml:space="preserve">"Net Revenue" means gross revenue received from Customers for the Platform, less applicable taxes, refunds, and chargebacks.</w:t>
      </w:r>
    </w:p>
    <w:p>
      <w:pPr>
        <w:pStyle w:val="ListParagraph"/>
        <w:numPr>
          <w:ilvl w:val="0"/>
          <w:numId w:val="2"/>
        </w:numPr>
        <w:spacing w:after="120"/>
      </w:pPr>
      <w:r>
        <w:rPr>
          <w:sz w:val="22"/>
          <w:szCs w:val="22"/>
        </w:rPr>
        <w:t xml:space="preserve">"Partner Portal" means IVYAR's online portal providing Partner with access to resources, training, and deal registration.</w:t>
      </w:r>
    </w:p>
    <w:p>
      <w:pPr>
        <w:pStyle w:val="ListParagraph"/>
        <w:numPr>
          <w:ilvl w:val="0"/>
          <w:numId w:val="2"/>
        </w:numPr>
        <w:spacing w:after="120"/>
      </w:pPr>
      <w:r>
        <w:rPr>
          <w:sz w:val="22"/>
          <w:szCs w:val="22"/>
        </w:rPr>
        <w:t xml:space="preserve">"Platform" means the IVYAR governance, security, and defense software platform, including all modules and updates.</w:t>
      </w:r>
    </w:p>
    <w:p>
      <w:pPr>
        <w:pStyle w:val="ListParagraph"/>
        <w:numPr>
          <w:ilvl w:val="0"/>
          <w:numId w:val="2"/>
        </w:numPr>
        <w:spacing w:after="120"/>
      </w:pPr>
      <w:r>
        <w:rPr>
          <w:sz w:val="22"/>
          <w:szCs w:val="22"/>
        </w:rPr>
        <w:t xml:space="preserve">"Territory" means the geographic region(s) specified in Exhibit A where Partner is authorized to market the Platform.</w:t>
      </w:r>
    </w:p>
    <w:p>
      <w:pPr>
        <w:spacing w:before="360" w:after="120"/>
      </w:pPr>
      <w:r>
        <w:rPr>
          <w:b/>
          <w:bCs/>
          <w:sz w:val="24"/>
          <w:szCs w:val="24"/>
        </w:rPr>
        <w:t xml:space="preserve">ARTICLE 2</w:t>
      </w:r>
      <w:r>
        <w:rPr>
          <w:b/>
          <w:bCs/>
          <w:sz w:val="24"/>
          <w:szCs w:val="24"/>
        </w:rPr>
        <w:t xml:space="preserve">
PARTNERSHIP APPOINTMENT</w:t>
      </w:r>
    </w:p>
    <w:p>
      <w:pPr>
        <w:pStyle w:val="ListParagraph"/>
        <w:numPr>
          <w:ilvl w:val="0"/>
          <w:numId w:val="3"/>
        </w:numPr>
        <w:spacing w:after="120"/>
      </w:pPr>
      <w:r>
        <w:rPr>
          <w:sz w:val="22"/>
          <w:szCs w:val="22"/>
        </w:rPr>
        <w:t xml:space="preserve">Appointment. Subject to the terms of this Agreement, IVYAR hereby appoints Partner, and Partner accepts appointment, as a non-exclusive partner to market, promote, and resell the Platform within the Territory during the Term.</w:t>
      </w:r>
    </w:p>
    <w:p>
      <w:pPr>
        <w:pStyle w:val="ListParagraph"/>
        <w:numPr>
          <w:ilvl w:val="0"/>
          <w:numId w:val="3"/>
        </w:numPr>
        <w:spacing w:after="120"/>
      </w:pPr>
      <w:r>
        <w:rPr>
          <w:sz w:val="22"/>
          <w:szCs w:val="22"/>
        </w:rPr>
        <w:t xml:space="preserve">Partner Tier. Partner is appointed at the tier level specified in Exhibit A. Partner benefits, obligations, and commission rates vary by tier level.</w:t>
      </w:r>
    </w:p>
    <w:p>
      <w:pPr>
        <w:pStyle w:val="ListParagraph"/>
        <w:numPr>
          <w:ilvl w:val="0"/>
          <w:numId w:val="3"/>
        </w:numPr>
        <w:spacing w:after="120"/>
      </w:pPr>
      <w:r>
        <w:rPr>
          <w:sz w:val="22"/>
          <w:szCs w:val="22"/>
        </w:rPr>
        <w:t xml:space="preserve">Non-Exclusive Relationship. This appointment is non-exclusive. IVYAR reserves the right to appoint other partners, resellers, or distributors within the Territory and to sell directly to customers.</w:t>
      </w:r>
    </w:p>
    <w:p>
      <w:pPr>
        <w:pStyle w:val="ListParagraph"/>
        <w:numPr>
          <w:ilvl w:val="0"/>
          <w:numId w:val="3"/>
        </w:numPr>
        <w:spacing w:after="120"/>
      </w:pPr>
      <w:r>
        <w:rPr>
          <w:sz w:val="22"/>
          <w:szCs w:val="22"/>
        </w:rPr>
        <w:t xml:space="preserve">No Agency. Partner is an independent contractor and not an agent, employee, or legal representative of IVYAR. Partner has no authority to bind IVYAR or create any obligation on IVYAR's behalf.</w:t>
      </w:r>
    </w:p>
    <w:p>
      <w:pPr>
        <w:spacing w:before="360" w:after="120"/>
      </w:pPr>
      <w:r>
        <w:rPr>
          <w:b/>
          <w:bCs/>
          <w:sz w:val="24"/>
          <w:szCs w:val="24"/>
        </w:rPr>
        <w:t xml:space="preserve">ARTICLE 3</w:t>
      </w:r>
      <w:r>
        <w:rPr>
          <w:b/>
          <w:bCs/>
          <w:sz w:val="24"/>
          <w:szCs w:val="24"/>
        </w:rPr>
        <w:t xml:space="preserve">
PARTNER OBLIGATIONS</w:t>
      </w:r>
    </w:p>
    <w:p>
      <w:pPr>
        <w:pStyle w:val="ListParagraph"/>
        <w:numPr>
          <w:ilvl w:val="0"/>
          <w:numId w:val="4"/>
        </w:numPr>
        <w:spacing w:after="120"/>
      </w:pPr>
      <w:r>
        <w:rPr>
          <w:sz w:val="22"/>
          <w:szCs w:val="22"/>
        </w:rPr>
        <w:t xml:space="preserve">Marketing and Promotion. Partner shall use commercially reasonable efforts to:</w:t>
      </w:r>
    </w:p>
    <w:p>
      <w:pPr>
        <w:pStyle w:val="ListParagraph"/>
        <w:numPr>
          <w:ilvl w:val="0"/>
          <w:numId w:val="5"/>
        </w:numPr>
        <w:spacing w:after="80"/>
      </w:pPr>
      <w:r>
        <w:rPr>
          <w:sz w:val="22"/>
          <w:szCs w:val="22"/>
        </w:rPr>
        <w:t xml:space="preserve">Actively market and promote the Platform within the Territory;</w:t>
      </w:r>
    </w:p>
    <w:p>
      <w:pPr>
        <w:pStyle w:val="ListParagraph"/>
        <w:numPr>
          <w:ilvl w:val="0"/>
          <w:numId w:val="5"/>
        </w:numPr>
        <w:spacing w:after="80"/>
      </w:pPr>
      <w:r>
        <w:rPr>
          <w:sz w:val="22"/>
          <w:szCs w:val="22"/>
        </w:rPr>
        <w:t xml:space="preserve">Maintain adequate sales and technical resources to support Customers;</w:t>
      </w:r>
    </w:p>
    <w:p>
      <w:pPr>
        <w:pStyle w:val="ListParagraph"/>
        <w:numPr>
          <w:ilvl w:val="0"/>
          <w:numId w:val="5"/>
        </w:numPr>
        <w:spacing w:after="80"/>
      </w:pPr>
      <w:r>
        <w:rPr>
          <w:sz w:val="22"/>
          <w:szCs w:val="22"/>
        </w:rPr>
        <w:t xml:space="preserve">Participate in IVYAR partner programs and marketing initiatives;</w:t>
      </w:r>
    </w:p>
    <w:p>
      <w:pPr>
        <w:pStyle w:val="ListParagraph"/>
        <w:numPr>
          <w:ilvl w:val="0"/>
          <w:numId w:val="5"/>
        </w:numPr>
        <w:spacing w:after="80"/>
      </w:pPr>
      <w:r>
        <w:rPr>
          <w:sz w:val="22"/>
          <w:szCs w:val="22"/>
        </w:rPr>
        <w:t xml:space="preserve">Attend required training and certification programs;</w:t>
      </w:r>
    </w:p>
    <w:p>
      <w:pPr>
        <w:pStyle w:val="ListParagraph"/>
        <w:numPr>
          <w:ilvl w:val="0"/>
          <w:numId w:val="5"/>
        </w:numPr>
        <w:spacing w:after="80"/>
      </w:pPr>
      <w:r>
        <w:rPr>
          <w:sz w:val="22"/>
          <w:szCs w:val="22"/>
        </w:rPr>
        <w:t xml:space="preserve">Provide regular pipeline and forecast reports to IVYAR.</w:t>
      </w:r>
    </w:p>
    <w:p>
      <w:pPr>
        <w:pStyle w:val="ListParagraph"/>
        <w:numPr>
          <w:ilvl w:val="0"/>
          <w:numId w:val="4"/>
        </w:numPr>
        <w:spacing w:after="120"/>
      </w:pPr>
      <w:r>
        <w:rPr>
          <w:sz w:val="22"/>
          <w:szCs w:val="22"/>
        </w:rPr>
        <w:t xml:space="preserve">Deal Registration. Partner shall register all prospective Customer opportunities through the Partner Portal prior to engagement. IVYAR will confirm registration within five (5) business days.</w:t>
      </w:r>
    </w:p>
    <w:p>
      <w:pPr>
        <w:pStyle w:val="ListParagraph"/>
        <w:numPr>
          <w:ilvl w:val="0"/>
          <w:numId w:val="4"/>
        </w:numPr>
        <w:spacing w:after="120"/>
      </w:pPr>
      <w:r>
        <w:rPr>
          <w:sz w:val="22"/>
          <w:szCs w:val="22"/>
        </w:rPr>
        <w:t xml:space="preserve">Customer Support. Partner shall provide first-level support to Customers, including:</w:t>
      </w:r>
    </w:p>
    <w:p>
      <w:pPr>
        <w:pStyle w:val="ListParagraph"/>
        <w:numPr>
          <w:ilvl w:val="0"/>
          <w:numId w:val="5"/>
        </w:numPr>
        <w:spacing w:after="80"/>
      </w:pPr>
      <w:r>
        <w:rPr>
          <w:sz w:val="22"/>
          <w:szCs w:val="22"/>
        </w:rPr>
        <w:t xml:space="preserve">Initial technical support and troubleshooting;</w:t>
      </w:r>
    </w:p>
    <w:p>
      <w:pPr>
        <w:pStyle w:val="ListParagraph"/>
        <w:numPr>
          <w:ilvl w:val="0"/>
          <w:numId w:val="5"/>
        </w:numPr>
        <w:spacing w:after="80"/>
      </w:pPr>
      <w:r>
        <w:rPr>
          <w:sz w:val="22"/>
          <w:szCs w:val="22"/>
        </w:rPr>
        <w:t xml:space="preserve">Product demonstrations and training;</w:t>
      </w:r>
    </w:p>
    <w:p>
      <w:pPr>
        <w:pStyle w:val="ListParagraph"/>
        <w:numPr>
          <w:ilvl w:val="0"/>
          <w:numId w:val="5"/>
        </w:numPr>
        <w:spacing w:after="80"/>
      </w:pPr>
      <w:r>
        <w:rPr>
          <w:sz w:val="22"/>
          <w:szCs w:val="22"/>
        </w:rPr>
        <w:t xml:space="preserve">Escalation of complex issues to IVYAR support;</w:t>
      </w:r>
    </w:p>
    <w:p>
      <w:pPr>
        <w:pStyle w:val="ListParagraph"/>
        <w:numPr>
          <w:ilvl w:val="0"/>
          <w:numId w:val="5"/>
        </w:numPr>
        <w:spacing w:after="80"/>
      </w:pPr>
      <w:r>
        <w:rPr>
          <w:sz w:val="22"/>
          <w:szCs w:val="22"/>
        </w:rPr>
        <w:t xml:space="preserve">Communication of Customer feedback to IVYAR.</w:t>
      </w:r>
    </w:p>
    <w:p>
      <w:pPr>
        <w:pStyle w:val="ListParagraph"/>
        <w:numPr>
          <w:ilvl w:val="0"/>
          <w:numId w:val="4"/>
        </w:numPr>
        <w:spacing w:after="120"/>
      </w:pPr>
      <w:r>
        <w:rPr>
          <w:sz w:val="22"/>
          <w:szCs w:val="22"/>
        </w:rPr>
        <w:t xml:space="preserve">Compliance. Partner shall comply with all applicable laws, regulations, and industry standards, including export control laws, anti-corruption laws, and data protection regulations.</w:t>
      </w:r>
    </w:p>
    <w:p>
      <w:pPr>
        <w:pStyle w:val="ListParagraph"/>
        <w:numPr>
          <w:ilvl w:val="0"/>
          <w:numId w:val="4"/>
        </w:numPr>
        <w:spacing w:after="120"/>
      </w:pPr>
      <w:r>
        <w:rPr>
          <w:sz w:val="22"/>
          <w:szCs w:val="22"/>
        </w:rPr>
        <w:t xml:space="preserve">Personnel. Partner shall maintain qualified personnel with appropriate certifications to effectively market and support the Platform.</w:t>
      </w:r>
    </w:p>
    <w:p>
      <w:pPr>
        <w:spacing w:before="360" w:after="120"/>
      </w:pPr>
      <w:r>
        <w:rPr>
          <w:b/>
          <w:bCs/>
          <w:sz w:val="24"/>
          <w:szCs w:val="24"/>
        </w:rPr>
        <w:t xml:space="preserve">ARTICLE 4</w:t>
      </w:r>
      <w:r>
        <w:rPr>
          <w:b/>
          <w:bCs/>
          <w:sz w:val="24"/>
          <w:szCs w:val="24"/>
        </w:rPr>
        <w:t xml:space="preserve">
IVYAR OBLIGATIONS</w:t>
      </w:r>
    </w:p>
    <w:p>
      <w:pPr>
        <w:pStyle w:val="ListParagraph"/>
        <w:numPr>
          <w:ilvl w:val="0"/>
          <w:numId w:val="6"/>
        </w:numPr>
        <w:spacing w:after="120"/>
      </w:pPr>
      <w:r>
        <w:rPr>
          <w:sz w:val="22"/>
          <w:szCs w:val="22"/>
        </w:rPr>
        <w:t xml:space="preserve">Platform Access. IVYAR shall provide Partner with access to:</w:t>
      </w:r>
    </w:p>
    <w:p>
      <w:pPr>
        <w:pStyle w:val="ListParagraph"/>
        <w:numPr>
          <w:ilvl w:val="0"/>
          <w:numId w:val="5"/>
        </w:numPr>
        <w:spacing w:after="80"/>
      </w:pPr>
      <w:r>
        <w:rPr>
          <w:sz w:val="22"/>
          <w:szCs w:val="22"/>
        </w:rPr>
        <w:t xml:space="preserve">Partner Portal with sales and marketing resources;</w:t>
      </w:r>
    </w:p>
    <w:p>
      <w:pPr>
        <w:pStyle w:val="ListParagraph"/>
        <w:numPr>
          <w:ilvl w:val="0"/>
          <w:numId w:val="5"/>
        </w:numPr>
        <w:spacing w:after="80"/>
      </w:pPr>
      <w:r>
        <w:rPr>
          <w:sz w:val="22"/>
          <w:szCs w:val="22"/>
        </w:rPr>
        <w:t xml:space="preserve">Demo environments and evaluation licenses;</w:t>
      </w:r>
    </w:p>
    <w:p>
      <w:pPr>
        <w:pStyle w:val="ListParagraph"/>
        <w:numPr>
          <w:ilvl w:val="0"/>
          <w:numId w:val="5"/>
        </w:numPr>
        <w:spacing w:after="80"/>
      </w:pPr>
      <w:r>
        <w:rPr>
          <w:sz w:val="22"/>
          <w:szCs w:val="22"/>
        </w:rPr>
        <w:t xml:space="preserve">Technical documentation and training materials;</w:t>
      </w:r>
    </w:p>
    <w:p>
      <w:pPr>
        <w:pStyle w:val="ListParagraph"/>
        <w:numPr>
          <w:ilvl w:val="0"/>
          <w:numId w:val="5"/>
        </w:numPr>
        <w:spacing w:after="80"/>
      </w:pPr>
      <w:r>
        <w:rPr>
          <w:sz w:val="22"/>
          <w:szCs w:val="22"/>
        </w:rPr>
        <w:t xml:space="preserve">Partner-specific pricing and promotions.</w:t>
      </w:r>
    </w:p>
    <w:p>
      <w:pPr>
        <w:pStyle w:val="ListParagraph"/>
        <w:numPr>
          <w:ilvl w:val="0"/>
          <w:numId w:val="6"/>
        </w:numPr>
        <w:spacing w:after="120"/>
      </w:pPr>
      <w:r>
        <w:rPr>
          <w:sz w:val="22"/>
          <w:szCs w:val="22"/>
        </w:rPr>
        <w:t xml:space="preserve">Training and Certification. IVYAR shall provide Partner with:</w:t>
      </w:r>
    </w:p>
    <w:p>
      <w:pPr>
        <w:pStyle w:val="ListParagraph"/>
        <w:numPr>
          <w:ilvl w:val="0"/>
          <w:numId w:val="5"/>
        </w:numPr>
        <w:spacing w:after="80"/>
      </w:pPr>
      <w:r>
        <w:rPr>
          <w:sz w:val="22"/>
          <w:szCs w:val="22"/>
        </w:rPr>
        <w:t xml:space="preserve">Initial onboarding and sales training;</w:t>
      </w:r>
    </w:p>
    <w:p>
      <w:pPr>
        <w:pStyle w:val="ListParagraph"/>
        <w:numPr>
          <w:ilvl w:val="0"/>
          <w:numId w:val="5"/>
        </w:numPr>
        <w:spacing w:after="80"/>
      </w:pPr>
      <w:r>
        <w:rPr>
          <w:sz w:val="22"/>
          <w:szCs w:val="22"/>
        </w:rPr>
        <w:t xml:space="preserve">Technical certification programs;</w:t>
      </w:r>
    </w:p>
    <w:p>
      <w:pPr>
        <w:pStyle w:val="ListParagraph"/>
        <w:numPr>
          <w:ilvl w:val="0"/>
          <w:numId w:val="5"/>
        </w:numPr>
        <w:spacing w:after="80"/>
      </w:pPr>
      <w:r>
        <w:rPr>
          <w:sz w:val="22"/>
          <w:szCs w:val="22"/>
        </w:rPr>
        <w:t xml:space="preserve">Ongoing product updates and training;</w:t>
      </w:r>
    </w:p>
    <w:p>
      <w:pPr>
        <w:pStyle w:val="ListParagraph"/>
        <w:numPr>
          <w:ilvl w:val="0"/>
          <w:numId w:val="5"/>
        </w:numPr>
        <w:spacing w:after="80"/>
      </w:pPr>
      <w:r>
        <w:rPr>
          <w:sz w:val="22"/>
          <w:szCs w:val="22"/>
        </w:rPr>
        <w:t xml:space="preserve">Access to partner events and conferences.</w:t>
      </w:r>
    </w:p>
    <w:p>
      <w:pPr>
        <w:pStyle w:val="ListParagraph"/>
        <w:numPr>
          <w:ilvl w:val="0"/>
          <w:numId w:val="6"/>
        </w:numPr>
        <w:spacing w:after="120"/>
      </w:pPr>
      <w:r>
        <w:rPr>
          <w:sz w:val="22"/>
          <w:szCs w:val="22"/>
        </w:rPr>
        <w:t xml:space="preserve">Sales Support. IVYAR shall provide reasonable sales support, including:</w:t>
      </w:r>
    </w:p>
    <w:p>
      <w:pPr>
        <w:pStyle w:val="ListParagraph"/>
        <w:numPr>
          <w:ilvl w:val="0"/>
          <w:numId w:val="5"/>
        </w:numPr>
        <w:spacing w:after="80"/>
      </w:pPr>
      <w:r>
        <w:rPr>
          <w:sz w:val="22"/>
          <w:szCs w:val="22"/>
        </w:rPr>
        <w:t xml:space="preserve">Pre-sales technical assistance;</w:t>
      </w:r>
    </w:p>
    <w:p>
      <w:pPr>
        <w:pStyle w:val="ListParagraph"/>
        <w:numPr>
          <w:ilvl w:val="0"/>
          <w:numId w:val="5"/>
        </w:numPr>
        <w:spacing w:after="80"/>
      </w:pPr>
      <w:r>
        <w:rPr>
          <w:sz w:val="22"/>
          <w:szCs w:val="22"/>
        </w:rPr>
        <w:t xml:space="preserve">Proposal and RFP support;</w:t>
      </w:r>
    </w:p>
    <w:p>
      <w:pPr>
        <w:pStyle w:val="ListParagraph"/>
        <w:numPr>
          <w:ilvl w:val="0"/>
          <w:numId w:val="5"/>
        </w:numPr>
        <w:spacing w:after="80"/>
      </w:pPr>
      <w:r>
        <w:rPr>
          <w:sz w:val="22"/>
          <w:szCs w:val="22"/>
        </w:rPr>
        <w:t xml:space="preserve">Executive engagement for strategic opportunities;</w:t>
      </w:r>
    </w:p>
    <w:p>
      <w:pPr>
        <w:pStyle w:val="ListParagraph"/>
        <w:numPr>
          <w:ilvl w:val="0"/>
          <w:numId w:val="5"/>
        </w:numPr>
        <w:spacing w:after="80"/>
      </w:pPr>
      <w:r>
        <w:rPr>
          <w:sz w:val="22"/>
          <w:szCs w:val="22"/>
        </w:rPr>
        <w:t xml:space="preserve">Marketing development funds (MDF) per Exhibit A.</w:t>
      </w:r>
    </w:p>
    <w:p>
      <w:pPr>
        <w:pStyle w:val="ListParagraph"/>
        <w:numPr>
          <w:ilvl w:val="0"/>
          <w:numId w:val="6"/>
        </w:numPr>
        <w:spacing w:after="120"/>
      </w:pPr>
      <w:r>
        <w:rPr>
          <w:sz w:val="22"/>
          <w:szCs w:val="22"/>
        </w:rPr>
        <w:t xml:space="preserve">Platform Maintenance. IVYAR shall maintain the Platform, provide updates, and ensure reasonable availability in accordance with its standard service level agreements.</w:t>
      </w:r>
    </w:p>
    <w:p>
      <w:r>
        <w:br w:type="page"/>
      </w:r>
    </w:p>
    <w:p>
      <w:pPr>
        <w:spacing w:before="360" w:after="120"/>
      </w:pPr>
      <w:r>
        <w:rPr>
          <w:b/>
          <w:bCs/>
          <w:sz w:val="24"/>
          <w:szCs w:val="24"/>
        </w:rPr>
        <w:t xml:space="preserve">ARTICLE 5</w:t>
      </w:r>
      <w:r>
        <w:rPr>
          <w:b/>
          <w:bCs/>
          <w:sz w:val="24"/>
          <w:szCs w:val="24"/>
        </w:rPr>
        <w:t xml:space="preserve">
COMPENSATION AND PAYMENT</w:t>
      </w:r>
    </w:p>
    <w:p>
      <w:pPr>
        <w:pStyle w:val="ListParagraph"/>
        <w:numPr>
          <w:ilvl w:val="0"/>
          <w:numId w:val="7"/>
        </w:numPr>
        <w:spacing w:after="120"/>
      </w:pPr>
      <w:r>
        <w:rPr>
          <w:sz w:val="22"/>
          <w:szCs w:val="22"/>
        </w:rPr>
        <w:t xml:space="preserve">Commission Structure. Partner shall earn commissions on Net Revenue from Customer contracts as specified in Exhibit A. Commission rates vary based on:</w:t>
      </w:r>
    </w:p>
    <w:p>
      <w:pPr>
        <w:pStyle w:val="ListParagraph"/>
        <w:numPr>
          <w:ilvl w:val="0"/>
          <w:numId w:val="5"/>
        </w:numPr>
        <w:spacing w:after="80"/>
      </w:pPr>
      <w:r>
        <w:rPr>
          <w:sz w:val="22"/>
          <w:szCs w:val="22"/>
        </w:rPr>
        <w:t xml:space="preserve">Partner tier level;</w:t>
      </w:r>
    </w:p>
    <w:p>
      <w:pPr>
        <w:pStyle w:val="ListParagraph"/>
        <w:numPr>
          <w:ilvl w:val="0"/>
          <w:numId w:val="5"/>
        </w:numPr>
        <w:spacing w:after="80"/>
      </w:pPr>
      <w:r>
        <w:rPr>
          <w:sz w:val="22"/>
          <w:szCs w:val="22"/>
        </w:rPr>
        <w:t xml:space="preserve">Deal registration status;</w:t>
      </w:r>
    </w:p>
    <w:p>
      <w:pPr>
        <w:pStyle w:val="ListParagraph"/>
        <w:numPr>
          <w:ilvl w:val="0"/>
          <w:numId w:val="5"/>
        </w:numPr>
        <w:spacing w:after="80"/>
      </w:pPr>
      <w:r>
        <w:rPr>
          <w:sz w:val="22"/>
          <w:szCs w:val="22"/>
        </w:rPr>
        <w:t xml:space="preserve">Contract type (new vs. renewal);</w:t>
      </w:r>
    </w:p>
    <w:p>
      <w:pPr>
        <w:pStyle w:val="ListParagraph"/>
        <w:numPr>
          <w:ilvl w:val="0"/>
          <w:numId w:val="5"/>
        </w:numPr>
        <w:spacing w:after="80"/>
      </w:pPr>
      <w:r>
        <w:rPr>
          <w:sz w:val="22"/>
          <w:szCs w:val="22"/>
        </w:rPr>
        <w:t xml:space="preserve">Product or module sold.</w:t>
      </w:r>
    </w:p>
    <w:p>
      <w:pPr>
        <w:pStyle w:val="ListParagraph"/>
        <w:numPr>
          <w:ilvl w:val="0"/>
          <w:numId w:val="7"/>
        </w:numPr>
        <w:spacing w:after="120"/>
      </w:pPr>
      <w:r>
        <w:rPr>
          <w:sz w:val="22"/>
          <w:szCs w:val="22"/>
        </w:rPr>
        <w:t xml:space="preserve">Commission Calculation. Commissions shall be calculated as follows: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60"/>
      </w:tblGrid>
      <w:tr>
        <w:tc>
          <w:tcPr>
            <w:tcW w:type="dxa" w:w="3500"/>
            <w:tcBorders>
              <w:top w:val="single" w:color="CCCCCC" w:sz="1"/>
              <w:left w:val="single" w:color="CCCCCC" w:sz="1"/>
              <w:bottom w:val="single" w:color="CCCCCC" w:sz="1"/>
              <w:right w:val="single" w:color="CCCCCC" w:sz="1"/>
            </w:tcBorders>
            <w:shd w:fill="1B365D" w:val="clear"/>
          </w:tcPr>
          <w:p>
            <w:r>
              <w:rPr>
                <w:b/>
                <w:bCs/>
                <w:color w:val="FFFFFF"/>
                <w:sz w:val="20"/>
                <w:szCs w:val="20"/>
              </w:rPr>
              <w:t xml:space="preserve">Partner Tier</w:t>
            </w:r>
          </w:p>
        </w:tc>
        <w:tc>
          <w:tcPr>
            <w:tcW w:type="dxa" w:w="2900"/>
            <w:tcBorders>
              <w:top w:val="single" w:color="CCCCCC" w:sz="1"/>
              <w:left w:val="single" w:color="CCCCCC" w:sz="1"/>
              <w:bottom w:val="single" w:color="CCCCCC" w:sz="1"/>
              <w:right w:val="single" w:color="CCCCCC" w:sz="1"/>
            </w:tcBorders>
            <w:shd w:fill="1B365D" w:val="clear"/>
          </w:tcPr>
          <w:p>
            <w:pPr>
              <w:jc w:val="center"/>
            </w:pPr>
            <w:r>
              <w:rPr>
                <w:b/>
                <w:bCs/>
                <w:color w:val="FFFFFF"/>
                <w:sz w:val="20"/>
                <w:szCs w:val="20"/>
              </w:rPr>
              <w:t xml:space="preserve">New Business</w:t>
            </w:r>
          </w:p>
        </w:tc>
        <w:tc>
          <w:tcPr>
            <w:tcW w:type="dxa" w:w="2960"/>
            <w:tcBorders>
              <w:top w:val="single" w:color="CCCCCC" w:sz="1"/>
              <w:left w:val="single" w:color="CCCCCC" w:sz="1"/>
              <w:bottom w:val="single" w:color="CCCCCC" w:sz="1"/>
              <w:right w:val="single" w:color="CCCCCC" w:sz="1"/>
            </w:tcBorders>
            <w:shd w:fill="1B365D" w:val="clear"/>
          </w:tcPr>
          <w:p>
            <w:pPr>
              <w:jc w:val="center"/>
            </w:pPr>
            <w:r>
              <w:rPr>
                <w:b/>
                <w:bCs/>
                <w:color w:val="FFFFFF"/>
                <w:sz w:val="20"/>
                <w:szCs w:val="20"/>
              </w:rPr>
              <w:t xml:space="preserve">Renewal</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Authorized Partner</w:t>
            </w:r>
          </w:p>
        </w:tc>
        <w:tc>
          <w:tcPr>
            <w:tcW w:type="dxa" w:w="2900"/>
            <w:tcBorders>
              <w:top w:val="single" w:color="CCCCCC" w:sz="1"/>
              <w:left w:val="single" w:color="CCCCCC" w:sz="1"/>
              <w:bottom w:val="single" w:color="CCCCCC" w:sz="1"/>
              <w:right w:val="single" w:color="CCCCCC" w:sz="1"/>
            </w:tcBorders>
          </w:tcPr>
          <w:p>
            <w:pPr>
              <w:jc w:val="center"/>
            </w:pPr>
            <w:r>
              <w:rPr>
                <w:sz w:val="20"/>
                <w:szCs w:val="20"/>
              </w:rPr>
              <w:t xml:space="preserve">15%</w:t>
            </w:r>
          </w:p>
        </w:tc>
        <w:tc>
          <w:tcPr>
            <w:tcW w:type="dxa" w:w="2960"/>
            <w:tcBorders>
              <w:top w:val="single" w:color="CCCCCC" w:sz="1"/>
              <w:left w:val="single" w:color="CCCCCC" w:sz="1"/>
              <w:bottom w:val="single" w:color="CCCCCC" w:sz="1"/>
              <w:right w:val="single" w:color="CCCCCC" w:sz="1"/>
            </w:tcBorders>
          </w:tcPr>
          <w:p>
            <w:pPr>
              <w:jc w:val="center"/>
            </w:pPr>
            <w:r>
              <w:rPr>
                <w:sz w:val="20"/>
                <w:szCs w:val="20"/>
              </w:rPr>
              <w:t xml:space="preserve">10%</w:t>
            </w:r>
          </w:p>
        </w:tc>
      </w:tr>
      <w:tr>
        <w:tc>
          <w:tcPr>
            <w:tcW w:type="dxa" w:w="3500"/>
            <w:tcBorders>
              <w:top w:val="single" w:color="CCCCCC" w:sz="1"/>
              <w:left w:val="single" w:color="CCCCCC" w:sz="1"/>
              <w:bottom w:val="single" w:color="CCCCCC" w:sz="1"/>
              <w:right w:val="single" w:color="CCCCCC" w:sz="1"/>
            </w:tcBorders>
            <w:shd w:fill="F8F9FA" w:val="clear"/>
          </w:tcPr>
          <w:p>
            <w:r>
              <w:rPr>
                <w:sz w:val="20"/>
                <w:szCs w:val="20"/>
              </w:rPr>
              <w:t xml:space="preserve">Silver Partner</w:t>
            </w:r>
          </w:p>
        </w:tc>
        <w:tc>
          <w:tcPr>
            <w:tcW w:type="dxa" w:w="2900"/>
            <w:tcBorders>
              <w:top w:val="single" w:color="CCCCCC" w:sz="1"/>
              <w:left w:val="single" w:color="CCCCCC" w:sz="1"/>
              <w:bottom w:val="single" w:color="CCCCCC" w:sz="1"/>
              <w:right w:val="single" w:color="CCCCCC" w:sz="1"/>
            </w:tcBorders>
            <w:shd w:fill="F8F9FA" w:val="clear"/>
          </w:tcPr>
          <w:p>
            <w:pPr>
              <w:jc w:val="center"/>
            </w:pPr>
            <w:r>
              <w:rPr>
                <w:sz w:val="20"/>
                <w:szCs w:val="20"/>
              </w:rPr>
              <w:t xml:space="preserve">20%</w:t>
            </w:r>
          </w:p>
        </w:tc>
        <w:tc>
          <w:tcPr>
            <w:tcW w:type="dxa" w:w="2960"/>
            <w:tcBorders>
              <w:top w:val="single" w:color="CCCCCC" w:sz="1"/>
              <w:left w:val="single" w:color="CCCCCC" w:sz="1"/>
              <w:bottom w:val="single" w:color="CCCCCC" w:sz="1"/>
              <w:right w:val="single" w:color="CCCCCC" w:sz="1"/>
            </w:tcBorders>
            <w:shd w:fill="F8F9FA" w:val="clear"/>
          </w:tcPr>
          <w:p>
            <w:pPr>
              <w:jc w:val="center"/>
            </w:pPr>
            <w:r>
              <w:rPr>
                <w:sz w:val="20"/>
                <w:szCs w:val="20"/>
              </w:rPr>
              <w:t xml:space="preserve">12%</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Gold Partner</w:t>
            </w:r>
          </w:p>
        </w:tc>
        <w:tc>
          <w:tcPr>
            <w:tcW w:type="dxa" w:w="2900"/>
            <w:tcBorders>
              <w:top w:val="single" w:color="CCCCCC" w:sz="1"/>
              <w:left w:val="single" w:color="CCCCCC" w:sz="1"/>
              <w:bottom w:val="single" w:color="CCCCCC" w:sz="1"/>
              <w:right w:val="single" w:color="CCCCCC" w:sz="1"/>
            </w:tcBorders>
          </w:tcPr>
          <w:p>
            <w:pPr>
              <w:jc w:val="center"/>
            </w:pPr>
            <w:r>
              <w:rPr>
                <w:sz w:val="20"/>
                <w:szCs w:val="20"/>
              </w:rPr>
              <w:t xml:space="preserve">25%</w:t>
            </w:r>
          </w:p>
        </w:tc>
        <w:tc>
          <w:tcPr>
            <w:tcW w:type="dxa" w:w="2960"/>
            <w:tcBorders>
              <w:top w:val="single" w:color="CCCCCC" w:sz="1"/>
              <w:left w:val="single" w:color="CCCCCC" w:sz="1"/>
              <w:bottom w:val="single" w:color="CCCCCC" w:sz="1"/>
              <w:right w:val="single" w:color="CCCCCC" w:sz="1"/>
            </w:tcBorders>
          </w:tcPr>
          <w:p>
            <w:pPr>
              <w:jc w:val="center"/>
            </w:pPr>
            <w:r>
              <w:rPr>
                <w:sz w:val="20"/>
                <w:szCs w:val="20"/>
              </w:rPr>
              <w:t xml:space="preserve">15%</w:t>
            </w:r>
          </w:p>
        </w:tc>
      </w:tr>
      <w:tr>
        <w:tc>
          <w:tcPr>
            <w:tcW w:type="dxa" w:w="3500"/>
            <w:tcBorders>
              <w:top w:val="single" w:color="CCCCCC" w:sz="1"/>
              <w:left w:val="single" w:color="CCCCCC" w:sz="1"/>
              <w:bottom w:val="single" w:color="CCCCCC" w:sz="1"/>
              <w:right w:val="single" w:color="CCCCCC" w:sz="1"/>
            </w:tcBorders>
            <w:shd w:fill="F8F9FA" w:val="clear"/>
          </w:tcPr>
          <w:p>
            <w:r>
              <w:rPr>
                <w:sz w:val="20"/>
                <w:szCs w:val="20"/>
              </w:rPr>
              <w:t xml:space="preserve">Platinum Partner</w:t>
            </w:r>
          </w:p>
        </w:tc>
        <w:tc>
          <w:tcPr>
            <w:tcW w:type="dxa" w:w="2900"/>
            <w:tcBorders>
              <w:top w:val="single" w:color="CCCCCC" w:sz="1"/>
              <w:left w:val="single" w:color="CCCCCC" w:sz="1"/>
              <w:bottom w:val="single" w:color="CCCCCC" w:sz="1"/>
              <w:right w:val="single" w:color="CCCCCC" w:sz="1"/>
            </w:tcBorders>
            <w:shd w:fill="F8F9FA" w:val="clear"/>
          </w:tcPr>
          <w:p>
            <w:pPr>
              <w:jc w:val="center"/>
            </w:pPr>
            <w:r>
              <w:rPr>
                <w:sz w:val="20"/>
                <w:szCs w:val="20"/>
              </w:rPr>
              <w:t xml:space="preserve">30%</w:t>
            </w:r>
          </w:p>
        </w:tc>
        <w:tc>
          <w:tcPr>
            <w:tcW w:type="dxa" w:w="2960"/>
            <w:tcBorders>
              <w:top w:val="single" w:color="CCCCCC" w:sz="1"/>
              <w:left w:val="single" w:color="CCCCCC" w:sz="1"/>
              <w:bottom w:val="single" w:color="CCCCCC" w:sz="1"/>
              <w:right w:val="single" w:color="CCCCCC" w:sz="1"/>
            </w:tcBorders>
            <w:shd w:fill="F8F9FA" w:val="clear"/>
          </w:tcPr>
          <w:p>
            <w:pPr>
              <w:jc w:val="center"/>
            </w:pPr>
            <w:r>
              <w:rPr>
                <w:sz w:val="20"/>
                <w:szCs w:val="20"/>
              </w:rPr>
              <w:t xml:space="preserve">18%</w:t>
            </w:r>
          </w:p>
        </w:tc>
      </w:tr>
    </w:tbl>
    <w:p>
      <w:pPr>
        <w:spacing w:before="160"/>
      </w:pPr>
    </w:p>
    <w:p>
      <w:pPr>
        <w:pStyle w:val="ListParagraph"/>
        <w:numPr>
          <w:ilvl w:val="0"/>
          <w:numId w:val="7"/>
        </w:numPr>
        <w:spacing w:after="120"/>
      </w:pPr>
      <w:r>
        <w:rPr>
          <w:sz w:val="22"/>
          <w:szCs w:val="22"/>
        </w:rPr>
        <w:t xml:space="preserve">Payment Terms. IVYAR shall pay commissions within thirty (30) days following the end of each calendar quarter for all Net Revenue received during such quarter.</w:t>
      </w:r>
    </w:p>
    <w:p>
      <w:pPr>
        <w:pStyle w:val="ListParagraph"/>
        <w:numPr>
          <w:ilvl w:val="0"/>
          <w:numId w:val="7"/>
        </w:numPr>
        <w:spacing w:after="120"/>
      </w:pPr>
      <w:r>
        <w:rPr>
          <w:sz w:val="22"/>
          <w:szCs w:val="22"/>
        </w:rPr>
        <w:t xml:space="preserve">Payment Method. Payments shall be made via wire transfer to the account designated by Partner in writing.</w:t>
      </w:r>
    </w:p>
    <w:p>
      <w:pPr>
        <w:pStyle w:val="ListParagraph"/>
        <w:numPr>
          <w:ilvl w:val="0"/>
          <w:numId w:val="7"/>
        </w:numPr>
        <w:spacing w:after="120"/>
      </w:pPr>
      <w:r>
        <w:rPr>
          <w:sz w:val="22"/>
          <w:szCs w:val="22"/>
        </w:rPr>
        <w:t xml:space="preserve">Taxes. Partner is responsible for all taxes on commissions received. Partner shall provide appropriate tax documentation (W-9 or W-8BEN) upon request.</w:t>
      </w:r>
    </w:p>
    <w:p>
      <w:pPr>
        <w:pStyle w:val="ListParagraph"/>
        <w:numPr>
          <w:ilvl w:val="0"/>
          <w:numId w:val="7"/>
        </w:numPr>
        <w:spacing w:after="120"/>
      </w:pPr>
      <w:r>
        <w:rPr>
          <w:sz w:val="22"/>
          <w:szCs w:val="22"/>
        </w:rPr>
        <w:t xml:space="preserve">Audit Rights. IVYAR shall maintain accurate records of all transactions. Partner may audit such records upon reasonable notice, no more than once per year.</w:t>
      </w:r>
    </w:p>
    <w:p>
      <w:pPr>
        <w:spacing w:before="360" w:after="120"/>
      </w:pPr>
      <w:r>
        <w:rPr>
          <w:b/>
          <w:bCs/>
          <w:sz w:val="24"/>
          <w:szCs w:val="24"/>
        </w:rPr>
        <w:t xml:space="preserve">ARTICLE 6</w:t>
      </w:r>
      <w:r>
        <w:rPr>
          <w:b/>
          <w:bCs/>
          <w:sz w:val="24"/>
          <w:szCs w:val="24"/>
        </w:rPr>
        <w:t xml:space="preserve">
INTELLECTUAL PROPERTY</w:t>
      </w:r>
    </w:p>
    <w:p>
      <w:pPr>
        <w:pStyle w:val="ListParagraph"/>
        <w:numPr>
          <w:ilvl w:val="0"/>
          <w:numId w:val="8"/>
        </w:numPr>
        <w:spacing w:after="120"/>
      </w:pPr>
      <w:r>
        <w:rPr>
          <w:sz w:val="22"/>
          <w:szCs w:val="22"/>
        </w:rPr>
        <w:t xml:space="preserve">IVYAR IP. IVYAR retains all right, title, and interest in the Platform, Documentation, trademarks, and all related Intellectual Property Rights. Nothing in this Agreement transfers any ownership of IVYAR IP to Partner.</w:t>
      </w:r>
    </w:p>
    <w:p>
      <w:pPr>
        <w:pStyle w:val="ListParagraph"/>
        <w:numPr>
          <w:ilvl w:val="0"/>
          <w:numId w:val="8"/>
        </w:numPr>
        <w:spacing w:after="120"/>
      </w:pPr>
      <w:r>
        <w:rPr>
          <w:sz w:val="22"/>
          <w:szCs w:val="22"/>
        </w:rPr>
        <w:t xml:space="preserve">Trademark License. IVYAR grants Partner a limited, non-exclusive, non-transferable license to use IVYAR's trademarks and logos solely for marketing the Platform in accordance with IVYAR's brand guidelines.</w:t>
      </w:r>
    </w:p>
    <w:p>
      <w:pPr>
        <w:pStyle w:val="ListParagraph"/>
        <w:numPr>
          <w:ilvl w:val="0"/>
          <w:numId w:val="8"/>
        </w:numPr>
        <w:spacing w:after="120"/>
      </w:pPr>
      <w:r>
        <w:rPr>
          <w:sz w:val="22"/>
          <w:szCs w:val="22"/>
        </w:rPr>
        <w:t xml:space="preserve">Partner IP. Partner retains all right, title, and interest in Partner's pre-existing intellectual property and any materials independently developed by Partner.</w:t>
      </w:r>
    </w:p>
    <w:p>
      <w:pPr>
        <w:pStyle w:val="ListParagraph"/>
        <w:numPr>
          <w:ilvl w:val="0"/>
          <w:numId w:val="8"/>
        </w:numPr>
        <w:spacing w:after="120"/>
      </w:pPr>
      <w:r>
        <w:rPr>
          <w:sz w:val="22"/>
          <w:szCs w:val="22"/>
        </w:rPr>
        <w:t xml:space="preserve">Joint Developments. Any intellectual property jointly developed by the Parties shall be owned as specified in a separate written agreement. In the absence of such agreement, IVYAR shall own all jointly developed IP.</w:t>
      </w:r>
    </w:p>
    <w:p>
      <w:pPr>
        <w:pStyle w:val="ListParagraph"/>
        <w:numPr>
          <w:ilvl w:val="0"/>
          <w:numId w:val="8"/>
        </w:numPr>
        <w:spacing w:after="120"/>
      </w:pPr>
      <w:r>
        <w:rPr>
          <w:sz w:val="22"/>
          <w:szCs w:val="22"/>
        </w:rPr>
        <w:t xml:space="preserve">Restrictions. Partner shall not:</w:t>
      </w:r>
    </w:p>
    <w:p>
      <w:pPr>
        <w:pStyle w:val="ListParagraph"/>
        <w:numPr>
          <w:ilvl w:val="0"/>
          <w:numId w:val="5"/>
        </w:numPr>
        <w:spacing w:after="80"/>
      </w:pPr>
      <w:r>
        <w:rPr>
          <w:sz w:val="22"/>
          <w:szCs w:val="22"/>
        </w:rPr>
        <w:t xml:space="preserve">Modify, adapt, or create derivative works of the Platform;</w:t>
      </w:r>
    </w:p>
    <w:p>
      <w:pPr>
        <w:pStyle w:val="ListParagraph"/>
        <w:numPr>
          <w:ilvl w:val="0"/>
          <w:numId w:val="5"/>
        </w:numPr>
        <w:spacing w:after="80"/>
      </w:pPr>
      <w:r>
        <w:rPr>
          <w:sz w:val="22"/>
          <w:szCs w:val="22"/>
        </w:rPr>
        <w:t xml:space="preserve">Reverse engineer, decompile, or disassemble the Platform;</w:t>
      </w:r>
    </w:p>
    <w:p>
      <w:pPr>
        <w:pStyle w:val="ListParagraph"/>
        <w:numPr>
          <w:ilvl w:val="0"/>
          <w:numId w:val="5"/>
        </w:numPr>
        <w:spacing w:after="80"/>
      </w:pPr>
      <w:r>
        <w:rPr>
          <w:sz w:val="22"/>
          <w:szCs w:val="22"/>
        </w:rPr>
        <w:t xml:space="preserve">Remove or alter any proprietary notices;</w:t>
      </w:r>
    </w:p>
    <w:p>
      <w:pPr>
        <w:pStyle w:val="ListParagraph"/>
        <w:numPr>
          <w:ilvl w:val="0"/>
          <w:numId w:val="5"/>
        </w:numPr>
        <w:spacing w:after="80"/>
      </w:pPr>
      <w:r>
        <w:rPr>
          <w:sz w:val="22"/>
          <w:szCs w:val="22"/>
        </w:rPr>
        <w:t xml:space="preserve">Use IVYAR trademarks except as expressly authorized.</w:t>
      </w:r>
    </w:p>
    <w:p>
      <w:pPr>
        <w:spacing w:before="360" w:after="120"/>
      </w:pPr>
      <w:r>
        <w:rPr>
          <w:b/>
          <w:bCs/>
          <w:sz w:val="24"/>
          <w:szCs w:val="24"/>
        </w:rPr>
        <w:t xml:space="preserve">ARTICLE 7</w:t>
      </w:r>
      <w:r>
        <w:rPr>
          <w:b/>
          <w:bCs/>
          <w:sz w:val="24"/>
          <w:szCs w:val="24"/>
        </w:rPr>
        <w:t xml:space="preserve">
CONFIDENTIALITY</w:t>
      </w:r>
    </w:p>
    <w:p>
      <w:pPr>
        <w:pStyle w:val="ListParagraph"/>
        <w:numPr>
          <w:ilvl w:val="0"/>
          <w:numId w:val="9"/>
        </w:numPr>
        <w:spacing w:after="120"/>
      </w:pPr>
      <w:r>
        <w:rPr>
          <w:sz w:val="22"/>
          <w:szCs w:val="22"/>
        </w:rPr>
        <w:t xml:space="preserve">Confidentiality Obligations. Each Party agrees to:</w:t>
      </w:r>
    </w:p>
    <w:p>
      <w:pPr>
        <w:pStyle w:val="ListParagraph"/>
        <w:numPr>
          <w:ilvl w:val="0"/>
          <w:numId w:val="5"/>
        </w:numPr>
        <w:spacing w:after="80"/>
      </w:pPr>
      <w:r>
        <w:rPr>
          <w:sz w:val="22"/>
          <w:szCs w:val="22"/>
        </w:rPr>
        <w:t xml:space="preserve">Maintain the confidentiality of the other Party's Confidential Information;</w:t>
      </w:r>
    </w:p>
    <w:p>
      <w:pPr>
        <w:pStyle w:val="ListParagraph"/>
        <w:numPr>
          <w:ilvl w:val="0"/>
          <w:numId w:val="5"/>
        </w:numPr>
        <w:spacing w:after="80"/>
      </w:pPr>
      <w:r>
        <w:rPr>
          <w:sz w:val="22"/>
          <w:szCs w:val="22"/>
        </w:rPr>
        <w:t xml:space="preserve">Use Confidential Information only for purposes of this Agreement;</w:t>
      </w:r>
    </w:p>
    <w:p>
      <w:pPr>
        <w:pStyle w:val="ListParagraph"/>
        <w:numPr>
          <w:ilvl w:val="0"/>
          <w:numId w:val="5"/>
        </w:numPr>
        <w:spacing w:after="80"/>
      </w:pPr>
      <w:r>
        <w:rPr>
          <w:sz w:val="22"/>
          <w:szCs w:val="22"/>
        </w:rPr>
        <w:t xml:space="preserve">Limit disclosure to employees and contractors with a need to know;</w:t>
      </w:r>
    </w:p>
    <w:p>
      <w:pPr>
        <w:pStyle w:val="ListParagraph"/>
        <w:numPr>
          <w:ilvl w:val="0"/>
          <w:numId w:val="5"/>
        </w:numPr>
        <w:spacing w:after="80"/>
      </w:pPr>
      <w:r>
        <w:rPr>
          <w:sz w:val="22"/>
          <w:szCs w:val="22"/>
        </w:rPr>
        <w:t xml:space="preserve">Protect Confidential Information with at least the same care as its own.</w:t>
      </w:r>
    </w:p>
    <w:p>
      <w:pPr>
        <w:pStyle w:val="ListParagraph"/>
        <w:numPr>
          <w:ilvl w:val="0"/>
          <w:numId w:val="9"/>
        </w:numPr>
        <w:spacing w:after="120"/>
      </w:pPr>
      <w:r>
        <w:rPr>
          <w:sz w:val="22"/>
          <w:szCs w:val="22"/>
        </w:rPr>
        <w:t xml:space="preserve">Exceptions. Confidential Information does not include information that:</w:t>
      </w:r>
    </w:p>
    <w:p>
      <w:pPr>
        <w:pStyle w:val="ListParagraph"/>
        <w:numPr>
          <w:ilvl w:val="0"/>
          <w:numId w:val="5"/>
        </w:numPr>
        <w:spacing w:after="80"/>
      </w:pPr>
      <w:r>
        <w:rPr>
          <w:sz w:val="22"/>
          <w:szCs w:val="22"/>
        </w:rPr>
        <w:t xml:space="preserve">Is or becomes publicly available through no fault of the receiving Party;</w:t>
      </w:r>
    </w:p>
    <w:p>
      <w:pPr>
        <w:pStyle w:val="ListParagraph"/>
        <w:numPr>
          <w:ilvl w:val="0"/>
          <w:numId w:val="5"/>
        </w:numPr>
        <w:spacing w:after="80"/>
      </w:pPr>
      <w:r>
        <w:rPr>
          <w:sz w:val="22"/>
          <w:szCs w:val="22"/>
        </w:rPr>
        <w:t xml:space="preserve">Was rightfully in the receiving Party's possession prior to disclosure;</w:t>
      </w:r>
    </w:p>
    <w:p>
      <w:pPr>
        <w:pStyle w:val="ListParagraph"/>
        <w:numPr>
          <w:ilvl w:val="0"/>
          <w:numId w:val="5"/>
        </w:numPr>
        <w:spacing w:after="80"/>
      </w:pPr>
      <w:r>
        <w:rPr>
          <w:sz w:val="22"/>
          <w:szCs w:val="22"/>
        </w:rPr>
        <w:t xml:space="preserve">Is independently developed without use of Confidential Information;</w:t>
      </w:r>
    </w:p>
    <w:p>
      <w:pPr>
        <w:pStyle w:val="ListParagraph"/>
        <w:numPr>
          <w:ilvl w:val="0"/>
          <w:numId w:val="5"/>
        </w:numPr>
        <w:spacing w:after="80"/>
      </w:pPr>
      <w:r>
        <w:rPr>
          <w:sz w:val="22"/>
          <w:szCs w:val="22"/>
        </w:rPr>
        <w:t xml:space="preserve">Is rightfully obtained from a third party without restriction.</w:t>
      </w:r>
    </w:p>
    <w:p>
      <w:pPr>
        <w:pStyle w:val="ListParagraph"/>
        <w:numPr>
          <w:ilvl w:val="0"/>
          <w:numId w:val="9"/>
        </w:numPr>
        <w:spacing w:after="120"/>
      </w:pPr>
      <w:r>
        <w:rPr>
          <w:sz w:val="22"/>
          <w:szCs w:val="22"/>
        </w:rPr>
        <w:t xml:space="preserve">Required Disclosure. A Party may disclose Confidential Information if required by law, provided it gives prompt notice and cooperates in seeking protective treatment.</w:t>
      </w:r>
    </w:p>
    <w:p>
      <w:pPr>
        <w:pStyle w:val="ListParagraph"/>
        <w:numPr>
          <w:ilvl w:val="0"/>
          <w:numId w:val="9"/>
        </w:numPr>
        <w:spacing w:after="120"/>
      </w:pPr>
      <w:r>
        <w:rPr>
          <w:sz w:val="22"/>
          <w:szCs w:val="22"/>
        </w:rPr>
        <w:t xml:space="preserve">Duration. Confidentiality obligations shall survive termination of this Agreement for five (5) years, except for trade secrets which shall remain confidential indefinitely.</w:t>
      </w:r>
    </w:p>
    <w:p>
      <w:r>
        <w:br w:type="page"/>
      </w:r>
    </w:p>
    <w:p>
      <w:pPr>
        <w:spacing w:before="360" w:after="120"/>
      </w:pPr>
      <w:r>
        <w:rPr>
          <w:b/>
          <w:bCs/>
          <w:sz w:val="24"/>
          <w:szCs w:val="24"/>
        </w:rPr>
        <w:t xml:space="preserve">ARTICLE 8</w:t>
      </w:r>
      <w:r>
        <w:rPr>
          <w:b/>
          <w:bCs/>
          <w:sz w:val="24"/>
          <w:szCs w:val="24"/>
        </w:rPr>
        <w:t xml:space="preserve">
DATA PROTECTION AND SECURITY</w:t>
      </w:r>
    </w:p>
    <w:p>
      <w:pPr>
        <w:pStyle w:val="ListParagraph"/>
        <w:numPr>
          <w:ilvl w:val="0"/>
          <w:numId w:val="10"/>
        </w:numPr>
        <w:spacing w:after="120"/>
      </w:pPr>
      <w:r>
        <w:rPr>
          <w:sz w:val="22"/>
          <w:szCs w:val="22"/>
        </w:rPr>
        <w:t xml:space="preserve">Data Protection Compliance. Each Party shall comply with all applicable data protection laws, including GDPR, CCPA, and other relevant regulations.</w:t>
      </w:r>
    </w:p>
    <w:p>
      <w:pPr>
        <w:pStyle w:val="ListParagraph"/>
        <w:numPr>
          <w:ilvl w:val="0"/>
          <w:numId w:val="10"/>
        </w:numPr>
        <w:spacing w:after="120"/>
      </w:pPr>
      <w:r>
        <w:rPr>
          <w:sz w:val="22"/>
          <w:szCs w:val="22"/>
        </w:rPr>
        <w:t xml:space="preserve">Customer Data. Partner acknowledges that Customer data processed through the Platform remains the property of Customers. Partner shall not access or use Customer data except as necessary to perform its obligations.</w:t>
      </w:r>
    </w:p>
    <w:p>
      <w:pPr>
        <w:pStyle w:val="ListParagraph"/>
        <w:numPr>
          <w:ilvl w:val="0"/>
          <w:numId w:val="10"/>
        </w:numPr>
        <w:spacing w:after="120"/>
      </w:pPr>
      <w:r>
        <w:rPr>
          <w:sz w:val="22"/>
          <w:szCs w:val="22"/>
        </w:rPr>
        <w:t xml:space="preserve">Security Measures. Partner shall implement appropriate technical and organizational security measures to protect any data accessed in connection with this Agreement.</w:t>
      </w:r>
    </w:p>
    <w:p>
      <w:pPr>
        <w:pStyle w:val="ListParagraph"/>
        <w:numPr>
          <w:ilvl w:val="0"/>
          <w:numId w:val="10"/>
        </w:numPr>
        <w:spacing w:after="120"/>
      </w:pPr>
      <w:r>
        <w:rPr>
          <w:sz w:val="22"/>
          <w:szCs w:val="22"/>
        </w:rPr>
        <w:t xml:space="preserve">Data Processing Agreement. If Partner processes personal data on behalf of IVYAR or Customers, the Parties shall execute a Data Processing Agreement in the form attached as Exhibit C.</w:t>
      </w:r>
    </w:p>
    <w:p>
      <w:pPr>
        <w:pStyle w:val="ListParagraph"/>
        <w:numPr>
          <w:ilvl w:val="0"/>
          <w:numId w:val="10"/>
        </w:numPr>
        <w:spacing w:after="120"/>
      </w:pPr>
      <w:r>
        <w:rPr>
          <w:sz w:val="22"/>
          <w:szCs w:val="22"/>
        </w:rPr>
        <w:t xml:space="preserve">Breach Notification. Partner shall notify IVYAR within 48 hours of discovering any actual or suspected data breach affecting IVYAR or Customer data.</w:t>
      </w:r>
    </w:p>
    <w:p>
      <w:pPr>
        <w:spacing w:before="360" w:after="120"/>
      </w:pPr>
      <w:r>
        <w:rPr>
          <w:b/>
          <w:bCs/>
          <w:sz w:val="24"/>
          <w:szCs w:val="24"/>
        </w:rPr>
        <w:t xml:space="preserve">ARTICLE 9</w:t>
      </w:r>
      <w:r>
        <w:rPr>
          <w:b/>
          <w:bCs/>
          <w:sz w:val="24"/>
          <w:szCs w:val="24"/>
        </w:rPr>
        <w:t xml:space="preserve">
WARRANTIES AND DISCLAIMERS</w:t>
      </w:r>
    </w:p>
    <w:p>
      <w:pPr>
        <w:pStyle w:val="ListParagraph"/>
        <w:numPr>
          <w:ilvl w:val="0"/>
          <w:numId w:val="11"/>
        </w:numPr>
        <w:spacing w:after="120"/>
      </w:pPr>
      <w:r>
        <w:rPr>
          <w:sz w:val="22"/>
          <w:szCs w:val="22"/>
        </w:rPr>
        <w:t xml:space="preserve">Mutual Warranties. Each Party warrants that:</w:t>
      </w:r>
    </w:p>
    <w:p>
      <w:pPr>
        <w:pStyle w:val="ListParagraph"/>
        <w:numPr>
          <w:ilvl w:val="0"/>
          <w:numId w:val="5"/>
        </w:numPr>
        <w:spacing w:after="80"/>
      </w:pPr>
      <w:r>
        <w:rPr>
          <w:sz w:val="22"/>
          <w:szCs w:val="22"/>
        </w:rPr>
        <w:t xml:space="preserve">It has the authority to enter into this Agreement;</w:t>
      </w:r>
    </w:p>
    <w:p>
      <w:pPr>
        <w:pStyle w:val="ListParagraph"/>
        <w:numPr>
          <w:ilvl w:val="0"/>
          <w:numId w:val="5"/>
        </w:numPr>
        <w:spacing w:after="80"/>
      </w:pPr>
      <w:r>
        <w:rPr>
          <w:sz w:val="22"/>
          <w:szCs w:val="22"/>
        </w:rPr>
        <w:t xml:space="preserve">Its performance will not violate any other agreement;</w:t>
      </w:r>
    </w:p>
    <w:p>
      <w:pPr>
        <w:pStyle w:val="ListParagraph"/>
        <w:numPr>
          <w:ilvl w:val="0"/>
          <w:numId w:val="5"/>
        </w:numPr>
        <w:spacing w:after="80"/>
      </w:pPr>
      <w:r>
        <w:rPr>
          <w:sz w:val="22"/>
          <w:szCs w:val="22"/>
        </w:rPr>
        <w:t xml:space="preserve">It will comply with all applicable laws and regulations.</w:t>
      </w:r>
    </w:p>
    <w:p>
      <w:pPr>
        <w:pStyle w:val="ListParagraph"/>
        <w:numPr>
          <w:ilvl w:val="0"/>
          <w:numId w:val="11"/>
        </w:numPr>
        <w:spacing w:after="120"/>
      </w:pPr>
      <w:r>
        <w:rPr>
          <w:sz w:val="22"/>
          <w:szCs w:val="22"/>
        </w:rPr>
        <w:t xml:space="preserve">IVYAR Warranties. IVYAR warrants that the Platform will perform substantially in accordance with Documentation during the Term.</w:t>
      </w:r>
    </w:p>
    <w:p>
      <w:pPr>
        <w:pStyle w:val="ListParagraph"/>
        <w:numPr>
          <w:ilvl w:val="0"/>
          <w:numId w:val="11"/>
        </w:numPr>
        <w:spacing w:after="120"/>
      </w:pPr>
      <w:r>
        <w:rPr>
          <w:sz w:val="22"/>
          <w:szCs w:val="22"/>
        </w:rPr>
        <w:t xml:space="preserve">Partner Warranties. Partner warrants that:</w:t>
      </w:r>
    </w:p>
    <w:p>
      <w:pPr>
        <w:pStyle w:val="ListParagraph"/>
        <w:numPr>
          <w:ilvl w:val="0"/>
          <w:numId w:val="5"/>
        </w:numPr>
        <w:spacing w:after="80"/>
      </w:pPr>
      <w:r>
        <w:rPr>
          <w:sz w:val="22"/>
          <w:szCs w:val="22"/>
        </w:rPr>
        <w:t xml:space="preserve">It has the expertise and resources to perform its obligations;</w:t>
      </w:r>
    </w:p>
    <w:p>
      <w:pPr>
        <w:pStyle w:val="ListParagraph"/>
        <w:numPr>
          <w:ilvl w:val="0"/>
          <w:numId w:val="5"/>
        </w:numPr>
        <w:spacing w:after="80"/>
      </w:pPr>
      <w:r>
        <w:rPr>
          <w:sz w:val="22"/>
          <w:szCs w:val="22"/>
        </w:rPr>
        <w:t xml:space="preserve">Its personnel are qualified and properly trained;</w:t>
      </w:r>
    </w:p>
    <w:p>
      <w:pPr>
        <w:pStyle w:val="ListParagraph"/>
        <w:numPr>
          <w:ilvl w:val="0"/>
          <w:numId w:val="5"/>
        </w:numPr>
        <w:spacing w:after="80"/>
      </w:pPr>
      <w:r>
        <w:rPr>
          <w:sz w:val="22"/>
          <w:szCs w:val="22"/>
        </w:rPr>
        <w:t xml:space="preserve">It will not make unauthorized representations about the Platform.</w:t>
      </w:r>
    </w:p>
    <w:p>
      <w:pPr>
        <w:pStyle w:val="ListParagraph"/>
        <w:numPr>
          <w:ilvl w:val="0"/>
          <w:numId w:val="11"/>
        </w:numPr>
        <w:spacing w:after="120"/>
      </w:pPr>
      <w:r>
        <w:rPr>
          <w:sz w:val="22"/>
          <w:szCs w:val="22"/>
        </w:rPr>
        <w:t xml:space="preserve">Disclaimer. EXCEPT AS EXPRESSLY SET FORTH HEREIN, IVYAR PROVIDES THE PLATFORM "AS IS" AND DISCLAIMS ALL OTHER WARRANTIES, EXPRESS OR IMPLIED, INCLUDING WARRANTIES OF MERCHANTABILITY AND FITNESS FOR A PARTICULAR PURPOSE.</w:t>
      </w:r>
    </w:p>
    <w:p>
      <w:pPr>
        <w:spacing w:before="360" w:after="120"/>
      </w:pPr>
      <w:r>
        <w:rPr>
          <w:b/>
          <w:bCs/>
          <w:sz w:val="24"/>
          <w:szCs w:val="24"/>
        </w:rPr>
        <w:t xml:space="preserve">ARTICLE 10</w:t>
      </w:r>
      <w:r>
        <w:rPr>
          <w:b/>
          <w:bCs/>
          <w:sz w:val="24"/>
          <w:szCs w:val="24"/>
        </w:rPr>
        <w:t xml:space="preserve">
LIMITATION OF LIABILITY</w:t>
      </w:r>
    </w:p>
    <w:p>
      <w:pPr>
        <w:pStyle w:val="ListParagraph"/>
        <w:numPr>
          <w:ilvl w:val="0"/>
          <w:numId w:val="12"/>
        </w:numPr>
        <w:spacing w:after="120"/>
      </w:pPr>
      <w:r>
        <w:rPr>
          <w:sz w:val="22"/>
          <w:szCs w:val="22"/>
        </w:rPr>
        <w:t xml:space="preserve">Exclusion of Damages. NEITHER PARTY SHALL BE LIABLE FOR ANY INDIRECT, INCIDENTAL, SPECIAL, CONSEQUENTIAL, OR PUNITIVE DAMAGES, INCLUDING LOSS OF PROFITS, DATA, OR BUSINESS OPPORTUNITIES, ARISING OUT OF THIS AGREEMENT.</w:t>
      </w:r>
    </w:p>
    <w:p>
      <w:pPr>
        <w:pStyle w:val="ListParagraph"/>
        <w:numPr>
          <w:ilvl w:val="0"/>
          <w:numId w:val="12"/>
        </w:numPr>
        <w:spacing w:after="120"/>
      </w:pPr>
      <w:r>
        <w:rPr>
          <w:sz w:val="22"/>
          <w:szCs w:val="22"/>
        </w:rPr>
        <w:t xml:space="preserve">Cap on Liability. EACH PARTY'S TOTAL LIABILITY SHALL NOT EXCEED THE GREATER OF (A) COMMISSIONS PAID OR PAYABLE IN THE TWELVE (12) MONTHS PRECEDING THE CLAIM, OR (B) ONE HUNDRED THOUSAND DOLLARS ($100,000).</w:t>
      </w:r>
    </w:p>
    <w:p>
      <w:pPr>
        <w:pStyle w:val="ListParagraph"/>
        <w:numPr>
          <w:ilvl w:val="0"/>
          <w:numId w:val="12"/>
        </w:numPr>
        <w:spacing w:after="120"/>
      </w:pPr>
      <w:r>
        <w:rPr>
          <w:sz w:val="22"/>
          <w:szCs w:val="22"/>
        </w:rPr>
        <w:t xml:space="preserve">Exceptions. The limitations in this Article shall not apply to: (a) breaches of confidentiality; (b) infringement of Intellectual Property Rights; (c) indemnification obligations; or (d) gross negligence or willful misconduct.</w:t>
      </w:r>
    </w:p>
    <w:p>
      <w:pPr>
        <w:spacing w:before="360" w:after="120"/>
      </w:pPr>
      <w:r>
        <w:rPr>
          <w:b/>
          <w:bCs/>
          <w:sz w:val="24"/>
          <w:szCs w:val="24"/>
        </w:rPr>
        <w:t xml:space="preserve">ARTICLE 11</w:t>
      </w:r>
      <w:r>
        <w:rPr>
          <w:b/>
          <w:bCs/>
          <w:sz w:val="24"/>
          <w:szCs w:val="24"/>
        </w:rPr>
        <w:t xml:space="preserve">
INDEMNIFICATION</w:t>
      </w:r>
    </w:p>
    <w:p>
      <w:pPr>
        <w:pStyle w:val="ListParagraph"/>
        <w:numPr>
          <w:ilvl w:val="0"/>
          <w:numId w:val="13"/>
        </w:numPr>
        <w:spacing w:after="120"/>
      </w:pPr>
      <w:r>
        <w:rPr>
          <w:sz w:val="22"/>
          <w:szCs w:val="22"/>
        </w:rPr>
        <w:t xml:space="preserve">IVYAR Indemnification. IVYAR shall defend, indemnify, and hold harmless Partner from third-party claims alleging that the Platform infringes any Intellectual Property Rights, provided Partner promptly notifies IVYAR and cooperates in the defense.</w:t>
      </w:r>
    </w:p>
    <w:p>
      <w:pPr>
        <w:pStyle w:val="ListParagraph"/>
        <w:numPr>
          <w:ilvl w:val="0"/>
          <w:numId w:val="13"/>
        </w:numPr>
        <w:spacing w:after="120"/>
      </w:pPr>
      <w:r>
        <w:rPr>
          <w:sz w:val="22"/>
          <w:szCs w:val="22"/>
        </w:rPr>
        <w:t xml:space="preserve">Partner Indemnification. Partner shall defend, indemnify, and hold harmless IVYAR from third-party claims arising from:</w:t>
      </w:r>
    </w:p>
    <w:p>
      <w:pPr>
        <w:pStyle w:val="ListParagraph"/>
        <w:numPr>
          <w:ilvl w:val="0"/>
          <w:numId w:val="5"/>
        </w:numPr>
        <w:spacing w:after="80"/>
      </w:pPr>
      <w:r>
        <w:rPr>
          <w:sz w:val="22"/>
          <w:szCs w:val="22"/>
        </w:rPr>
        <w:t xml:space="preserve">Partner's breach of this Agreement;</w:t>
      </w:r>
    </w:p>
    <w:p>
      <w:pPr>
        <w:pStyle w:val="ListParagraph"/>
        <w:numPr>
          <w:ilvl w:val="0"/>
          <w:numId w:val="5"/>
        </w:numPr>
        <w:spacing w:after="80"/>
      </w:pPr>
      <w:r>
        <w:rPr>
          <w:sz w:val="22"/>
          <w:szCs w:val="22"/>
        </w:rPr>
        <w:t xml:space="preserve">Partner's negligence or misconduct;</w:t>
      </w:r>
    </w:p>
    <w:p>
      <w:pPr>
        <w:pStyle w:val="ListParagraph"/>
        <w:numPr>
          <w:ilvl w:val="0"/>
          <w:numId w:val="5"/>
        </w:numPr>
        <w:spacing w:after="80"/>
      </w:pPr>
      <w:r>
        <w:rPr>
          <w:sz w:val="22"/>
          <w:szCs w:val="22"/>
        </w:rPr>
        <w:t xml:space="preserve">Partner's violation of applicable laws;</w:t>
      </w:r>
    </w:p>
    <w:p>
      <w:pPr>
        <w:pStyle w:val="ListParagraph"/>
        <w:numPr>
          <w:ilvl w:val="0"/>
          <w:numId w:val="5"/>
        </w:numPr>
        <w:spacing w:after="80"/>
      </w:pPr>
      <w:r>
        <w:rPr>
          <w:sz w:val="22"/>
          <w:szCs w:val="22"/>
        </w:rPr>
        <w:t xml:space="preserve">Unauthorized representations about the Platform.</w:t>
      </w:r>
    </w:p>
    <w:p>
      <w:pPr>
        <w:pStyle w:val="ListParagraph"/>
        <w:numPr>
          <w:ilvl w:val="0"/>
          <w:numId w:val="13"/>
        </w:numPr>
        <w:spacing w:after="120"/>
      </w:pPr>
      <w:r>
        <w:rPr>
          <w:sz w:val="22"/>
          <w:szCs w:val="22"/>
        </w:rPr>
        <w:t xml:space="preserve">Indemnification Procedures. The indemnified Party shall: (a) provide prompt notice; (b) grant sole control of the defense; and (c) provide reasonable cooperation.</w:t>
      </w:r>
    </w:p>
    <w:p>
      <w:pPr>
        <w:spacing w:before="360" w:after="120"/>
      </w:pPr>
      <w:r>
        <w:rPr>
          <w:b/>
          <w:bCs/>
          <w:sz w:val="24"/>
          <w:szCs w:val="24"/>
        </w:rPr>
        <w:t xml:space="preserve">ARTICLE 12</w:t>
      </w:r>
      <w:r>
        <w:rPr>
          <w:b/>
          <w:bCs/>
          <w:sz w:val="24"/>
          <w:szCs w:val="24"/>
        </w:rPr>
        <w:t xml:space="preserve">
TERM AND TERMINATION</w:t>
      </w:r>
    </w:p>
    <w:p>
      <w:pPr>
        <w:pStyle w:val="ListParagraph"/>
        <w:numPr>
          <w:ilvl w:val="0"/>
          <w:numId w:val="14"/>
        </w:numPr>
        <w:spacing w:after="120"/>
      </w:pPr>
      <w:r>
        <w:rPr>
          <w:sz w:val="22"/>
          <w:szCs w:val="22"/>
        </w:rPr>
        <w:t xml:space="preserve">Term. This Agreement shall commence on the Effective Date and continue for one (1) year (the "Initial Term"). Thereafter, it shall automatically renew for successive one (1) year periods unless either Party provides sixty (60) days' written notice of non-renewal.</w:t>
      </w:r>
    </w:p>
    <w:p>
      <w:pPr>
        <w:pStyle w:val="ListParagraph"/>
        <w:numPr>
          <w:ilvl w:val="0"/>
          <w:numId w:val="14"/>
        </w:numPr>
        <w:spacing w:after="120"/>
      </w:pPr>
      <w:r>
        <w:rPr>
          <w:sz w:val="22"/>
          <w:szCs w:val="22"/>
        </w:rPr>
        <w:t xml:space="preserve">Termination for Cause. Either Party may terminate immediately upon written notice if the other Party:</w:t>
      </w:r>
    </w:p>
    <w:p>
      <w:pPr>
        <w:pStyle w:val="ListParagraph"/>
        <w:numPr>
          <w:ilvl w:val="0"/>
          <w:numId w:val="5"/>
        </w:numPr>
        <w:spacing w:after="80"/>
      </w:pPr>
      <w:r>
        <w:rPr>
          <w:sz w:val="22"/>
          <w:szCs w:val="22"/>
        </w:rPr>
        <w:t xml:space="preserve">Materially breaches this Agreement and fails to cure within thirty (30) days;</w:t>
      </w:r>
    </w:p>
    <w:p>
      <w:pPr>
        <w:pStyle w:val="ListParagraph"/>
        <w:numPr>
          <w:ilvl w:val="0"/>
          <w:numId w:val="5"/>
        </w:numPr>
        <w:spacing w:after="80"/>
      </w:pPr>
      <w:r>
        <w:rPr>
          <w:sz w:val="22"/>
          <w:szCs w:val="22"/>
        </w:rPr>
        <w:t xml:space="preserve">Becomes insolvent or files for bankruptcy;</w:t>
      </w:r>
    </w:p>
    <w:p>
      <w:pPr>
        <w:pStyle w:val="ListParagraph"/>
        <w:numPr>
          <w:ilvl w:val="0"/>
          <w:numId w:val="5"/>
        </w:numPr>
        <w:spacing w:after="80"/>
      </w:pPr>
      <w:r>
        <w:rPr>
          <w:sz w:val="22"/>
          <w:szCs w:val="22"/>
        </w:rPr>
        <w:t xml:space="preserve">Ceases to operate in the ordinary course of business;</w:t>
      </w:r>
    </w:p>
    <w:p>
      <w:pPr>
        <w:pStyle w:val="ListParagraph"/>
        <w:numPr>
          <w:ilvl w:val="0"/>
          <w:numId w:val="5"/>
        </w:numPr>
        <w:spacing w:after="80"/>
      </w:pPr>
      <w:r>
        <w:rPr>
          <w:sz w:val="22"/>
          <w:szCs w:val="22"/>
        </w:rPr>
        <w:t xml:space="preserve">Engages in conduct that damages the other Party's reputation.</w:t>
      </w:r>
    </w:p>
    <w:p>
      <w:pPr>
        <w:pStyle w:val="ListParagraph"/>
        <w:numPr>
          <w:ilvl w:val="0"/>
          <w:numId w:val="14"/>
        </w:numPr>
        <w:spacing w:after="120"/>
      </w:pPr>
      <w:r>
        <w:rPr>
          <w:sz w:val="22"/>
          <w:szCs w:val="22"/>
        </w:rPr>
        <w:t xml:space="preserve">Termination for Convenience. Either Party may terminate for convenience upon ninety (90) days' written notice.</w:t>
      </w:r>
    </w:p>
    <w:p>
      <w:pPr>
        <w:pStyle w:val="ListParagraph"/>
        <w:numPr>
          <w:ilvl w:val="0"/>
          <w:numId w:val="14"/>
        </w:numPr>
        <w:spacing w:after="120"/>
      </w:pPr>
      <w:r>
        <w:rPr>
          <w:sz w:val="22"/>
          <w:szCs w:val="22"/>
        </w:rPr>
        <w:t xml:space="preserve">Effect of Termination. Upon termination:</w:t>
      </w:r>
    </w:p>
    <w:p>
      <w:pPr>
        <w:pStyle w:val="ListParagraph"/>
        <w:numPr>
          <w:ilvl w:val="0"/>
          <w:numId w:val="5"/>
        </w:numPr>
        <w:spacing w:after="80"/>
      </w:pPr>
      <w:r>
        <w:rPr>
          <w:sz w:val="22"/>
          <w:szCs w:val="22"/>
        </w:rPr>
        <w:t xml:space="preserve">All licenses and rights granted herein shall immediately terminate;</w:t>
      </w:r>
    </w:p>
    <w:p>
      <w:pPr>
        <w:pStyle w:val="ListParagraph"/>
        <w:numPr>
          <w:ilvl w:val="0"/>
          <w:numId w:val="5"/>
        </w:numPr>
        <w:spacing w:after="80"/>
      </w:pPr>
      <w:r>
        <w:rPr>
          <w:sz w:val="22"/>
          <w:szCs w:val="22"/>
        </w:rPr>
        <w:t xml:space="preserve">Partner shall cease marketing the Platform and using IVYAR trademarks;</w:t>
      </w:r>
    </w:p>
    <w:p>
      <w:pPr>
        <w:pStyle w:val="ListParagraph"/>
        <w:numPr>
          <w:ilvl w:val="0"/>
          <w:numId w:val="5"/>
        </w:numPr>
        <w:spacing w:after="80"/>
      </w:pPr>
      <w:r>
        <w:rPr>
          <w:sz w:val="22"/>
          <w:szCs w:val="22"/>
        </w:rPr>
        <w:t xml:space="preserve">Partner shall return or destroy all Confidential Information;</w:t>
      </w:r>
    </w:p>
    <w:p>
      <w:pPr>
        <w:pStyle w:val="ListParagraph"/>
        <w:numPr>
          <w:ilvl w:val="0"/>
          <w:numId w:val="5"/>
        </w:numPr>
        <w:spacing w:after="80"/>
      </w:pPr>
      <w:r>
        <w:rPr>
          <w:sz w:val="22"/>
          <w:szCs w:val="22"/>
        </w:rPr>
        <w:t xml:space="preserve">IVYAR shall pay all commissions earned prior to termination;</w:t>
      </w:r>
    </w:p>
    <w:p>
      <w:pPr>
        <w:pStyle w:val="ListParagraph"/>
        <w:numPr>
          <w:ilvl w:val="0"/>
          <w:numId w:val="5"/>
        </w:numPr>
        <w:spacing w:after="80"/>
      </w:pPr>
      <w:r>
        <w:rPr>
          <w:sz w:val="22"/>
          <w:szCs w:val="22"/>
        </w:rPr>
        <w:t xml:space="preserve">Existing Customer contracts shall be honored per their terms.</w:t>
      </w:r>
    </w:p>
    <w:p>
      <w:pPr>
        <w:pStyle w:val="ListParagraph"/>
        <w:numPr>
          <w:ilvl w:val="0"/>
          <w:numId w:val="14"/>
        </w:numPr>
        <w:spacing w:after="120"/>
      </w:pPr>
      <w:r>
        <w:rPr>
          <w:sz w:val="22"/>
          <w:szCs w:val="22"/>
        </w:rPr>
        <w:t xml:space="preserve">Survival. Articles 1, 6, 7, 9, 10, 11, and 13 shall survive termination.</w:t>
      </w:r>
    </w:p>
    <w:p>
      <w:r>
        <w:br w:type="page"/>
      </w:r>
    </w:p>
    <w:p>
      <w:pPr>
        <w:spacing w:before="360" w:after="120"/>
      </w:pPr>
      <w:r>
        <w:rPr>
          <w:b/>
          <w:bCs/>
          <w:sz w:val="24"/>
          <w:szCs w:val="24"/>
        </w:rPr>
        <w:t xml:space="preserve">ARTICLE 13</w:t>
      </w:r>
      <w:r>
        <w:rPr>
          <w:b/>
          <w:bCs/>
          <w:sz w:val="24"/>
          <w:szCs w:val="24"/>
        </w:rPr>
        <w:t xml:space="preserve">
GENERAL PROVISIONS</w:t>
      </w:r>
    </w:p>
    <w:p>
      <w:pPr>
        <w:pStyle w:val="ListParagraph"/>
        <w:numPr>
          <w:ilvl w:val="0"/>
          <w:numId w:val="15"/>
        </w:numPr>
        <w:spacing w:after="120"/>
      </w:pPr>
      <w:r>
        <w:rPr>
          <w:sz w:val="22"/>
          <w:szCs w:val="22"/>
        </w:rPr>
        <w:t xml:space="preserve">Governing Law. This Agreement shall be governed by the laws of the State of Delaware, without regard to conflict of laws principles.</w:t>
      </w:r>
    </w:p>
    <w:p>
      <w:pPr>
        <w:pStyle w:val="ListParagraph"/>
        <w:numPr>
          <w:ilvl w:val="0"/>
          <w:numId w:val="15"/>
        </w:numPr>
        <w:spacing w:after="120"/>
      </w:pPr>
      <w:r>
        <w:rPr>
          <w:sz w:val="22"/>
          <w:szCs w:val="22"/>
        </w:rPr>
        <w:t xml:space="preserve">Dispute Resolution. Any dispute shall be resolved by binding arbitration under AAA Commercial Arbitration Rules in Wilmington, Delaware.</w:t>
      </w:r>
    </w:p>
    <w:p>
      <w:pPr>
        <w:pStyle w:val="ListParagraph"/>
        <w:numPr>
          <w:ilvl w:val="0"/>
          <w:numId w:val="15"/>
        </w:numPr>
        <w:spacing w:after="120"/>
      </w:pPr>
      <w:r>
        <w:rPr>
          <w:sz w:val="22"/>
          <w:szCs w:val="22"/>
        </w:rPr>
        <w:t xml:space="preserve">Force Majeure. Neither Party shall be liable for delays due to causes beyond reasonable control, including acts of God, war, terrorism, or government actions.</w:t>
      </w:r>
    </w:p>
    <w:p>
      <w:pPr>
        <w:pStyle w:val="ListParagraph"/>
        <w:numPr>
          <w:ilvl w:val="0"/>
          <w:numId w:val="15"/>
        </w:numPr>
        <w:spacing w:after="120"/>
      </w:pPr>
      <w:r>
        <w:rPr>
          <w:sz w:val="22"/>
          <w:szCs w:val="22"/>
        </w:rPr>
        <w:t xml:space="preserve">Assignment. Partner may not assign this Agreement without IVYAR's prior written consent. IVYAR may assign to any successor in interest.</w:t>
      </w:r>
    </w:p>
    <w:p>
      <w:pPr>
        <w:pStyle w:val="ListParagraph"/>
        <w:numPr>
          <w:ilvl w:val="0"/>
          <w:numId w:val="15"/>
        </w:numPr>
        <w:spacing w:after="120"/>
      </w:pPr>
      <w:r>
        <w:rPr>
          <w:sz w:val="22"/>
          <w:szCs w:val="22"/>
        </w:rPr>
        <w:t xml:space="preserve">Notices. All notices shall be in writing and sent to the addresses in the preamble via email, certified mail, or overnight courier.</w:t>
      </w:r>
    </w:p>
    <w:p>
      <w:pPr>
        <w:pStyle w:val="ListParagraph"/>
        <w:numPr>
          <w:ilvl w:val="0"/>
          <w:numId w:val="15"/>
        </w:numPr>
        <w:spacing w:after="120"/>
      </w:pPr>
      <w:r>
        <w:rPr>
          <w:sz w:val="22"/>
          <w:szCs w:val="22"/>
        </w:rPr>
        <w:t xml:space="preserve">Entire Agreement. This Agreement, including all Exhibits, constitutes the entire agreement between the Parties and supersedes all prior agreements.</w:t>
      </w:r>
    </w:p>
    <w:p>
      <w:pPr>
        <w:pStyle w:val="ListParagraph"/>
        <w:numPr>
          <w:ilvl w:val="0"/>
          <w:numId w:val="15"/>
        </w:numPr>
        <w:spacing w:after="120"/>
      </w:pPr>
      <w:r>
        <w:rPr>
          <w:sz w:val="22"/>
          <w:szCs w:val="22"/>
        </w:rPr>
        <w:t xml:space="preserve">Amendment. This Agreement may only be amended by written instrument signed by both Parties.</w:t>
      </w:r>
    </w:p>
    <w:p>
      <w:pPr>
        <w:pStyle w:val="ListParagraph"/>
        <w:numPr>
          <w:ilvl w:val="0"/>
          <w:numId w:val="15"/>
        </w:numPr>
        <w:spacing w:after="120"/>
      </w:pPr>
      <w:r>
        <w:rPr>
          <w:sz w:val="22"/>
          <w:szCs w:val="22"/>
        </w:rPr>
        <w:t xml:space="preserve">Severability. If any provision is held invalid, the remaining provisions shall continue in full force.</w:t>
      </w:r>
    </w:p>
    <w:p>
      <w:pPr>
        <w:pStyle w:val="ListParagraph"/>
        <w:numPr>
          <w:ilvl w:val="0"/>
          <w:numId w:val="15"/>
        </w:numPr>
        <w:spacing w:after="120"/>
      </w:pPr>
      <w:r>
        <w:rPr>
          <w:sz w:val="22"/>
          <w:szCs w:val="22"/>
        </w:rPr>
        <w:t xml:space="preserve">Waiver. Failure to enforce any provision shall not constitute a waiver.</w:t>
      </w:r>
    </w:p>
    <w:p>
      <w:pPr>
        <w:pStyle w:val="ListParagraph"/>
        <w:numPr>
          <w:ilvl w:val="0"/>
          <w:numId w:val="15"/>
        </w:numPr>
        <w:spacing w:after="120"/>
      </w:pPr>
      <w:r>
        <w:rPr>
          <w:sz w:val="22"/>
          <w:szCs w:val="22"/>
        </w:rPr>
        <w:t xml:space="preserve">Counterparts. This Agreement may be executed in counterparts, including electronic signatures.</w:t>
      </w:r>
    </w:p>
    <w:p>
      <w:pPr>
        <w:spacing w:before="480"/>
      </w:pPr>
    </w:p>
    <w:p>
      <w:pPr>
        <w:spacing w:after="120"/>
      </w:pPr>
      <w:r>
        <w:rPr>
          <w:b/>
          <w:bCs/>
          <w:sz w:val="22"/>
          <w:szCs w:val="22"/>
        </w:rPr>
        <w:t xml:space="preserve">IN WITNESS WHEREOF, the Parties have executed this Agreement as of the Effective Date.</w:t>
      </w:r>
    </w:p>
    <w:p>
      <w:pPr>
        <w:spacing w:before="3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500"/>
        <w:gridCol w:w="4500"/>
      </w:tblGrid>
      <w:tr>
        <w:tc>
          <w:tcPr>
            <w:tcW w:type="dxa" w:w="4500"/>
            <w:tcBorders>
              <w:top w:val="none" w:color="FFFFFF" w:sz="0"/>
              <w:left w:val="none" w:color="FFFFFF" w:sz="0"/>
              <w:bottom w:val="none" w:color="FFFFFF" w:sz="0"/>
              <w:right w:val="none" w:color="FFFFFF" w:sz="0"/>
            </w:tcBorders>
          </w:tcPr>
          <w:p>
            <w:pPr>
              <w:spacing w:after="60"/>
            </w:pPr>
            <w:r>
              <w:rPr>
                <w:b/>
                <w:bCs/>
                <w:sz w:val="22"/>
                <w:szCs w:val="22"/>
              </w:rPr>
              <w:t xml:space="preserve">IVYAR LLC</w:t>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after="60"/>
            </w:pPr>
            <w:r>
              <w:rPr>
                <w:b/>
                <w:bCs/>
                <w:sz w:val="22"/>
                <w:szCs w:val="22"/>
              </w:rPr>
              <w:t xml:space="preserve">PARTNER</w:t>
            </w:r>
          </w:p>
        </w:tc>
      </w:tr>
      <w:tr>
        <w:tc>
          <w:tcPr>
            <w:tcW w:type="dxa" w:w="4500"/>
            <w:tcBorders>
              <w:top w:val="none" w:color="FFFFFF" w:sz="0"/>
              <w:left w:val="none" w:color="FFFFFF" w:sz="0"/>
              <w:bottom w:val="none" w:color="FFFFFF" w:sz="0"/>
              <w:right w:val="none" w:color="FFFFFF" w:sz="0"/>
            </w:tcBorders>
          </w:tcPr>
          <w:p>
            <w:pPr>
              <w:spacing w:before="360"/>
            </w:pP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before="360"/>
            </w:pPr>
          </w:p>
        </w:tc>
      </w:tr>
      <w:tr>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r>
      <w:tr>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Signature</w:t>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Signature</w:t>
            </w:r>
          </w:p>
        </w:tc>
      </w:tr>
      <w:tr>
        <w:tc>
          <w:tcPr>
            <w:tcW w:type="dxa" w:w="4500"/>
            <w:tcBorders>
              <w:top w:val="none" w:color="FFFFFF" w:sz="0"/>
              <w:left w:val="none" w:color="FFFFFF" w:sz="0"/>
              <w:bottom w:val="none" w:color="FFFFFF" w:sz="0"/>
              <w:right w:val="none" w:color="FFFFFF" w:sz="0"/>
            </w:tcBorders>
          </w:tcPr>
          <w:p>
            <w:pPr>
              <w:spacing w:before="200"/>
            </w:pP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before="200"/>
            </w:pPr>
          </w:p>
        </w:tc>
      </w:tr>
      <w:tr>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r>
      <w:tr>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Name and Title</w:t>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Name and Title</w:t>
            </w:r>
          </w:p>
        </w:tc>
      </w:tr>
      <w:tr>
        <w:tc>
          <w:tcPr>
            <w:tcW w:type="dxa" w:w="4500"/>
            <w:tcBorders>
              <w:top w:val="none" w:color="FFFFFF" w:sz="0"/>
              <w:left w:val="none" w:color="FFFFFF" w:sz="0"/>
              <w:bottom w:val="none" w:color="FFFFFF" w:sz="0"/>
              <w:right w:val="none" w:color="FFFFFF" w:sz="0"/>
            </w:tcBorders>
          </w:tcPr>
          <w:p>
            <w:pPr>
              <w:spacing w:before="200"/>
            </w:pP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before="200"/>
            </w:pPr>
          </w:p>
        </w:tc>
      </w:tr>
      <w:tr>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r>
      <w:tr>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Date</w:t>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Date</w:t>
            </w:r>
          </w:p>
        </w:tc>
      </w:tr>
    </w:tbl>
    <w:p>
      <w:r>
        <w:br w:type="page"/>
      </w:r>
    </w:p>
    <w:p>
      <w:pPr>
        <w:spacing w:after="240"/>
        <w:jc w:val="center"/>
      </w:pPr>
      <w:r>
        <w:rPr>
          <w:b/>
          <w:bCs/>
          <w:sz w:val="28"/>
          <w:szCs w:val="28"/>
        </w:rPr>
        <w:t xml:space="preserve">EXHIBIT A</w:t>
      </w:r>
    </w:p>
    <w:p>
      <w:pPr>
        <w:spacing w:after="360"/>
        <w:jc w:val="center"/>
      </w:pPr>
      <w:r>
        <w:rPr>
          <w:b/>
          <w:bCs/>
          <w:sz w:val="24"/>
          <w:szCs w:val="24"/>
        </w:rPr>
        <w:t xml:space="preserve">PARTNERSHIP DETAILS</w:t>
      </w:r>
    </w:p>
    <w:p>
      <w:pPr>
        <w:spacing w:after="120"/>
      </w:pPr>
      <w:r>
        <w:rPr>
          <w:b/>
          <w:bCs/>
          <w:sz w:val="22"/>
          <w:szCs w:val="22"/>
        </w:rPr>
        <w:t xml:space="preserve">1. PARTNER INFORMATION</w:t>
      </w:r>
    </w:p>
    <w:p>
      <w:pPr>
        <w:spacing w:after="120"/>
      </w:pPr>
      <w:r>
        <w:rPr>
          <w:sz w:val="22"/>
          <w:szCs w:val="22"/>
        </w:rPr>
        <w:t xml:space="preserve">Partner Legal Name: _________________________________</w:t>
      </w:r>
    </w:p>
    <w:p>
      <w:pPr>
        <w:spacing w:after="120"/>
      </w:pPr>
      <w:r>
        <w:rPr>
          <w:sz w:val="22"/>
          <w:szCs w:val="22"/>
        </w:rPr>
        <w:t xml:space="preserve">Partner Contact: _________________________________</w:t>
      </w:r>
    </w:p>
    <w:p>
      <w:pPr>
        <w:spacing w:after="120"/>
      </w:pPr>
      <w:r>
        <w:rPr>
          <w:sz w:val="22"/>
          <w:szCs w:val="22"/>
        </w:rPr>
        <w:t xml:space="preserve">Partner Email: _________________________________</w:t>
      </w:r>
    </w:p>
    <w:p>
      <w:pPr>
        <w:spacing w:after="120"/>
      </w:pPr>
      <w:r>
        <w:rPr>
          <w:sz w:val="22"/>
          <w:szCs w:val="22"/>
        </w:rPr>
        <w:t xml:space="preserve">Partner Address: _________________________________</w:t>
      </w:r>
    </w:p>
    <w:p>
      <w:pPr>
        <w:spacing w:after="160"/>
      </w:pPr>
    </w:p>
    <w:p>
      <w:pPr>
        <w:spacing w:after="120"/>
      </w:pPr>
      <w:r>
        <w:rPr>
          <w:b/>
          <w:bCs/>
          <w:sz w:val="22"/>
          <w:szCs w:val="22"/>
        </w:rPr>
        <w:t xml:space="preserve">2. PARTNER TIER</w:t>
      </w:r>
    </w:p>
    <w:p>
      <w:pPr>
        <w:spacing w:after="120"/>
      </w:pPr>
      <w:r>
        <w:rPr>
          <w:sz w:val="22"/>
          <w:szCs w:val="22"/>
        </w:rPr>
        <w:t xml:space="preserve">[  ] Authorized Partner</w:t>
      </w:r>
    </w:p>
    <w:p>
      <w:pPr>
        <w:spacing w:after="120"/>
      </w:pPr>
      <w:r>
        <w:rPr>
          <w:sz w:val="22"/>
          <w:szCs w:val="22"/>
        </w:rPr>
        <w:t xml:space="preserve">[  ] Silver Partner</w:t>
      </w:r>
    </w:p>
    <w:p>
      <w:pPr>
        <w:spacing w:after="120"/>
      </w:pPr>
      <w:r>
        <w:rPr>
          <w:sz w:val="22"/>
          <w:szCs w:val="22"/>
        </w:rPr>
        <w:t xml:space="preserve">[  ] Gold Partner</w:t>
      </w:r>
    </w:p>
    <w:p>
      <w:pPr>
        <w:spacing w:after="120"/>
      </w:pPr>
      <w:r>
        <w:rPr>
          <w:sz w:val="22"/>
          <w:szCs w:val="22"/>
        </w:rPr>
        <w:t xml:space="preserve">[  ] Platinum Partner</w:t>
      </w:r>
    </w:p>
    <w:p>
      <w:pPr>
        <w:spacing w:after="160"/>
      </w:pPr>
    </w:p>
    <w:p>
      <w:pPr>
        <w:spacing w:after="120"/>
      </w:pPr>
      <w:r>
        <w:rPr>
          <w:b/>
          <w:bCs/>
          <w:sz w:val="22"/>
          <w:szCs w:val="22"/>
        </w:rPr>
        <w:t xml:space="preserve">3. TERRITORY</w:t>
      </w:r>
    </w:p>
    <w:p>
      <w:pPr>
        <w:spacing w:after="120"/>
      </w:pPr>
      <w:r>
        <w:rPr>
          <w:sz w:val="22"/>
          <w:szCs w:val="22"/>
        </w:rPr>
        <w:t xml:space="preserve">Geographic Region(s): _________________________________</w:t>
      </w:r>
    </w:p>
    <w:p>
      <w:pPr>
        <w:spacing w:after="120"/>
      </w:pPr>
      <w:r>
        <w:rPr>
          <w:sz w:val="22"/>
          <w:szCs w:val="22"/>
        </w:rPr>
        <w:t xml:space="preserve">Market Segment(s): _________________________________</w:t>
      </w:r>
    </w:p>
    <w:p>
      <w:pPr>
        <w:spacing w:after="160"/>
      </w:pPr>
    </w:p>
    <w:p>
      <w:pPr>
        <w:spacing w:after="120"/>
      </w:pPr>
      <w:r>
        <w:rPr>
          <w:b/>
          <w:bCs/>
          <w:sz w:val="22"/>
          <w:szCs w:val="22"/>
        </w:rPr>
        <w:t xml:space="preserve">4. PARTNER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gridCol w:w="1500"/>
      </w:tblGrid>
      <w:tr>
        <w:tc>
          <w:tcPr>
            <w:tcW w:type="dxa" w:w="3500"/>
            <w:tcBorders>
              <w:top w:val="single" w:color="CCCCCC" w:sz="1"/>
              <w:left w:val="single" w:color="CCCCCC" w:sz="1"/>
              <w:bottom w:val="single" w:color="CCCCCC" w:sz="1"/>
              <w:right w:val="single" w:color="CCCCCC" w:sz="1"/>
            </w:tcBorders>
            <w:shd w:fill="1B365D" w:val="clear"/>
          </w:tcPr>
          <w:p>
            <w:r>
              <w:rPr>
                <w:b/>
                <w:bCs/>
                <w:color w:val="FFFFFF"/>
                <w:sz w:val="18"/>
                <w:szCs w:val="18"/>
              </w:rPr>
              <w:t xml:space="preserve">Requirement</w:t>
            </w:r>
          </w:p>
        </w:tc>
        <w:tc>
          <w:tcPr>
            <w:tcW w:type="dxa" w:w="1500"/>
            <w:tcBorders>
              <w:top w:val="single" w:color="CCCCCC" w:sz="1"/>
              <w:left w:val="single" w:color="CCCCCC" w:sz="1"/>
              <w:bottom w:val="single" w:color="CCCCCC" w:sz="1"/>
              <w:right w:val="single" w:color="CCCCCC" w:sz="1"/>
            </w:tcBorders>
            <w:shd w:fill="1B365D" w:val="clear"/>
          </w:tcPr>
          <w:p>
            <w:pPr>
              <w:jc w:val="center"/>
            </w:pPr>
            <w:r>
              <w:rPr>
                <w:b/>
                <w:bCs/>
                <w:color w:val="FFFFFF"/>
                <w:sz w:val="18"/>
                <w:szCs w:val="18"/>
              </w:rPr>
              <w:t xml:space="preserve">Authorized</w:t>
            </w:r>
          </w:p>
        </w:tc>
        <w:tc>
          <w:tcPr>
            <w:tcW w:type="dxa" w:w="1500"/>
            <w:tcBorders>
              <w:top w:val="single" w:color="CCCCCC" w:sz="1"/>
              <w:left w:val="single" w:color="CCCCCC" w:sz="1"/>
              <w:bottom w:val="single" w:color="CCCCCC" w:sz="1"/>
              <w:right w:val="single" w:color="CCCCCC" w:sz="1"/>
            </w:tcBorders>
            <w:shd w:fill="1B365D" w:val="clear"/>
          </w:tcPr>
          <w:p>
            <w:pPr>
              <w:jc w:val="center"/>
            </w:pPr>
            <w:r>
              <w:rPr>
                <w:b/>
                <w:bCs/>
                <w:color w:val="FFFFFF"/>
                <w:sz w:val="18"/>
                <w:szCs w:val="18"/>
              </w:rPr>
              <w:t xml:space="preserve">Silver</w:t>
            </w:r>
          </w:p>
        </w:tc>
        <w:tc>
          <w:tcPr>
            <w:tcW w:type="dxa" w:w="1500"/>
            <w:tcBorders>
              <w:top w:val="single" w:color="CCCCCC" w:sz="1"/>
              <w:left w:val="single" w:color="CCCCCC" w:sz="1"/>
              <w:bottom w:val="single" w:color="CCCCCC" w:sz="1"/>
              <w:right w:val="single" w:color="CCCCCC" w:sz="1"/>
            </w:tcBorders>
            <w:shd w:fill="1B365D" w:val="clear"/>
          </w:tcPr>
          <w:p>
            <w:pPr>
              <w:jc w:val="center"/>
            </w:pPr>
            <w:r>
              <w:rPr>
                <w:b/>
                <w:bCs/>
                <w:color w:val="FFFFFF"/>
                <w:sz w:val="18"/>
                <w:szCs w:val="18"/>
              </w:rPr>
              <w:t xml:space="preserve">Gold</w:t>
            </w:r>
          </w:p>
        </w:tc>
        <w:tc>
          <w:tcPr>
            <w:tcW w:type="dxa" w:w="1500"/>
            <w:tcBorders>
              <w:top w:val="single" w:color="CCCCCC" w:sz="1"/>
              <w:left w:val="single" w:color="CCCCCC" w:sz="1"/>
              <w:bottom w:val="single" w:color="CCCCCC" w:sz="1"/>
              <w:right w:val="single" w:color="CCCCCC" w:sz="1"/>
            </w:tcBorders>
            <w:shd w:fill="1B365D" w:val="clear"/>
          </w:tcPr>
          <w:p>
            <w:pPr>
              <w:jc w:val="center"/>
            </w:pPr>
            <w:r>
              <w:rPr>
                <w:b/>
                <w:bCs/>
                <w:color w:val="FFFFFF"/>
                <w:sz w:val="18"/>
                <w:szCs w:val="18"/>
              </w:rPr>
              <w:t xml:space="preserve">Platinum</w:t>
            </w:r>
          </w:p>
        </w:tc>
      </w:tr>
      <w:tr>
        <w:tc>
          <w:tcPr>
            <w:tcW w:type="dxa" w:w="3500"/>
            <w:tcBorders>
              <w:top w:val="single" w:color="CCCCCC" w:sz="1"/>
              <w:left w:val="single" w:color="CCCCCC" w:sz="1"/>
              <w:bottom w:val="single" w:color="CCCCCC" w:sz="1"/>
              <w:right w:val="single" w:color="CCCCCC" w:sz="1"/>
            </w:tcBorders>
          </w:tcPr>
          <w:p>
            <w:r>
              <w:rPr>
                <w:sz w:val="18"/>
                <w:szCs w:val="18"/>
              </w:rPr>
              <w:t xml:space="preserve">Certified Sales Reps</w:t>
            </w:r>
          </w:p>
        </w:tc>
        <w:tc>
          <w:tcPr>
            <w:tcW w:type="dxa" w:w="1500"/>
            <w:tcBorders>
              <w:top w:val="single" w:color="CCCCCC" w:sz="1"/>
              <w:left w:val="single" w:color="CCCCCC" w:sz="1"/>
              <w:bottom w:val="single" w:color="CCCCCC" w:sz="1"/>
              <w:right w:val="single" w:color="CCCCCC" w:sz="1"/>
            </w:tcBorders>
          </w:tcPr>
          <w:p>
            <w:pPr>
              <w:jc w:val="center"/>
            </w:pPr>
            <w:r>
              <w:rPr>
                <w:sz w:val="18"/>
                <w:szCs w:val="18"/>
              </w:rPr>
              <w:t xml:space="preserve">1</w:t>
            </w:r>
          </w:p>
        </w:tc>
        <w:tc>
          <w:tcPr>
            <w:tcW w:type="dxa" w:w="1500"/>
            <w:tcBorders>
              <w:top w:val="single" w:color="CCCCCC" w:sz="1"/>
              <w:left w:val="single" w:color="CCCCCC" w:sz="1"/>
              <w:bottom w:val="single" w:color="CCCCCC" w:sz="1"/>
              <w:right w:val="single" w:color="CCCCCC" w:sz="1"/>
            </w:tcBorders>
          </w:tcPr>
          <w:p>
            <w:pPr>
              <w:jc w:val="center"/>
            </w:pPr>
            <w:r>
              <w:rPr>
                <w:sz w:val="18"/>
                <w:szCs w:val="18"/>
              </w:rPr>
              <w:t xml:space="preserve">2</w:t>
            </w:r>
          </w:p>
        </w:tc>
        <w:tc>
          <w:tcPr>
            <w:tcW w:type="dxa" w:w="1500"/>
            <w:tcBorders>
              <w:top w:val="single" w:color="CCCCCC" w:sz="1"/>
              <w:left w:val="single" w:color="CCCCCC" w:sz="1"/>
              <w:bottom w:val="single" w:color="CCCCCC" w:sz="1"/>
              <w:right w:val="single" w:color="CCCCCC" w:sz="1"/>
            </w:tcBorders>
          </w:tcPr>
          <w:p>
            <w:pPr>
              <w:jc w:val="center"/>
            </w:pPr>
            <w:r>
              <w:rPr>
                <w:sz w:val="18"/>
                <w:szCs w:val="18"/>
              </w:rPr>
              <w:t xml:space="preserve">4</w:t>
            </w:r>
          </w:p>
        </w:tc>
        <w:tc>
          <w:tcPr>
            <w:tcW w:type="dxa" w:w="1500"/>
            <w:tcBorders>
              <w:top w:val="single" w:color="CCCCCC" w:sz="1"/>
              <w:left w:val="single" w:color="CCCCCC" w:sz="1"/>
              <w:bottom w:val="single" w:color="CCCCCC" w:sz="1"/>
              <w:right w:val="single" w:color="CCCCCC" w:sz="1"/>
            </w:tcBorders>
          </w:tcPr>
          <w:p>
            <w:pPr>
              <w:jc w:val="center"/>
            </w:pPr>
            <w:r>
              <w:rPr>
                <w:sz w:val="18"/>
                <w:szCs w:val="18"/>
              </w:rPr>
              <w:t xml:space="preserve">6</w:t>
            </w:r>
          </w:p>
        </w:tc>
      </w:tr>
      <w:tr>
        <w:tc>
          <w:tcPr>
            <w:tcW w:type="dxa" w:w="3500"/>
            <w:tcBorders>
              <w:top w:val="single" w:color="CCCCCC" w:sz="1"/>
              <w:left w:val="single" w:color="CCCCCC" w:sz="1"/>
              <w:bottom w:val="single" w:color="CCCCCC" w:sz="1"/>
              <w:right w:val="single" w:color="CCCCCC" w:sz="1"/>
            </w:tcBorders>
            <w:shd w:fill="F8F9FA" w:val="clear"/>
          </w:tcPr>
          <w:p>
            <w:r>
              <w:rPr>
                <w:sz w:val="18"/>
                <w:szCs w:val="18"/>
              </w:rPr>
              <w:t xml:space="preserve">Certified Tech Staff</w:t>
            </w:r>
          </w:p>
        </w:tc>
        <w:tc>
          <w:tcPr>
            <w:tcW w:type="dxa" w:w="1500"/>
            <w:tcBorders>
              <w:top w:val="single" w:color="CCCCCC" w:sz="1"/>
              <w:left w:val="single" w:color="CCCCCC" w:sz="1"/>
              <w:bottom w:val="single" w:color="CCCCCC" w:sz="1"/>
              <w:right w:val="single" w:color="CCCCCC" w:sz="1"/>
            </w:tcBorders>
            <w:shd w:fill="F8F9FA" w:val="clear"/>
          </w:tcPr>
          <w:p>
            <w:pPr>
              <w:jc w:val="center"/>
            </w:pPr>
            <w:r>
              <w:rPr>
                <w:sz w:val="18"/>
                <w:szCs w:val="18"/>
              </w:rPr>
              <w:t xml:space="preserve">1</w:t>
            </w:r>
          </w:p>
        </w:tc>
        <w:tc>
          <w:tcPr>
            <w:tcW w:type="dxa" w:w="1500"/>
            <w:tcBorders>
              <w:top w:val="single" w:color="CCCCCC" w:sz="1"/>
              <w:left w:val="single" w:color="CCCCCC" w:sz="1"/>
              <w:bottom w:val="single" w:color="CCCCCC" w:sz="1"/>
              <w:right w:val="single" w:color="CCCCCC" w:sz="1"/>
            </w:tcBorders>
            <w:shd w:fill="F8F9FA" w:val="clear"/>
          </w:tcPr>
          <w:p>
            <w:pPr>
              <w:jc w:val="center"/>
            </w:pPr>
            <w:r>
              <w:rPr>
                <w:sz w:val="18"/>
                <w:szCs w:val="18"/>
              </w:rPr>
              <w:t xml:space="preserve">2</w:t>
            </w:r>
          </w:p>
        </w:tc>
        <w:tc>
          <w:tcPr>
            <w:tcW w:type="dxa" w:w="1500"/>
            <w:tcBorders>
              <w:top w:val="single" w:color="CCCCCC" w:sz="1"/>
              <w:left w:val="single" w:color="CCCCCC" w:sz="1"/>
              <w:bottom w:val="single" w:color="CCCCCC" w:sz="1"/>
              <w:right w:val="single" w:color="CCCCCC" w:sz="1"/>
            </w:tcBorders>
            <w:shd w:fill="F8F9FA" w:val="clear"/>
          </w:tcPr>
          <w:p>
            <w:pPr>
              <w:jc w:val="center"/>
            </w:pPr>
            <w:r>
              <w:rPr>
                <w:sz w:val="18"/>
                <w:szCs w:val="18"/>
              </w:rPr>
              <w:t xml:space="preserve">3</w:t>
            </w:r>
          </w:p>
        </w:tc>
        <w:tc>
          <w:tcPr>
            <w:tcW w:type="dxa" w:w="1500"/>
            <w:tcBorders>
              <w:top w:val="single" w:color="CCCCCC" w:sz="1"/>
              <w:left w:val="single" w:color="CCCCCC" w:sz="1"/>
              <w:bottom w:val="single" w:color="CCCCCC" w:sz="1"/>
              <w:right w:val="single" w:color="CCCCCC" w:sz="1"/>
            </w:tcBorders>
            <w:shd w:fill="F8F9FA" w:val="clear"/>
          </w:tcPr>
          <w:p>
            <w:pPr>
              <w:jc w:val="center"/>
            </w:pPr>
            <w:r>
              <w:rPr>
                <w:sz w:val="18"/>
                <w:szCs w:val="18"/>
              </w:rPr>
              <w:t xml:space="preserve">5</w:t>
            </w:r>
          </w:p>
        </w:tc>
      </w:tr>
      <w:tr>
        <w:tc>
          <w:tcPr>
            <w:tcW w:type="dxa" w:w="3500"/>
            <w:tcBorders>
              <w:top w:val="single" w:color="CCCCCC" w:sz="1"/>
              <w:left w:val="single" w:color="CCCCCC" w:sz="1"/>
              <w:bottom w:val="single" w:color="CCCCCC" w:sz="1"/>
              <w:right w:val="single" w:color="CCCCCC" w:sz="1"/>
            </w:tcBorders>
          </w:tcPr>
          <w:p>
            <w:r>
              <w:rPr>
                <w:sz w:val="18"/>
                <w:szCs w:val="18"/>
              </w:rPr>
              <w:t xml:space="preserve">Annual Revenue Target</w:t>
            </w:r>
          </w:p>
        </w:tc>
        <w:tc>
          <w:tcPr>
            <w:tcW w:type="dxa" w:w="1500"/>
            <w:tcBorders>
              <w:top w:val="single" w:color="CCCCCC" w:sz="1"/>
              <w:left w:val="single" w:color="CCCCCC" w:sz="1"/>
              <w:bottom w:val="single" w:color="CCCCCC" w:sz="1"/>
              <w:right w:val="single" w:color="CCCCCC" w:sz="1"/>
            </w:tcBorders>
          </w:tcPr>
          <w:p>
            <w:pPr>
              <w:jc w:val="center"/>
            </w:pPr>
            <w:r>
              <w:rPr>
                <w:sz w:val="18"/>
                <w:szCs w:val="18"/>
              </w:rPr>
              <w:t xml:space="preserve">$50K</w:t>
            </w:r>
          </w:p>
        </w:tc>
        <w:tc>
          <w:tcPr>
            <w:tcW w:type="dxa" w:w="1500"/>
            <w:tcBorders>
              <w:top w:val="single" w:color="CCCCCC" w:sz="1"/>
              <w:left w:val="single" w:color="CCCCCC" w:sz="1"/>
              <w:bottom w:val="single" w:color="CCCCCC" w:sz="1"/>
              <w:right w:val="single" w:color="CCCCCC" w:sz="1"/>
            </w:tcBorders>
          </w:tcPr>
          <w:p>
            <w:pPr>
              <w:jc w:val="center"/>
            </w:pPr>
            <w:r>
              <w:rPr>
                <w:sz w:val="18"/>
                <w:szCs w:val="18"/>
              </w:rPr>
              <w:t xml:space="preserve">$150K</w:t>
            </w:r>
          </w:p>
        </w:tc>
        <w:tc>
          <w:tcPr>
            <w:tcW w:type="dxa" w:w="1500"/>
            <w:tcBorders>
              <w:top w:val="single" w:color="CCCCCC" w:sz="1"/>
              <w:left w:val="single" w:color="CCCCCC" w:sz="1"/>
              <w:bottom w:val="single" w:color="CCCCCC" w:sz="1"/>
              <w:right w:val="single" w:color="CCCCCC" w:sz="1"/>
            </w:tcBorders>
          </w:tcPr>
          <w:p>
            <w:pPr>
              <w:jc w:val="center"/>
            </w:pPr>
            <w:r>
              <w:rPr>
                <w:sz w:val="18"/>
                <w:szCs w:val="18"/>
              </w:rPr>
              <w:t xml:space="preserve">$400K</w:t>
            </w:r>
          </w:p>
        </w:tc>
        <w:tc>
          <w:tcPr>
            <w:tcW w:type="dxa" w:w="1500"/>
            <w:tcBorders>
              <w:top w:val="single" w:color="CCCCCC" w:sz="1"/>
              <w:left w:val="single" w:color="CCCCCC" w:sz="1"/>
              <w:bottom w:val="single" w:color="CCCCCC" w:sz="1"/>
              <w:right w:val="single" w:color="CCCCCC" w:sz="1"/>
            </w:tcBorders>
          </w:tcPr>
          <w:p>
            <w:pPr>
              <w:jc w:val="center"/>
            </w:pPr>
            <w:r>
              <w:rPr>
                <w:sz w:val="18"/>
                <w:szCs w:val="18"/>
              </w:rPr>
              <w:t xml:space="preserve">$1M+</w:t>
            </w:r>
          </w:p>
        </w:tc>
      </w:tr>
      <w:tr>
        <w:tc>
          <w:tcPr>
            <w:tcW w:type="dxa" w:w="3500"/>
            <w:tcBorders>
              <w:top w:val="single" w:color="CCCCCC" w:sz="1"/>
              <w:left w:val="single" w:color="CCCCCC" w:sz="1"/>
              <w:bottom w:val="single" w:color="CCCCCC" w:sz="1"/>
              <w:right w:val="single" w:color="CCCCCC" w:sz="1"/>
            </w:tcBorders>
            <w:shd w:fill="F8F9FA" w:val="clear"/>
          </w:tcPr>
          <w:p>
            <w:r>
              <w:rPr>
                <w:sz w:val="18"/>
                <w:szCs w:val="18"/>
              </w:rPr>
              <w:t xml:space="preserve">MDF Allocation</w:t>
            </w:r>
          </w:p>
        </w:tc>
        <w:tc>
          <w:tcPr>
            <w:tcW w:type="dxa" w:w="1500"/>
            <w:tcBorders>
              <w:top w:val="single" w:color="CCCCCC" w:sz="1"/>
              <w:left w:val="single" w:color="CCCCCC" w:sz="1"/>
              <w:bottom w:val="single" w:color="CCCCCC" w:sz="1"/>
              <w:right w:val="single" w:color="CCCCCC" w:sz="1"/>
            </w:tcBorders>
            <w:shd w:fill="F8F9FA" w:val="clear"/>
          </w:tcPr>
          <w:p>
            <w:pPr>
              <w:jc w:val="center"/>
            </w:pPr>
            <w:r>
              <w:rPr>
                <w:sz w:val="18"/>
                <w:szCs w:val="18"/>
              </w:rPr>
              <w:t xml:space="preserve">$2K</w:t>
            </w:r>
          </w:p>
        </w:tc>
        <w:tc>
          <w:tcPr>
            <w:tcW w:type="dxa" w:w="1500"/>
            <w:tcBorders>
              <w:top w:val="single" w:color="CCCCCC" w:sz="1"/>
              <w:left w:val="single" w:color="CCCCCC" w:sz="1"/>
              <w:bottom w:val="single" w:color="CCCCCC" w:sz="1"/>
              <w:right w:val="single" w:color="CCCCCC" w:sz="1"/>
            </w:tcBorders>
            <w:shd w:fill="F8F9FA" w:val="clear"/>
          </w:tcPr>
          <w:p>
            <w:pPr>
              <w:jc w:val="center"/>
            </w:pPr>
            <w:r>
              <w:rPr>
                <w:sz w:val="18"/>
                <w:szCs w:val="18"/>
              </w:rPr>
              <w:t xml:space="preserve">$10K</w:t>
            </w:r>
          </w:p>
        </w:tc>
        <w:tc>
          <w:tcPr>
            <w:tcW w:type="dxa" w:w="1500"/>
            <w:tcBorders>
              <w:top w:val="single" w:color="CCCCCC" w:sz="1"/>
              <w:left w:val="single" w:color="CCCCCC" w:sz="1"/>
              <w:bottom w:val="single" w:color="CCCCCC" w:sz="1"/>
              <w:right w:val="single" w:color="CCCCCC" w:sz="1"/>
            </w:tcBorders>
            <w:shd w:fill="F8F9FA" w:val="clear"/>
          </w:tcPr>
          <w:p>
            <w:pPr>
              <w:jc w:val="center"/>
            </w:pPr>
            <w:r>
              <w:rPr>
                <w:sz w:val="18"/>
                <w:szCs w:val="18"/>
              </w:rPr>
              <w:t xml:space="preserve">$25K</w:t>
            </w:r>
          </w:p>
        </w:tc>
        <w:tc>
          <w:tcPr>
            <w:tcW w:type="dxa" w:w="1500"/>
            <w:tcBorders>
              <w:top w:val="single" w:color="CCCCCC" w:sz="1"/>
              <w:left w:val="single" w:color="CCCCCC" w:sz="1"/>
              <w:bottom w:val="single" w:color="CCCCCC" w:sz="1"/>
              <w:right w:val="single" w:color="CCCCCC" w:sz="1"/>
            </w:tcBorders>
            <w:shd w:fill="F8F9FA" w:val="clear"/>
          </w:tcPr>
          <w:p>
            <w:pPr>
              <w:jc w:val="center"/>
            </w:pPr>
            <w:r>
              <w:rPr>
                <w:sz w:val="18"/>
                <w:szCs w:val="18"/>
              </w:rPr>
              <w:t xml:space="preserve">$50K+</w:t>
            </w:r>
          </w:p>
        </w:tc>
      </w:tr>
    </w:tbl>
    <w:p>
      <w:pPr>
        <w:spacing w:before="240"/>
      </w:pPr>
    </w:p>
    <w:p>
      <w:pPr>
        <w:spacing w:after="120"/>
      </w:pPr>
      <w:r>
        <w:rPr>
          <w:b/>
          <w:bCs/>
          <w:sz w:val="22"/>
          <w:szCs w:val="22"/>
        </w:rPr>
        <w:t xml:space="preserve">5. SPECIAL TERMS (if any)</w:t>
      </w:r>
    </w:p>
    <w:p>
      <w:pPr>
        <w:spacing w:after="120"/>
      </w:pPr>
      <w:r>
        <w:rPr>
          <w:sz w:val="22"/>
          <w:szCs w:val="22"/>
        </w:rPr>
        <w:t xml:space="preserve">_____________________________________________________________</w:t>
      </w:r>
    </w:p>
    <w:p>
      <w:pPr>
        <w:spacing w:after="120"/>
      </w:pPr>
      <w:r>
        <w:rPr>
          <w:sz w:val="22"/>
          <w:szCs w:val="22"/>
        </w:rPr>
        <w:t xml:space="preserve">_____________________________________________________________</w:t>
      </w:r>
    </w:p>
    <w:p>
      <w:r>
        <w:br w:type="page"/>
      </w:r>
    </w:p>
    <w:p>
      <w:pPr>
        <w:spacing w:after="240"/>
        <w:jc w:val="center"/>
      </w:pPr>
      <w:r>
        <w:rPr>
          <w:b/>
          <w:bCs/>
          <w:sz w:val="28"/>
          <w:szCs w:val="28"/>
        </w:rPr>
        <w:t xml:space="preserve">EXHIBIT B</w:t>
      </w:r>
    </w:p>
    <w:p>
      <w:pPr>
        <w:spacing w:after="360"/>
        <w:jc w:val="center"/>
      </w:pPr>
      <w:r>
        <w:rPr>
          <w:b/>
          <w:bCs/>
          <w:sz w:val="24"/>
          <w:szCs w:val="24"/>
        </w:rPr>
        <w:t xml:space="preserve">AUTHORIZED PRODUCTS AND PRICING</w:t>
      </w:r>
    </w:p>
    <w:p>
      <w:pPr>
        <w:spacing w:after="120"/>
      </w:pPr>
      <w:r>
        <w:rPr>
          <w:b/>
          <w:bCs/>
          <w:sz w:val="22"/>
          <w:szCs w:val="22"/>
        </w:rPr>
        <w:t xml:space="preserve">IVYAR PLATFORM MODULES</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365D" w:val="clear"/>
          </w:tcPr>
          <w:p>
            <w:r>
              <w:rPr>
                <w:b/>
                <w:bCs/>
                <w:color w:val="FFFFFF"/>
                <w:sz w:val="20"/>
                <w:szCs w:val="20"/>
              </w:rPr>
              <w:t xml:space="preserve">Module</w:t>
            </w:r>
          </w:p>
        </w:tc>
        <w:tc>
          <w:tcPr>
            <w:tcW w:type="dxa" w:w="2680"/>
            <w:tcBorders>
              <w:top w:val="single" w:color="CCCCCC" w:sz="1"/>
              <w:left w:val="single" w:color="CCCCCC" w:sz="1"/>
              <w:bottom w:val="single" w:color="CCCCCC" w:sz="1"/>
              <w:right w:val="single" w:color="CCCCCC" w:sz="1"/>
            </w:tcBorders>
            <w:shd w:fill="1B365D" w:val="clear"/>
          </w:tcPr>
          <w:p>
            <w:pPr>
              <w:jc w:val="center"/>
            </w:pPr>
            <w:r>
              <w:rPr>
                <w:b/>
                <w:bCs/>
                <w:color w:val="FFFFFF"/>
                <w:sz w:val="20"/>
                <w:szCs w:val="20"/>
              </w:rPr>
              <w:t xml:space="preserve">List Price</w:t>
            </w:r>
          </w:p>
        </w:tc>
        <w:tc>
          <w:tcPr>
            <w:tcW w:type="dxa" w:w="2680"/>
            <w:tcBorders>
              <w:top w:val="single" w:color="CCCCCC" w:sz="1"/>
              <w:left w:val="single" w:color="CCCCCC" w:sz="1"/>
              <w:bottom w:val="single" w:color="CCCCCC" w:sz="1"/>
              <w:right w:val="single" w:color="CCCCCC" w:sz="1"/>
            </w:tcBorders>
            <w:shd w:fill="1B365D" w:val="clear"/>
          </w:tcPr>
          <w:p>
            <w:pPr>
              <w:jc w:val="center"/>
            </w:pPr>
            <w:r>
              <w:rPr>
                <w:b/>
                <w:bCs/>
                <w:color w:val="FFFFFF"/>
                <w:sz w:val="20"/>
                <w:szCs w:val="20"/>
              </w:rPr>
              <w:t xml:space="preserve">Partner Price</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Core Platform (Starter)</w:t>
            </w:r>
          </w:p>
        </w:tc>
        <w:tc>
          <w:tcPr>
            <w:tcW w:type="dxa" w:w="2680"/>
            <w:tcBorders>
              <w:top w:val="single" w:color="CCCCCC" w:sz="1"/>
              <w:left w:val="single" w:color="CCCCCC" w:sz="1"/>
              <w:bottom w:val="single" w:color="CCCCCC" w:sz="1"/>
              <w:right w:val="single" w:color="CCCCCC" w:sz="1"/>
            </w:tcBorders>
          </w:tcPr>
          <w:p>
            <w:pPr>
              <w:jc w:val="center"/>
            </w:pPr>
            <w:r>
              <w:rPr>
                <w:sz w:val="20"/>
                <w:szCs w:val="20"/>
              </w:rPr>
              <w:t xml:space="preserve">$75,000/yr</w:t>
            </w:r>
          </w:p>
        </w:tc>
        <w:tc>
          <w:tcPr>
            <w:tcW w:type="dxa" w:w="2680"/>
            <w:tcBorders>
              <w:top w:val="single" w:color="CCCCCC" w:sz="1"/>
              <w:left w:val="single" w:color="CCCCCC" w:sz="1"/>
              <w:bottom w:val="single" w:color="CCCCCC" w:sz="1"/>
              <w:right w:val="single" w:color="CCCCCC" w:sz="1"/>
            </w:tcBorders>
          </w:tcPr>
          <w:p>
            <w:pPr>
              <w:jc w:val="center"/>
            </w:pPr>
            <w:r>
              <w:rPr>
                <w:sz w:val="20"/>
                <w:szCs w:val="20"/>
              </w:rPr>
              <w:t xml:space="preserve">Per Tier</w:t>
            </w:r>
          </w:p>
        </w:tc>
      </w:tr>
      <w:tr>
        <w:tc>
          <w:tcPr>
            <w:tcW w:type="dxa" w:w="4000"/>
            <w:tcBorders>
              <w:top w:val="single" w:color="CCCCCC" w:sz="1"/>
              <w:left w:val="single" w:color="CCCCCC" w:sz="1"/>
              <w:bottom w:val="single" w:color="CCCCCC" w:sz="1"/>
              <w:right w:val="single" w:color="CCCCCC" w:sz="1"/>
            </w:tcBorders>
            <w:shd w:fill="F8F9FA" w:val="clear"/>
          </w:tcPr>
          <w:p>
            <w:r>
              <w:rPr>
                <w:sz w:val="20"/>
                <w:szCs w:val="20"/>
              </w:rPr>
              <w:t xml:space="preserve">Core Platform (Professional)</w:t>
            </w:r>
          </w:p>
        </w:tc>
        <w:tc>
          <w:tcPr>
            <w:tcW w:type="dxa" w:w="2680"/>
            <w:tcBorders>
              <w:top w:val="single" w:color="CCCCCC" w:sz="1"/>
              <w:left w:val="single" w:color="CCCCCC" w:sz="1"/>
              <w:bottom w:val="single" w:color="CCCCCC" w:sz="1"/>
              <w:right w:val="single" w:color="CCCCCC" w:sz="1"/>
            </w:tcBorders>
            <w:shd w:fill="F8F9FA" w:val="clear"/>
          </w:tcPr>
          <w:p>
            <w:pPr>
              <w:jc w:val="center"/>
            </w:pPr>
            <w:r>
              <w:rPr>
                <w:sz w:val="20"/>
                <w:szCs w:val="20"/>
              </w:rPr>
              <w:t xml:space="preserve">$150,000/yr</w:t>
            </w:r>
          </w:p>
        </w:tc>
        <w:tc>
          <w:tcPr>
            <w:tcW w:type="dxa" w:w="2680"/>
            <w:tcBorders>
              <w:top w:val="single" w:color="CCCCCC" w:sz="1"/>
              <w:left w:val="single" w:color="CCCCCC" w:sz="1"/>
              <w:bottom w:val="single" w:color="CCCCCC" w:sz="1"/>
              <w:right w:val="single" w:color="CCCCCC" w:sz="1"/>
            </w:tcBorders>
            <w:shd w:fill="F8F9FA" w:val="clear"/>
          </w:tcPr>
          <w:p>
            <w:pPr>
              <w:jc w:val="center"/>
            </w:pPr>
            <w:r>
              <w:rPr>
                <w:sz w:val="20"/>
                <w:szCs w:val="20"/>
              </w:rPr>
              <w:t xml:space="preserve">Per Tier</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Core Platform (Enterprise)</w:t>
            </w:r>
          </w:p>
        </w:tc>
        <w:tc>
          <w:tcPr>
            <w:tcW w:type="dxa" w:w="2680"/>
            <w:tcBorders>
              <w:top w:val="single" w:color="CCCCCC" w:sz="1"/>
              <w:left w:val="single" w:color="CCCCCC" w:sz="1"/>
              <w:bottom w:val="single" w:color="CCCCCC" w:sz="1"/>
              <w:right w:val="single" w:color="CCCCCC" w:sz="1"/>
            </w:tcBorders>
          </w:tcPr>
          <w:p>
            <w:pPr>
              <w:jc w:val="center"/>
            </w:pPr>
            <w:r>
              <w:rPr>
                <w:sz w:val="20"/>
                <w:szCs w:val="20"/>
              </w:rPr>
              <w:t xml:space="preserve">$250,000/yr</w:t>
            </w:r>
          </w:p>
        </w:tc>
        <w:tc>
          <w:tcPr>
            <w:tcW w:type="dxa" w:w="2680"/>
            <w:tcBorders>
              <w:top w:val="single" w:color="CCCCCC" w:sz="1"/>
              <w:left w:val="single" w:color="CCCCCC" w:sz="1"/>
              <w:bottom w:val="single" w:color="CCCCCC" w:sz="1"/>
              <w:right w:val="single" w:color="CCCCCC" w:sz="1"/>
            </w:tcBorders>
          </w:tcPr>
          <w:p>
            <w:pPr>
              <w:jc w:val="center"/>
            </w:pPr>
            <w:r>
              <w:rPr>
                <w:sz w:val="20"/>
                <w:szCs w:val="20"/>
              </w:rPr>
              <w:t xml:space="preserve">Per Tier</w:t>
            </w:r>
          </w:p>
        </w:tc>
      </w:tr>
      <w:tr>
        <w:tc>
          <w:tcPr>
            <w:tcW w:type="dxa" w:w="4000"/>
            <w:tcBorders>
              <w:top w:val="single" w:color="CCCCCC" w:sz="1"/>
              <w:left w:val="single" w:color="CCCCCC" w:sz="1"/>
              <w:bottom w:val="single" w:color="CCCCCC" w:sz="1"/>
              <w:right w:val="single" w:color="CCCCCC" w:sz="1"/>
            </w:tcBorders>
            <w:shd w:fill="F8F9FA" w:val="clear"/>
          </w:tcPr>
          <w:p>
            <w:r>
              <w:rPr>
                <w:sz w:val="20"/>
                <w:szCs w:val="20"/>
              </w:rPr>
              <w:t xml:space="preserve">Security Suite Add-on</w:t>
            </w:r>
          </w:p>
        </w:tc>
        <w:tc>
          <w:tcPr>
            <w:tcW w:type="dxa" w:w="2680"/>
            <w:tcBorders>
              <w:top w:val="single" w:color="CCCCCC" w:sz="1"/>
              <w:left w:val="single" w:color="CCCCCC" w:sz="1"/>
              <w:bottom w:val="single" w:color="CCCCCC" w:sz="1"/>
              <w:right w:val="single" w:color="CCCCCC" w:sz="1"/>
            </w:tcBorders>
            <w:shd w:fill="F8F9FA" w:val="clear"/>
          </w:tcPr>
          <w:p>
            <w:pPr>
              <w:jc w:val="center"/>
            </w:pPr>
            <w:r>
              <w:rPr>
                <w:sz w:val="20"/>
                <w:szCs w:val="20"/>
              </w:rPr>
              <w:t xml:space="preserve">$50,000-100,000/yr</w:t>
            </w:r>
          </w:p>
        </w:tc>
        <w:tc>
          <w:tcPr>
            <w:tcW w:type="dxa" w:w="2680"/>
            <w:tcBorders>
              <w:top w:val="single" w:color="CCCCCC" w:sz="1"/>
              <w:left w:val="single" w:color="CCCCCC" w:sz="1"/>
              <w:bottom w:val="single" w:color="CCCCCC" w:sz="1"/>
              <w:right w:val="single" w:color="CCCCCC" w:sz="1"/>
            </w:tcBorders>
            <w:shd w:fill="F8F9FA" w:val="clear"/>
          </w:tcPr>
          <w:p>
            <w:pPr>
              <w:jc w:val="center"/>
            </w:pPr>
            <w:r>
              <w:rPr>
                <w:sz w:val="20"/>
                <w:szCs w:val="20"/>
              </w:rPr>
              <w:t xml:space="preserve">Per Tier</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Academy Module</w:t>
            </w:r>
          </w:p>
        </w:tc>
        <w:tc>
          <w:tcPr>
            <w:tcW w:type="dxa" w:w="2680"/>
            <w:tcBorders>
              <w:top w:val="single" w:color="CCCCCC" w:sz="1"/>
              <w:left w:val="single" w:color="CCCCCC" w:sz="1"/>
              <w:bottom w:val="single" w:color="CCCCCC" w:sz="1"/>
              <w:right w:val="single" w:color="CCCCCC" w:sz="1"/>
            </w:tcBorders>
          </w:tcPr>
          <w:p>
            <w:pPr>
              <w:jc w:val="center"/>
            </w:pPr>
            <w:r>
              <w:rPr>
                <w:sz w:val="20"/>
                <w:szCs w:val="20"/>
              </w:rPr>
              <w:t xml:space="preserve">$20,000/yr</w:t>
            </w:r>
          </w:p>
        </w:tc>
        <w:tc>
          <w:tcPr>
            <w:tcW w:type="dxa" w:w="2680"/>
            <w:tcBorders>
              <w:top w:val="single" w:color="CCCCCC" w:sz="1"/>
              <w:left w:val="single" w:color="CCCCCC" w:sz="1"/>
              <w:bottom w:val="single" w:color="CCCCCC" w:sz="1"/>
              <w:right w:val="single" w:color="CCCCCC" w:sz="1"/>
            </w:tcBorders>
          </w:tcPr>
          <w:p>
            <w:pPr>
              <w:jc w:val="center"/>
            </w:pPr>
            <w:r>
              <w:rPr>
                <w:sz w:val="20"/>
                <w:szCs w:val="20"/>
              </w:rPr>
              <w:t xml:space="preserve">Per Tier</w:t>
            </w:r>
          </w:p>
        </w:tc>
      </w:tr>
      <w:tr>
        <w:tc>
          <w:tcPr>
            <w:tcW w:type="dxa" w:w="4000"/>
            <w:tcBorders>
              <w:top w:val="single" w:color="CCCCCC" w:sz="1"/>
              <w:left w:val="single" w:color="CCCCCC" w:sz="1"/>
              <w:bottom w:val="single" w:color="CCCCCC" w:sz="1"/>
              <w:right w:val="single" w:color="CCCCCC" w:sz="1"/>
            </w:tcBorders>
            <w:shd w:fill="F8F9FA" w:val="clear"/>
          </w:tcPr>
          <w:p>
            <w:r>
              <w:rPr>
                <w:sz w:val="20"/>
                <w:szCs w:val="20"/>
              </w:rPr>
              <w:t xml:space="preserve">Simulation Engine</w:t>
            </w:r>
          </w:p>
        </w:tc>
        <w:tc>
          <w:tcPr>
            <w:tcW w:type="dxa" w:w="2680"/>
            <w:tcBorders>
              <w:top w:val="single" w:color="CCCCCC" w:sz="1"/>
              <w:left w:val="single" w:color="CCCCCC" w:sz="1"/>
              <w:bottom w:val="single" w:color="CCCCCC" w:sz="1"/>
              <w:right w:val="single" w:color="CCCCCC" w:sz="1"/>
            </w:tcBorders>
            <w:shd w:fill="F8F9FA" w:val="clear"/>
          </w:tcPr>
          <w:p>
            <w:pPr>
              <w:jc w:val="center"/>
            </w:pPr>
            <w:r>
              <w:rPr>
                <w:sz w:val="20"/>
                <w:szCs w:val="20"/>
              </w:rPr>
              <w:t xml:space="preserve">$50,000/yr</w:t>
            </w:r>
          </w:p>
        </w:tc>
        <w:tc>
          <w:tcPr>
            <w:tcW w:type="dxa" w:w="2680"/>
            <w:tcBorders>
              <w:top w:val="single" w:color="CCCCCC" w:sz="1"/>
              <w:left w:val="single" w:color="CCCCCC" w:sz="1"/>
              <w:bottom w:val="single" w:color="CCCCCC" w:sz="1"/>
              <w:right w:val="single" w:color="CCCCCC" w:sz="1"/>
            </w:tcBorders>
            <w:shd w:fill="F8F9FA" w:val="clear"/>
          </w:tcPr>
          <w:p>
            <w:pPr>
              <w:jc w:val="center"/>
            </w:pPr>
            <w:r>
              <w:rPr>
                <w:sz w:val="20"/>
                <w:szCs w:val="20"/>
              </w:rPr>
              <w:t xml:space="preserve">Per Tier</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Ethical AI Engine</w:t>
            </w:r>
          </w:p>
        </w:tc>
        <w:tc>
          <w:tcPr>
            <w:tcW w:type="dxa" w:w="2680"/>
            <w:tcBorders>
              <w:top w:val="single" w:color="CCCCCC" w:sz="1"/>
              <w:left w:val="single" w:color="CCCCCC" w:sz="1"/>
              <w:bottom w:val="single" w:color="CCCCCC" w:sz="1"/>
              <w:right w:val="single" w:color="CCCCCC" w:sz="1"/>
            </w:tcBorders>
          </w:tcPr>
          <w:p>
            <w:pPr>
              <w:jc w:val="center"/>
            </w:pPr>
            <w:r>
              <w:rPr>
                <w:sz w:val="20"/>
                <w:szCs w:val="20"/>
              </w:rPr>
              <w:t xml:space="preserve">$75,000/yr</w:t>
            </w:r>
          </w:p>
        </w:tc>
        <w:tc>
          <w:tcPr>
            <w:tcW w:type="dxa" w:w="2680"/>
            <w:tcBorders>
              <w:top w:val="single" w:color="CCCCCC" w:sz="1"/>
              <w:left w:val="single" w:color="CCCCCC" w:sz="1"/>
              <w:bottom w:val="single" w:color="CCCCCC" w:sz="1"/>
              <w:right w:val="single" w:color="CCCCCC" w:sz="1"/>
            </w:tcBorders>
          </w:tcPr>
          <w:p>
            <w:pPr>
              <w:jc w:val="center"/>
            </w:pPr>
            <w:r>
              <w:rPr>
                <w:sz w:val="20"/>
                <w:szCs w:val="20"/>
              </w:rPr>
              <w:t xml:space="preserve">Per Tier</w:t>
            </w:r>
          </w:p>
        </w:tc>
      </w:tr>
    </w:tbl>
    <w:p>
      <w:pPr>
        <w:spacing w:before="240"/>
      </w:pPr>
    </w:p>
    <w:p>
      <w:pPr>
        <w:spacing w:after="120"/>
      </w:pPr>
      <w:r>
        <w:rPr>
          <w:sz w:val="22"/>
          <w:szCs w:val="22"/>
        </w:rPr>
        <w:t xml:space="preserve">Partner pricing discounts are applied based on Partner Tier level as specified in Exhibit A. Contact IVYAR Partner Team for current discount schedules.</w:t>
      </w:r>
    </w:p>
    <w:p>
      <w:pPr>
        <w:spacing w:before="240"/>
      </w:pPr>
    </w:p>
    <w:p>
      <w:pPr>
        <w:jc w:val="center"/>
      </w:pPr>
      <w:r>
        <w:rPr>
          <w:i/>
          <w:iCs/>
          <w:color w:val="999999"/>
          <w:sz w:val="18"/>
          <w:szCs w:val="18"/>
        </w:rPr>
        <w:t xml:space="preserve">[END OF AGREEMENT]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r>
      <w:rPr>
        <w:color w:val="66666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IVYAR Partner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1"/>
      <w:lvlJc w:val="left"/>
      <w:pPr>
        <w:ind w:left="720" w:hanging="720"/>
      </w:pPr>
    </w:lvl>
  </w:abstractNum>
  <w:abstractNum w:abstractNumId="3" w15:restartNumberingAfterBreak="0">
    <w:multiLevelType w:val="hybridMultilevel"/>
    <w:lvl w:ilvl="0" w15:tentative="1">
      <w:start w:val="1"/>
      <w:numFmt w:val="decimal"/>
      <w:lvlText w:val="2.%1"/>
      <w:lvlJc w:val="left"/>
      <w:pPr>
        <w:ind w:left="720" w:hanging="720"/>
      </w:pPr>
    </w:lvl>
  </w:abstractNum>
  <w:abstractNum w:abstractNumId="4" w15:restartNumberingAfterBreak="0">
    <w:multiLevelType w:val="hybridMultilevel"/>
    <w:lvl w:ilvl="0" w15:tentative="1">
      <w:start w:val="1"/>
      <w:numFmt w:val="decimal"/>
      <w:lvlText w:val="3.%1"/>
      <w:lvlJc w:val="left"/>
      <w:pPr>
        <w:ind w:left="720" w:hanging="720"/>
      </w:pPr>
    </w:lvl>
  </w:abstractNum>
  <w:abstractNum w:abstractNumId="5" w15:restartNumberingAfterBreak="0">
    <w:multiLevelType w:val="hybridMultilevel"/>
    <w:lvl w:ilvl="0" w15:tentative="1">
      <w:start w:val="1"/>
      <w:numFmt w:val="decimal"/>
      <w:lvlText w:val="4.%1"/>
      <w:lvlJc w:val="left"/>
      <w:pPr>
        <w:ind w:left="720" w:hanging="720"/>
      </w:pPr>
    </w:lvl>
  </w:abstractNum>
  <w:abstractNum w:abstractNumId="6" w15:restartNumberingAfterBreak="0">
    <w:multiLevelType w:val="hybridMultilevel"/>
    <w:lvl w:ilvl="0" w15:tentative="1">
      <w:start w:val="1"/>
      <w:numFmt w:val="decimal"/>
      <w:lvlText w:val="5.%1"/>
      <w:lvlJc w:val="left"/>
      <w:pPr>
        <w:ind w:left="720" w:hanging="720"/>
      </w:pPr>
    </w:lvl>
  </w:abstractNum>
  <w:abstractNum w:abstractNumId="7" w15:restartNumberingAfterBreak="0">
    <w:multiLevelType w:val="hybridMultilevel"/>
    <w:lvl w:ilvl="0" w15:tentative="1">
      <w:start w:val="1"/>
      <w:numFmt w:val="decimal"/>
      <w:lvlText w:val="6.%1"/>
      <w:lvlJc w:val="left"/>
      <w:pPr>
        <w:ind w:left="720" w:hanging="720"/>
      </w:pPr>
    </w:lvl>
  </w:abstractNum>
  <w:abstractNum w:abstractNumId="8" w15:restartNumberingAfterBreak="0">
    <w:multiLevelType w:val="hybridMultilevel"/>
    <w:lvl w:ilvl="0" w15:tentative="1">
      <w:start w:val="1"/>
      <w:numFmt w:val="decimal"/>
      <w:lvlText w:val="7.%1"/>
      <w:lvlJc w:val="left"/>
      <w:pPr>
        <w:ind w:left="720" w:hanging="720"/>
      </w:pPr>
    </w:lvl>
  </w:abstractNum>
  <w:abstractNum w:abstractNumId="9" w15:restartNumberingAfterBreak="0">
    <w:multiLevelType w:val="hybridMultilevel"/>
    <w:lvl w:ilvl="0" w15:tentative="1">
      <w:start w:val="1"/>
      <w:numFmt w:val="decimal"/>
      <w:lvlText w:val="8.%1"/>
      <w:lvlJc w:val="left"/>
      <w:pPr>
        <w:ind w:left="720" w:hanging="720"/>
      </w:pPr>
    </w:lvl>
  </w:abstractNum>
  <w:abstractNum w:abstractNumId="10" w15:restartNumberingAfterBreak="0">
    <w:multiLevelType w:val="hybridMultilevel"/>
    <w:lvl w:ilvl="0" w15:tentative="1">
      <w:start w:val="1"/>
      <w:numFmt w:val="decimal"/>
      <w:lvlText w:val="9.%1"/>
      <w:lvlJc w:val="left"/>
      <w:pPr>
        <w:ind w:left="720" w:hanging="720"/>
      </w:pPr>
    </w:lvl>
  </w:abstractNum>
  <w:abstractNum w:abstractNumId="11" w15:restartNumberingAfterBreak="0">
    <w:multiLevelType w:val="hybridMultilevel"/>
    <w:lvl w:ilvl="0" w15:tentative="1">
      <w:start w:val="1"/>
      <w:numFmt w:val="decimal"/>
      <w:lvlText w:val="10.%1"/>
      <w:lvlJc w:val="left"/>
      <w:pPr>
        <w:ind w:left="720" w:hanging="720"/>
      </w:pPr>
    </w:lvl>
  </w:abstractNum>
  <w:abstractNum w:abstractNumId="12" w15:restartNumberingAfterBreak="0">
    <w:multiLevelType w:val="hybridMultilevel"/>
    <w:lvl w:ilvl="0" w15:tentative="1">
      <w:start w:val="1"/>
      <w:numFmt w:val="decimal"/>
      <w:lvlText w:val="11.%1"/>
      <w:lvlJc w:val="left"/>
      <w:pPr>
        <w:ind w:left="720" w:hanging="720"/>
      </w:pPr>
    </w:lvl>
  </w:abstractNum>
  <w:abstractNum w:abstractNumId="13" w15:restartNumberingAfterBreak="0">
    <w:multiLevelType w:val="hybridMultilevel"/>
    <w:lvl w:ilvl="0" w15:tentative="1">
      <w:start w:val="1"/>
      <w:numFmt w:val="decimal"/>
      <w:lvlText w:val="12.%1"/>
      <w:lvlJc w:val="left"/>
      <w:pPr>
        <w:ind w:left="720" w:hanging="720"/>
      </w:pPr>
    </w:lvl>
  </w:abstractNum>
  <w:abstractNum w:abstractNumId="14" w15:restartNumberingAfterBreak="0">
    <w:multiLevelType w:val="hybridMultilevel"/>
    <w:lvl w:ilvl="0" w15:tentative="1">
      <w:start w:val="1"/>
      <w:numFmt w:val="decimal"/>
      <w:lvlText w:val="13.%1"/>
      <w:lvlJc w:val="left"/>
      <w:pPr>
        <w:ind w:left="720" w:hanging="720"/>
      </w:pPr>
    </w:lvl>
  </w:abstractNum>
  <w:abstractNum w:abstractNumId="15" w15:restartNumberingAfterBreak="0">
    <w:multiLevelType w:val="hybridMultilevel"/>
    <w:lvl w:ilvl="0" w15:tentative="1">
      <w:start w:val="1"/>
      <w:numFmt w:val="lowerLetter"/>
      <w:lvlText w:val="(%1)"/>
      <w:lvlJc w:val="left"/>
      <w:pPr>
        <w:ind w:left="108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5"/>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2025-12-29T23:38:09.193Z</dcterms:created>
  <dcterms:modified xsi:type="dcterms:W3CDTF">2025-12-29T23:38:09.194Z</dcterms:modified>
</cp:coreProperties>
</file>

<file path=docProps/custom.xml><?xml version="1.0" encoding="utf-8"?>
<Properties xmlns="http://schemas.openxmlformats.org/officeDocument/2006/custom-properties" xmlns:vt="http://schemas.openxmlformats.org/officeDocument/2006/docPropsVTypes"/>
</file>