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COPYRIGHT STATEMENT</w:t>
      </w:r>
    </w:p>
    <w:p>
      <w:pPr>
        <w:spacing w:after="120"/>
        <w:jc w:val="center"/>
      </w:pPr>
      <w:r>
        <w:rPr>
          <w:b/>
          <w:bCs/>
          <w:sz w:val="28"/>
          <w:szCs w:val="28"/>
        </w:rPr>
        <w:t xml:space="preserve">AND INTELLECTUAL PROPERTY NOTICE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B365D" w:sz="12"/>
              <w:right w:val="none" w:color="FFFFFF" w:sz="0"/>
            </w:tcBorders>
          </w:tcPr>
          <w:p/>
        </w:tc>
      </w:tr>
    </w:tbl>
    <w:p>
      <w:pPr>
        <w:spacing w:befor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
              <w:left w:val="single" w:color="1B365D" w:sz="1"/>
              <w:bottom w:val="single" w:color="1B365D" w:sz="1"/>
              <w:right w:val="single" w:color="1B365D" w:sz="1"/>
            </w:tcBorders>
            <w:shd w:fill="F0F4F8" w:val="clear"/>
          </w:tcPr>
          <w:p>
            <w:pPr>
              <w:spacing w:before="240" w:after="120"/>
              <w:jc w:val="center"/>
            </w:pPr>
            <w:r>
              <w:rPr>
                <w:b/>
                <w:bCs/>
                <w:sz w:val="28"/>
                <w:szCs w:val="28"/>
              </w:rPr>
              <w:t xml:space="preserve">© 2024 IVYAR LLC. All Rights Reserved.</w:t>
            </w:r>
          </w:p>
          <w:p>
            <w:pPr>
              <w:spacing w:after="240"/>
              <w:jc w:val="center"/>
            </w:pPr>
            <w:r>
              <w:rPr>
                <w:i/>
                <w:iCs/>
                <w:sz w:val="22"/>
                <w:szCs w:val="22"/>
              </w:rPr>
              <w:t xml:space="preserve">Governance, Security &amp; Defense Platform</w:t>
            </w:r>
          </w:p>
        </w:tc>
      </w:tr>
    </w:tbl>
    <w:p>
      <w:pPr>
        <w:spacing w:before="360"/>
      </w:pPr>
    </w:p>
    <w:p>
      <w:pPr>
        <w:spacing w:after="160"/>
      </w:pPr>
      <w:r>
        <w:rPr>
          <w:b/>
          <w:bCs/>
          <w:color w:val="1B365D"/>
          <w:sz w:val="24"/>
          <w:szCs w:val="24"/>
        </w:rPr>
        <w:t xml:space="preserve">1. OWNERSHIP AND COPYRIGHT</w:t>
      </w:r>
    </w:p>
    <w:p>
      <w:pPr>
        <w:spacing w:after="120"/>
      </w:pPr>
      <w:r>
        <w:rPr>
          <w:sz w:val="22"/>
          <w:szCs w:val="22"/>
        </w:rPr>
        <w:t xml:space="preserve">The IVYAR Platform, including but not limited to all software, source code, object code, algorithms, user interfaces, graphics, logos, trademarks, documentation, and related materials (collectively, the "Platform"), is the exclusive property of IVYAR LLC, a Delaware limited liability company.</w:t>
      </w:r>
    </w:p>
    <w:p>
      <w:pPr>
        <w:spacing w:after="120"/>
      </w:pPr>
      <w:r>
        <w:rPr>
          <w:sz w:val="22"/>
          <w:szCs w:val="22"/>
        </w:rPr>
        <w:t xml:space="preserve">All intellectual property rights in and to the Platform, including without limitation:</w:t>
      </w:r>
    </w:p>
    <w:p>
      <w:pPr>
        <w:pStyle w:val="ListParagraph"/>
        <w:numPr>
          <w:ilvl w:val="0"/>
          <w:numId w:val="2"/>
        </w:numPr>
        <w:spacing w:after="80"/>
      </w:pPr>
      <w:r>
        <w:rPr>
          <w:sz w:val="22"/>
          <w:szCs w:val="22"/>
        </w:rPr>
        <w:t xml:space="preserve">Copyrights and related rights</w:t>
      </w:r>
    </w:p>
    <w:p>
      <w:pPr>
        <w:pStyle w:val="ListParagraph"/>
        <w:numPr>
          <w:ilvl w:val="0"/>
          <w:numId w:val="2"/>
        </w:numPr>
        <w:spacing w:after="80"/>
      </w:pPr>
      <w:r>
        <w:rPr>
          <w:sz w:val="22"/>
          <w:szCs w:val="22"/>
        </w:rPr>
        <w:t xml:space="preserve">Patent rights and patent applications</w:t>
      </w:r>
    </w:p>
    <w:p>
      <w:pPr>
        <w:pStyle w:val="ListParagraph"/>
        <w:numPr>
          <w:ilvl w:val="0"/>
          <w:numId w:val="2"/>
        </w:numPr>
        <w:spacing w:after="80"/>
      </w:pPr>
      <w:r>
        <w:rPr>
          <w:sz w:val="22"/>
          <w:szCs w:val="22"/>
        </w:rPr>
        <w:t xml:space="preserve">Trade secrets and proprietary information</w:t>
      </w:r>
    </w:p>
    <w:p>
      <w:pPr>
        <w:pStyle w:val="ListParagraph"/>
        <w:numPr>
          <w:ilvl w:val="0"/>
          <w:numId w:val="2"/>
        </w:numPr>
        <w:spacing w:after="80"/>
      </w:pPr>
      <w:r>
        <w:rPr>
          <w:sz w:val="22"/>
          <w:szCs w:val="22"/>
        </w:rPr>
        <w:t xml:space="preserve">Trademarks, service marks, and trade dress</w:t>
      </w:r>
    </w:p>
    <w:p>
      <w:pPr>
        <w:pStyle w:val="ListParagraph"/>
        <w:numPr>
          <w:ilvl w:val="0"/>
          <w:numId w:val="2"/>
        </w:numPr>
        <w:spacing w:after="160"/>
      </w:pPr>
      <w:r>
        <w:rPr>
          <w:sz w:val="22"/>
          <w:szCs w:val="22"/>
        </w:rPr>
        <w:t xml:space="preserve">Any other intellectual property rights recognized under applicable law</w:t>
      </w:r>
    </w:p>
    <w:p>
      <w:pPr>
        <w:spacing w:after="120"/>
      </w:pPr>
      <w:r>
        <w:rPr>
          <w:sz w:val="22"/>
          <w:szCs w:val="22"/>
        </w:rPr>
        <w:t xml:space="preserve">are owned by IVYAR LLC and are protected by United States and international copyright, trademark, patent, trade secret, and other intellectual property laws.</w:t>
      </w:r>
    </w:p>
    <w:p>
      <w:pPr>
        <w:spacing w:before="280"/>
      </w:pPr>
    </w:p>
    <w:p>
      <w:pPr>
        <w:spacing w:after="160"/>
      </w:pPr>
      <w:r>
        <w:rPr>
          <w:b/>
          <w:bCs/>
          <w:color w:val="1B365D"/>
          <w:sz w:val="24"/>
          <w:szCs w:val="24"/>
        </w:rPr>
        <w:t xml:space="preserve">2. TRADEMARKS</w:t>
      </w:r>
    </w:p>
    <w:p>
      <w:pPr>
        <w:spacing w:after="120"/>
      </w:pPr>
      <w:r>
        <w:rPr>
          <w:sz w:val="22"/>
          <w:szCs w:val="22"/>
        </w:rPr>
        <w:t xml:space="preserve">The following are trademarks or registered trademarks of IVYAR LLC:</w:t>
      </w:r>
    </w:p>
    <w:p>
      <w:pPr>
        <w:pStyle w:val="ListParagraph"/>
        <w:numPr>
          <w:ilvl w:val="0"/>
          <w:numId w:val="2"/>
        </w:numPr>
        <w:spacing w:after="80"/>
      </w:pPr>
      <w:r>
        <w:rPr>
          <w:b/>
          <w:bCs/>
          <w:sz w:val="22"/>
          <w:szCs w:val="22"/>
        </w:rPr>
        <w:t xml:space="preserve">IVYAR™</w:t>
      </w:r>
    </w:p>
    <w:p>
      <w:pPr>
        <w:pStyle w:val="ListParagraph"/>
        <w:numPr>
          <w:ilvl w:val="0"/>
          <w:numId w:val="2"/>
        </w:numPr>
        <w:spacing w:after="80"/>
      </w:pPr>
      <w:r>
        <w:rPr>
          <w:sz w:val="22"/>
          <w:szCs w:val="22"/>
        </w:rPr>
        <w:t xml:space="preserve">IVYAR Governance Platform™</w:t>
      </w:r>
    </w:p>
    <w:p>
      <w:pPr>
        <w:pStyle w:val="ListParagraph"/>
        <w:numPr>
          <w:ilvl w:val="0"/>
          <w:numId w:val="2"/>
        </w:numPr>
        <w:spacing w:after="80"/>
      </w:pPr>
      <w:r>
        <w:rPr>
          <w:sz w:val="22"/>
          <w:szCs w:val="22"/>
        </w:rPr>
        <w:t xml:space="preserve">IVYAR Security Framework™</w:t>
      </w:r>
    </w:p>
    <w:p>
      <w:pPr>
        <w:pStyle w:val="ListParagraph"/>
        <w:numPr>
          <w:ilvl w:val="0"/>
          <w:numId w:val="2"/>
        </w:numPr>
        <w:spacing w:after="80"/>
      </w:pPr>
      <w:r>
        <w:rPr>
          <w:sz w:val="22"/>
          <w:szCs w:val="22"/>
        </w:rPr>
        <w:t xml:space="preserve">IVYAR Academy™</w:t>
      </w:r>
    </w:p>
    <w:p>
      <w:pPr>
        <w:pStyle w:val="ListParagraph"/>
        <w:numPr>
          <w:ilvl w:val="0"/>
          <w:numId w:val="2"/>
        </w:numPr>
        <w:spacing w:after="80"/>
      </w:pPr>
      <w:r>
        <w:rPr>
          <w:sz w:val="22"/>
          <w:szCs w:val="22"/>
        </w:rPr>
        <w:t xml:space="preserve">IVYAR Simulation Engine™</w:t>
      </w:r>
    </w:p>
    <w:p>
      <w:pPr>
        <w:pStyle w:val="ListParagraph"/>
        <w:numPr>
          <w:ilvl w:val="0"/>
          <w:numId w:val="2"/>
        </w:numPr>
        <w:spacing w:after="160"/>
      </w:pPr>
      <w:r>
        <w:rPr>
          <w:sz w:val="22"/>
          <w:szCs w:val="22"/>
        </w:rPr>
        <w:t xml:space="preserve">The IVYAR logo and design marks</w:t>
      </w:r>
    </w:p>
    <w:p>
      <w:pPr>
        <w:spacing w:after="120"/>
      </w:pPr>
      <w:r>
        <w:rPr>
          <w:sz w:val="22"/>
          <w:szCs w:val="22"/>
        </w:rPr>
        <w:t xml:space="preserve">These trademarks may not be used in connection with any product or service that is not IVYAR's, in any manner that is likely to cause confusion among customers, or in any manner that disparages or discredits IVYAR LLC.</w:t>
      </w:r>
    </w:p>
    <w:p>
      <w:pPr>
        <w:spacing w:before="280"/>
      </w:pPr>
    </w:p>
    <w:p>
      <w:pPr>
        <w:spacing w:after="160"/>
      </w:pPr>
      <w:r>
        <w:rPr>
          <w:b/>
          <w:bCs/>
          <w:color w:val="1B365D"/>
          <w:sz w:val="24"/>
          <w:szCs w:val="24"/>
        </w:rPr>
        <w:t xml:space="preserve">3. RESTRICTIONS ON USE</w:t>
      </w:r>
    </w:p>
    <w:p>
      <w:pPr>
        <w:spacing w:after="120"/>
      </w:pPr>
      <w:r>
        <w:rPr>
          <w:sz w:val="22"/>
          <w:szCs w:val="22"/>
        </w:rPr>
        <w:t xml:space="preserve">Except as expressly authorized by a written license agreement with IVYAR LLC, no person or entity may:</w:t>
      </w:r>
    </w:p>
    <w:p>
      <w:pPr>
        <w:pStyle w:val="ListParagraph"/>
        <w:numPr>
          <w:ilvl w:val="0"/>
          <w:numId w:val="3"/>
        </w:numPr>
        <w:spacing w:after="80"/>
      </w:pPr>
      <w:r>
        <w:rPr>
          <w:sz w:val="22"/>
          <w:szCs w:val="22"/>
        </w:rPr>
        <w:t xml:space="preserve">Copy, reproduce, distribute, or create derivative works of the Platform or any portion thereof;</w:t>
      </w:r>
    </w:p>
    <w:p>
      <w:pPr>
        <w:pStyle w:val="ListParagraph"/>
        <w:numPr>
          <w:ilvl w:val="0"/>
          <w:numId w:val="3"/>
        </w:numPr>
        <w:spacing w:after="80"/>
      </w:pPr>
      <w:r>
        <w:rPr>
          <w:sz w:val="22"/>
          <w:szCs w:val="22"/>
        </w:rPr>
        <w:t xml:space="preserve">Reverse engineer, decompile, disassemble, or attempt to derive the source code of the Platform;</w:t>
      </w:r>
    </w:p>
    <w:p>
      <w:pPr>
        <w:pStyle w:val="ListParagraph"/>
        <w:numPr>
          <w:ilvl w:val="0"/>
          <w:numId w:val="3"/>
        </w:numPr>
        <w:spacing w:after="80"/>
      </w:pPr>
      <w:r>
        <w:rPr>
          <w:sz w:val="22"/>
          <w:szCs w:val="22"/>
        </w:rPr>
        <w:t xml:space="preserve">Modify, adapt, translate, or create derivative works based on the Platform;</w:t>
      </w:r>
    </w:p>
    <w:p>
      <w:pPr>
        <w:pStyle w:val="ListParagraph"/>
        <w:numPr>
          <w:ilvl w:val="0"/>
          <w:numId w:val="3"/>
        </w:numPr>
        <w:spacing w:after="80"/>
      </w:pPr>
      <w:r>
        <w:rPr>
          <w:sz w:val="22"/>
          <w:szCs w:val="22"/>
        </w:rPr>
        <w:t xml:space="preserve">Rent, lease, loan, sell, sublicense, or otherwise transfer rights to the Platform;</w:t>
      </w:r>
    </w:p>
    <w:p>
      <w:pPr>
        <w:pStyle w:val="ListParagraph"/>
        <w:numPr>
          <w:ilvl w:val="0"/>
          <w:numId w:val="3"/>
        </w:numPr>
        <w:spacing w:after="80"/>
      </w:pPr>
      <w:r>
        <w:rPr>
          <w:sz w:val="22"/>
          <w:szCs w:val="22"/>
        </w:rPr>
        <w:t xml:space="preserve">Remove, alter, or obscure any proprietary notices, labels, or marks on the Platform;</w:t>
      </w:r>
    </w:p>
    <w:p>
      <w:pPr>
        <w:pStyle w:val="ListParagraph"/>
        <w:numPr>
          <w:ilvl w:val="0"/>
          <w:numId w:val="3"/>
        </w:numPr>
        <w:spacing w:after="80"/>
      </w:pPr>
      <w:r>
        <w:rPr>
          <w:sz w:val="22"/>
          <w:szCs w:val="22"/>
        </w:rPr>
        <w:t xml:space="preserve">Use any IVYAR trademarks without prior written authorization;</w:t>
      </w:r>
    </w:p>
    <w:p>
      <w:pPr>
        <w:pStyle w:val="ListParagraph"/>
        <w:numPr>
          <w:ilvl w:val="0"/>
          <w:numId w:val="3"/>
        </w:numPr>
        <w:spacing w:after="160"/>
      </w:pPr>
      <w:r>
        <w:rPr>
          <w:sz w:val="22"/>
          <w:szCs w:val="22"/>
        </w:rPr>
        <w:t xml:space="preserve">Use the Platform for any unlawful purpose or in violation of any applicable laws or regulations.</w:t>
      </w:r>
    </w:p>
    <w:p>
      <w:pPr>
        <w:spacing w:before="280"/>
      </w:pPr>
    </w:p>
    <w:p>
      <w:pPr>
        <w:spacing w:after="160"/>
      </w:pPr>
      <w:r>
        <w:rPr>
          <w:b/>
          <w:bCs/>
          <w:color w:val="1B365D"/>
          <w:sz w:val="24"/>
          <w:szCs w:val="24"/>
        </w:rPr>
        <w:t xml:space="preserve">4. CONFIDENTIAL AND PROPRIETARY INFORMATION</w:t>
      </w:r>
    </w:p>
    <w:p>
      <w:pPr>
        <w:spacing w:after="120"/>
      </w:pPr>
      <w:r>
        <w:rPr>
          <w:sz w:val="22"/>
          <w:szCs w:val="22"/>
        </w:rPr>
        <w:t xml:space="preserve">The Platform contains confidential and proprietary information of IVYAR LLC. This includes, but is not limited to:</w:t>
      </w:r>
    </w:p>
    <w:p>
      <w:pPr>
        <w:pStyle w:val="ListParagraph"/>
        <w:numPr>
          <w:ilvl w:val="0"/>
          <w:numId w:val="2"/>
        </w:numPr>
        <w:spacing w:after="80"/>
      </w:pPr>
      <w:r>
        <w:rPr>
          <w:sz w:val="22"/>
          <w:szCs w:val="22"/>
        </w:rPr>
        <w:t xml:space="preserve">Software architecture and design specifications</w:t>
      </w:r>
    </w:p>
    <w:p>
      <w:pPr>
        <w:pStyle w:val="ListParagraph"/>
        <w:numPr>
          <w:ilvl w:val="0"/>
          <w:numId w:val="2"/>
        </w:numPr>
        <w:spacing w:after="80"/>
      </w:pPr>
      <w:r>
        <w:rPr>
          <w:sz w:val="22"/>
          <w:szCs w:val="22"/>
        </w:rPr>
        <w:t xml:space="preserve">Security frameworks and protocols</w:t>
      </w:r>
    </w:p>
    <w:p>
      <w:pPr>
        <w:pStyle w:val="ListParagraph"/>
        <w:numPr>
          <w:ilvl w:val="0"/>
          <w:numId w:val="2"/>
        </w:numPr>
        <w:spacing w:after="80"/>
      </w:pPr>
      <w:r>
        <w:rPr>
          <w:sz w:val="22"/>
          <w:szCs w:val="22"/>
        </w:rPr>
        <w:t xml:space="preserve">Algorithms and data processing methods</w:t>
      </w:r>
    </w:p>
    <w:p>
      <w:pPr>
        <w:pStyle w:val="ListParagraph"/>
        <w:numPr>
          <w:ilvl w:val="0"/>
          <w:numId w:val="2"/>
        </w:numPr>
        <w:spacing w:after="80"/>
      </w:pPr>
      <w:r>
        <w:rPr>
          <w:sz w:val="22"/>
          <w:szCs w:val="22"/>
        </w:rPr>
        <w:t xml:space="preserve">Business processes and methodologies</w:t>
      </w:r>
    </w:p>
    <w:p>
      <w:pPr>
        <w:pStyle w:val="ListParagraph"/>
        <w:numPr>
          <w:ilvl w:val="0"/>
          <w:numId w:val="2"/>
        </w:numPr>
        <w:spacing w:after="160"/>
      </w:pPr>
      <w:r>
        <w:rPr>
          <w:sz w:val="22"/>
          <w:szCs w:val="22"/>
        </w:rPr>
        <w:t xml:space="preserve">Technical documentation and specifications</w:t>
      </w:r>
    </w:p>
    <w:p>
      <w:pPr>
        <w:spacing w:after="120"/>
      </w:pPr>
      <w:r>
        <w:rPr>
          <w:sz w:val="22"/>
          <w:szCs w:val="22"/>
        </w:rPr>
        <w:t xml:space="preserve">Any unauthorized disclosure, copying, or use of this confidential information is strictly prohibited and may result in civil and criminal penalties.</w:t>
      </w:r>
    </w:p>
    <w:p>
      <w:pPr>
        <w:spacing w:before="280"/>
      </w:pPr>
    </w:p>
    <w:p>
      <w:pPr>
        <w:spacing w:after="160"/>
      </w:pPr>
      <w:r>
        <w:rPr>
          <w:b/>
          <w:bCs/>
          <w:color w:val="1B365D"/>
          <w:sz w:val="24"/>
          <w:szCs w:val="24"/>
        </w:rPr>
        <w:t xml:space="preserve">5. THIRD-PARTY COMPONENTS</w:t>
      </w:r>
    </w:p>
    <w:p>
      <w:pPr>
        <w:spacing w:after="120"/>
      </w:pPr>
      <w:r>
        <w:rPr>
          <w:sz w:val="22"/>
          <w:szCs w:val="22"/>
        </w:rPr>
        <w:t xml:space="preserve">The Platform may incorporate third-party software components that are subject to their own license terms. Such third-party components remain the property of their respective owners. A list of third-party components and their applicable licenses is available upon request.</w:t>
      </w:r>
    </w:p>
    <w:p>
      <w:pPr>
        <w:spacing w:after="120"/>
      </w:pPr>
      <w:r>
        <w:rPr>
          <w:sz w:val="22"/>
          <w:szCs w:val="22"/>
        </w:rPr>
        <w:t xml:space="preserve">The inclusion of third-party components does not grant any license to use such components outside the scope of the Platform.</w:t>
      </w:r>
    </w:p>
    <w:p>
      <w:pPr>
        <w:spacing w:before="280"/>
      </w:pPr>
    </w:p>
    <w:p>
      <w:pPr>
        <w:spacing w:after="160"/>
      </w:pPr>
      <w:r>
        <w:rPr>
          <w:b/>
          <w:bCs/>
          <w:color w:val="1B365D"/>
          <w:sz w:val="24"/>
          <w:szCs w:val="24"/>
        </w:rPr>
        <w:t xml:space="preserve">6. EXPORT CONTROL COMPLIANCE</w:t>
      </w:r>
    </w:p>
    <w:p>
      <w:pPr>
        <w:spacing w:after="120"/>
      </w:pPr>
      <w:r>
        <w:rPr>
          <w:sz w:val="22"/>
          <w:szCs w:val="22"/>
        </w:rPr>
        <w:t xml:space="preserve">The Platform may be subject to export control laws and regulations, including but not limited to:</w:t>
      </w:r>
    </w:p>
    <w:p>
      <w:pPr>
        <w:pStyle w:val="ListParagraph"/>
        <w:numPr>
          <w:ilvl w:val="0"/>
          <w:numId w:val="2"/>
        </w:numPr>
        <w:spacing w:after="80"/>
      </w:pPr>
      <w:r>
        <w:rPr>
          <w:sz w:val="22"/>
          <w:szCs w:val="22"/>
        </w:rPr>
        <w:t xml:space="preserve">The International Traffic in Arms Regulations (ITAR)</w:t>
      </w:r>
    </w:p>
    <w:p>
      <w:pPr>
        <w:pStyle w:val="ListParagraph"/>
        <w:numPr>
          <w:ilvl w:val="0"/>
          <w:numId w:val="2"/>
        </w:numPr>
        <w:spacing w:after="80"/>
      </w:pPr>
      <w:r>
        <w:rPr>
          <w:sz w:val="22"/>
          <w:szCs w:val="22"/>
        </w:rPr>
        <w:t xml:space="preserve">The Export Administration Regulations (EAR)</w:t>
      </w:r>
    </w:p>
    <w:p>
      <w:pPr>
        <w:pStyle w:val="ListParagraph"/>
        <w:numPr>
          <w:ilvl w:val="0"/>
          <w:numId w:val="2"/>
        </w:numPr>
        <w:spacing w:after="160"/>
      </w:pPr>
      <w:r>
        <w:rPr>
          <w:sz w:val="22"/>
          <w:szCs w:val="22"/>
        </w:rPr>
        <w:t xml:space="preserve">Applicable sanctions and embargo programs administered by OFAC</w:t>
      </w:r>
    </w:p>
    <w:p>
      <w:pPr>
        <w:spacing w:after="120"/>
      </w:pPr>
      <w:r>
        <w:rPr>
          <w:sz w:val="22"/>
          <w:szCs w:val="22"/>
        </w:rPr>
        <w:t xml:space="preserve">Users are responsible for compliance with all applicable export control laws and may not export, re-export, or transfer the Platform to any country, entity, or person prohibited by such laws without proper authorization.</w:t>
      </w:r>
    </w:p>
    <w:p>
      <w:pPr>
        <w:spacing w:before="280"/>
      </w:pPr>
    </w:p>
    <w:p>
      <w:pPr>
        <w:spacing w:after="160"/>
      </w:pPr>
      <w:r>
        <w:rPr>
          <w:b/>
          <w:bCs/>
          <w:color w:val="1B365D"/>
          <w:sz w:val="24"/>
          <w:szCs w:val="24"/>
        </w:rPr>
        <w:t xml:space="preserve">7. ENFORCEMENT AND LEGAL REMEDIES</w:t>
      </w:r>
    </w:p>
    <w:p>
      <w:pPr>
        <w:spacing w:after="120"/>
      </w:pPr>
      <w:r>
        <w:rPr>
          <w:sz w:val="22"/>
          <w:szCs w:val="22"/>
        </w:rPr>
        <w:t xml:space="preserve">IVYAR LLC actively protects its intellectual property rights. Any unauthorized use, reproduction, or distribution of the Platform or IVYAR's trademarks may result in:</w:t>
      </w:r>
    </w:p>
    <w:p>
      <w:pPr>
        <w:pStyle w:val="ListParagraph"/>
        <w:numPr>
          <w:ilvl w:val="0"/>
          <w:numId w:val="2"/>
        </w:numPr>
        <w:spacing w:after="80"/>
      </w:pPr>
      <w:r>
        <w:rPr>
          <w:sz w:val="22"/>
          <w:szCs w:val="22"/>
        </w:rPr>
        <w:t xml:space="preserve">Civil litigation seeking injunctive relief and monetary damages</w:t>
      </w:r>
    </w:p>
    <w:p>
      <w:pPr>
        <w:pStyle w:val="ListParagraph"/>
        <w:numPr>
          <w:ilvl w:val="0"/>
          <w:numId w:val="2"/>
        </w:numPr>
        <w:spacing w:after="80"/>
      </w:pPr>
      <w:r>
        <w:rPr>
          <w:sz w:val="22"/>
          <w:szCs w:val="22"/>
        </w:rPr>
        <w:t xml:space="preserve">Criminal prosecution under applicable intellectual property laws</w:t>
      </w:r>
    </w:p>
    <w:p>
      <w:pPr>
        <w:pStyle w:val="ListParagraph"/>
        <w:numPr>
          <w:ilvl w:val="0"/>
          <w:numId w:val="2"/>
        </w:numPr>
        <w:spacing w:after="80"/>
      </w:pPr>
      <w:r>
        <w:rPr>
          <w:sz w:val="22"/>
          <w:szCs w:val="22"/>
        </w:rPr>
        <w:t xml:space="preserve">Recovery of attorneys' fees and costs</w:t>
      </w:r>
    </w:p>
    <w:p>
      <w:pPr>
        <w:pStyle w:val="ListParagraph"/>
        <w:numPr>
          <w:ilvl w:val="0"/>
          <w:numId w:val="2"/>
        </w:numPr>
        <w:spacing w:after="160"/>
      </w:pPr>
      <w:r>
        <w:rPr>
          <w:sz w:val="22"/>
          <w:szCs w:val="22"/>
        </w:rPr>
        <w:t xml:space="preserve">Statutory damages as provided under applicable law</w:t>
      </w:r>
    </w:p>
    <w:p>
      <w:pPr>
        <w:spacing w:before="280"/>
      </w:pPr>
    </w:p>
    <w:p>
      <w:pPr>
        <w:spacing w:after="160"/>
      </w:pPr>
      <w:r>
        <w:rPr>
          <w:b/>
          <w:bCs/>
          <w:color w:val="1B365D"/>
          <w:sz w:val="24"/>
          <w:szCs w:val="24"/>
        </w:rPr>
        <w:t xml:space="preserve">8. CONTACT INFORMATION</w:t>
      </w:r>
    </w:p>
    <w:p>
      <w:pPr>
        <w:spacing w:after="120"/>
      </w:pPr>
      <w:r>
        <w:rPr>
          <w:sz w:val="22"/>
          <w:szCs w:val="22"/>
        </w:rPr>
        <w:t xml:space="preserve">For inquiries regarding licensing, permissions, or to report intellectual property concerns:</w:t>
      </w:r>
    </w:p>
    <w:p>
      <w:pPr>
        <w:spacing w:before="120"/>
      </w:pPr>
    </w:p>
    <w:p>
      <w:pPr>
        <w:spacing w:after="40"/>
        <w:ind w:left="720"/>
      </w:pPr>
      <w:r>
        <w:rPr>
          <w:b/>
          <w:bCs/>
          <w:sz w:val="22"/>
          <w:szCs w:val="22"/>
        </w:rPr>
        <w:t xml:space="preserve">IVYAR LLC</w:t>
      </w:r>
    </w:p>
    <w:p>
      <w:pPr>
        <w:spacing w:after="40"/>
        <w:ind w:left="720"/>
      </w:pPr>
      <w:r>
        <w:rPr>
          <w:sz w:val="22"/>
          <w:szCs w:val="22"/>
        </w:rPr>
        <w:t xml:space="preserve">Legal Department</w:t>
      </w:r>
    </w:p>
    <w:p>
      <w:pPr>
        <w:spacing w:after="40"/>
        <w:ind w:left="720"/>
      </w:pPr>
      <w:r>
        <w:rPr>
          <w:sz w:val="22"/>
          <w:szCs w:val="22"/>
        </w:rPr>
        <w:t xml:space="preserve">Email: legal@ivyar.org</w:t>
      </w:r>
    </w:p>
    <w:p>
      <w:pPr>
        <w:spacing w:after="160"/>
        <w:ind w:left="720"/>
      </w:pPr>
      <w:r>
        <w:rPr>
          <w:sz w:val="22"/>
          <w:szCs w:val="22"/>
        </w:rPr>
        <w:t xml:space="preserve">Website: www.ivyar.org</w:t>
      </w:r>
    </w:p>
    <w:p>
      <w:pPr>
        <w:spacing w:before="2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2"/>
              <w:left w:val="none" w:color="FFFFFF" w:sz="0"/>
              <w:bottom w:val="none" w:color="FFFFFF" w:sz="0"/>
              <w:right w:val="none" w:color="FFFFFF" w:sz="0"/>
            </w:tcBorders>
          </w:tcPr>
          <w:p/>
        </w:tc>
      </w:tr>
    </w:tbl>
    <w:p>
      <w:pPr>
        <w:spacing w:before="240"/>
      </w:pPr>
    </w:p>
    <w:p>
      <w:pPr>
        <w:spacing w:after="80"/>
        <w:jc w:val="center"/>
      </w:pPr>
      <w:r>
        <w:rPr>
          <w:i/>
          <w:iCs/>
          <w:color w:val="666666"/>
          <w:sz w:val="20"/>
          <w:szCs w:val="20"/>
        </w:rPr>
        <w:t xml:space="preserve">This Copyright Statement is effective as of January 1, 2024</w:t>
      </w:r>
    </w:p>
    <w:p>
      <w:pPr>
        <w:spacing w:after="80"/>
        <w:jc w:val="center"/>
      </w:pPr>
      <w:r>
        <w:rPr>
          <w:i/>
          <w:iCs/>
          <w:color w:val="666666"/>
          <w:sz w:val="20"/>
          <w:szCs w:val="20"/>
        </w:rPr>
        <w:t xml:space="preserve">and supersedes all prior versions.</w:t>
      </w:r>
    </w:p>
    <w:p>
      <w:pPr>
        <w:jc w:val="center"/>
      </w:pPr>
      <w:r>
        <w:rPr>
          <w:i/>
          <w:iCs/>
          <w:color w:val="666666"/>
          <w:sz w:val="20"/>
          <w:szCs w:val="20"/>
        </w:rPr>
        <w:t xml:space="preserve">IVYAR LLC reserves the right to modify this statement at any time.</w:t>
      </w:r>
    </w:p>
    <w:p>
      <w:pPr>
        <w:spacing w:before="4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A" w:val="clear"/>
          </w:tcPr>
          <w:p>
            <w:pPr>
              <w:spacing w:before="160" w:after="80"/>
              <w:jc w:val="center"/>
            </w:pPr>
            <w:r>
              <w:rPr>
                <w:b/>
                <w:bCs/>
                <w:sz w:val="22"/>
                <w:szCs w:val="22"/>
              </w:rPr>
              <w:t xml:space="preserve">SHORT-FORM COPYRIGHT NOTICE</w:t>
            </w:r>
          </w:p>
          <w:p>
            <w:pPr>
              <w:spacing w:after="80"/>
              <w:jc w:val="center"/>
            </w:pPr>
            <w:r>
              <w:rPr>
                <w:i/>
                <w:iCs/>
                <w:color w:val="666666"/>
                <w:sz w:val="18"/>
                <w:szCs w:val="18"/>
              </w:rPr>
              <w:t xml:space="preserve">(For use in documents, software, and materials)</w:t>
            </w:r>
          </w:p>
          <w:p>
            <w:pPr>
              <w:spacing w:after="160"/>
              <w:jc w:val="center"/>
            </w:pPr>
            <w:r>
              <w:rPr>
                <w:sz w:val="20"/>
                <w:szCs w:val="20"/>
              </w:rPr>
              <w:t xml:space="preserve">© 2024 IVYAR LLC. All Rights Reserved. IVYAR, the IVYAR logo, and all related marks are trademarks of IVYAR LLC. Unauthorized reproduction or distribution is prohibited.</w:t>
            </w:r>
          </w:p>
        </w:tc>
      </w:tr>
    </w:tbl>
    <w:p>
      <w:pPr>
        <w:spacing w:befor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0" w:val="clear"/>
          </w:tcPr>
          <w:p>
            <w:pPr>
              <w:spacing w:before="160" w:after="80"/>
              <w:jc w:val="center"/>
            </w:pPr>
            <w:r>
              <w:rPr>
                <w:b/>
                <w:bCs/>
                <w:sz w:val="22"/>
                <w:szCs w:val="22"/>
              </w:rPr>
              <w:t xml:space="preserve">SOURCE CODE HEADER NOTICE</w:t>
            </w:r>
          </w:p>
          <w:p>
            <w:pPr>
              <w:spacing w:after="80"/>
              <w:jc w:val="center"/>
            </w:pPr>
            <w:r>
              <w:rPr>
                <w:i/>
                <w:iCs/>
                <w:color w:val="666666"/>
                <w:sz w:val="18"/>
                <w:szCs w:val="18"/>
              </w:rPr>
              <w:t xml:space="preserve">(For use in source code files)</w:t>
            </w:r>
          </w:p>
          <w:p>
            <w:pPr>
              <w:spacing w:before="80" w:after="40"/>
              <w:ind w:left="360" w:right="360"/>
            </w:pPr>
            <w:r>
              <w:rPr>
                <w:rFonts w:ascii="Courier New" w:cs="Courier New" w:eastAsia="Courier New" w:hAnsi="Courier New"/>
                <w:sz w:val="18"/>
                <w:szCs w:val="18"/>
              </w:rPr>
              <w:t xml:space="preserve">/*</w:t>
            </w:r>
          </w:p>
          <w:p>
            <w:pPr>
              <w:ind w:left="360" w:right="360"/>
            </w:pPr>
            <w:r>
              <w:rPr>
                <w:rFonts w:ascii="Courier New" w:cs="Courier New" w:eastAsia="Courier New" w:hAnsi="Courier New"/>
                <w:sz w:val="18"/>
                <w:szCs w:val="18"/>
              </w:rPr>
              <w:t xml:space="preserve"> * Copyright (c) 2024 IVYAR LLC</w:t>
            </w:r>
          </w:p>
          <w:p>
            <w:pPr>
              <w:ind w:left="360" w:right="360"/>
            </w:pPr>
            <w:r>
              <w:rPr>
                <w:rFonts w:ascii="Courier New" w:cs="Courier New" w:eastAsia="Courier New" w:hAnsi="Courier New"/>
                <w:sz w:val="18"/>
                <w:szCs w:val="18"/>
              </w:rPr>
              <w:t xml:space="preserve"> * All Rights Reserved.</w:t>
            </w:r>
          </w:p>
          <w:p>
            <w:pPr>
              <w:ind w:left="360" w:right="360"/>
            </w:pPr>
            <w:r>
              <w:rPr>
                <w:rFonts w:ascii="Courier New" w:cs="Courier New" w:eastAsia="Courier New" w:hAnsi="Courier New"/>
                <w:sz w:val="18"/>
                <w:szCs w:val="18"/>
              </w:rPr>
              <w:t xml:space="preserve"> *</w:t>
            </w:r>
          </w:p>
          <w:p>
            <w:pPr>
              <w:ind w:left="360" w:right="360"/>
            </w:pPr>
            <w:r>
              <w:rPr>
                <w:rFonts w:ascii="Courier New" w:cs="Courier New" w:eastAsia="Courier New" w:hAnsi="Courier New"/>
                <w:sz w:val="18"/>
                <w:szCs w:val="18"/>
              </w:rPr>
              <w:t xml:space="preserve"> * NOTICE: This file contains proprietary information</w:t>
            </w:r>
          </w:p>
          <w:p>
            <w:pPr>
              <w:ind w:left="360" w:right="360"/>
            </w:pPr>
            <w:r>
              <w:rPr>
                <w:rFonts w:ascii="Courier New" w:cs="Courier New" w:eastAsia="Courier New" w:hAnsi="Courier New"/>
                <w:sz w:val="18"/>
                <w:szCs w:val="18"/>
              </w:rPr>
              <w:t xml:space="preserve"> * of IVYAR LLC. Unauthorized copying, modification,</w:t>
            </w:r>
          </w:p>
          <w:p>
            <w:pPr>
              <w:ind w:left="360" w:right="360"/>
            </w:pPr>
            <w:r>
              <w:rPr>
                <w:rFonts w:ascii="Courier New" w:cs="Courier New" w:eastAsia="Courier New" w:hAnsi="Courier New"/>
                <w:sz w:val="18"/>
                <w:szCs w:val="18"/>
              </w:rPr>
              <w:t xml:space="preserve"> * distribution, or use is strictly prohibited.</w:t>
            </w:r>
          </w:p>
          <w:p>
            <w:pPr>
              <w:spacing w:after="160"/>
              <w:ind w:left="360" w:right="360"/>
            </w:pPr>
            <w:r>
              <w:rPr>
                <w:rFonts w:ascii="Courier New" w:cs="Courier New" w:eastAsia="Courier New" w:hAnsi="Courier New"/>
                <w:sz w:val="18"/>
                <w:szCs w:val="18"/>
              </w:rPr>
              <w:t xml:space="preserve"> */</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IVYAR LLC — Copyright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2025-12-29T23:22:24.574Z</dcterms:created>
  <dcterms:modified xsi:type="dcterms:W3CDTF">2025-12-29T23:22:24.575Z</dcterms:modified>
</cp:coreProperties>
</file>

<file path=docProps/custom.xml><?xml version="1.0" encoding="utf-8"?>
<Properties xmlns="http://schemas.openxmlformats.org/officeDocument/2006/custom-properties" xmlns:vt="http://schemas.openxmlformats.org/officeDocument/2006/docPropsVTypes"/>
</file>