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2"/>
              <w:bottom w:val="single" w:color="8B0000" w:sz="2"/>
              <w:right w:val="single" w:color="8B0000" w:sz="2"/>
            </w:tcBorders>
            <w:shd w:fill="FFF5F5" w:val="clear"/>
          </w:tcPr>
          <w:p>
            <w:pPr>
              <w:spacing w:before="80" w:after="80"/>
              <w:jc w:val="center"/>
            </w:pPr>
            <w:r>
              <w:rPr>
                <w:b/>
                <w:bCs/>
                <w:color w:val="8B0000"/>
                <w:sz w:val="20"/>
                <w:szCs w:val="20"/>
              </w:rPr>
              <w:t xml:space="preserve">CONTROLLED UNCLASSIFIED INFORMATION (CUI)</w:t>
            </w:r>
          </w:p>
        </w:tc>
      </w:tr>
    </w:tbl>
    <w:p>
      <w:pPr>
        <w:spacing w:before="240"/>
      </w:pPr>
    </w:p>
    <w:p>
      <w:pPr>
        <w:spacing w:after="60"/>
        <w:jc w:val="center"/>
      </w:pPr>
      <w:r>
        <w:rPr>
          <w:b/>
          <w:bCs/>
          <w:sz w:val="32"/>
          <w:szCs w:val="32"/>
        </w:rPr>
        <w:t xml:space="preserve">GOVERNMENT CONTRACT ANNEX</w:t>
      </w:r>
    </w:p>
    <w:p>
      <w:pPr>
        <w:spacing w:after="120"/>
        <w:jc w:val="center"/>
      </w:pPr>
      <w:r>
        <w:rPr>
          <w:sz w:val="22"/>
          <w:szCs w:val="22"/>
        </w:rPr>
        <w:t xml:space="preserve">Federal Acquisition Regulation (FAR) and Defense Federal Acquisition</w:t>
      </w:r>
    </w:p>
    <w:p>
      <w:pPr>
        <w:spacing w:after="120"/>
        <w:jc w:val="center"/>
      </w:pPr>
      <w:r>
        <w:rPr>
          <w:sz w:val="22"/>
          <w:szCs w:val="22"/>
        </w:rPr>
        <w:t xml:space="preserve">Regulation Supplement (DFARS) Compliance</w:t>
      </w:r>
    </w:p>
    <w:p>
      <w:pPr>
        <w:spacing w:after="360"/>
        <w:jc w:val="center"/>
      </w:pPr>
      <w:r>
        <w:rPr>
          <w:color w:val="1B365D"/>
          <w:sz w:val="24"/>
          <w:szCs w:val="24"/>
        </w:rPr>
        <w:t xml:space="preserve">IVYAR Governance, Security &amp; Defense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65D" w:sz="1"/>
              <w:left w:val="single" w:color="1B365D" w:sz="4"/>
              <w:bottom w:val="single" w:color="1B365D" w:sz="1"/>
              <w:right w:val="single" w:color="1B365D" w:sz="1"/>
            </w:tcBorders>
            <w:shd w:fill="F0F4F8" w:val="clear"/>
          </w:tcPr>
          <w:p>
            <w:pPr>
              <w:spacing w:before="160" w:after="160"/>
              <w:ind w:left="180" w:right="180"/>
            </w:pPr>
            <w:r>
              <w:rPr>
                <w:sz w:val="22"/>
                <w:szCs w:val="22"/>
              </w:rPr>
              <w:t xml:space="preserve">This Government Contract Annex ("Annex") supplements and is incorporated into the underlying License Agreement, Master Services Agreement, or other contract (the "Base Agreement") between IVYAR LLC and the Government entity identified herein. In the event of conflict between this Annex and the Base Agreement, this Annex shall control with respect to Government contracting requirements.</w:t>
            </w:r>
          </w:p>
        </w:tc>
      </w:tr>
    </w:tbl>
    <w:p>
      <w:pPr>
        <w:spacing w:before="280"/>
      </w:pPr>
    </w:p>
    <w:p>
      <w:pPr>
        <w:spacing w:after="120"/>
      </w:pPr>
      <w:r>
        <w:rPr>
          <w:b/>
          <w:bCs/>
          <w:sz w:val="22"/>
          <w:szCs w:val="22"/>
        </w:rPr>
        <w:t xml:space="preserve">PARTIES</w:t>
      </w:r>
    </w:p>
    <w:p>
      <w:pPr>
        <w:spacing w:after="120"/>
      </w:pPr>
      <w:r>
        <w:rPr>
          <w:sz w:val="22"/>
          <w:szCs w:val="22"/>
        </w:rPr>
        <w:t xml:space="preserve">Contractor: IVYAR LLC, a Delaware limited liability company ("Contractor" or "IVYAR")</w:t>
      </w:r>
    </w:p>
    <w:p>
      <w:pPr>
        <w:spacing w:after="120"/>
      </w:pPr>
      <w:r>
        <w:rPr>
          <w:sz w:val="22"/>
          <w:szCs w:val="22"/>
        </w:rPr>
        <w:t xml:space="preserve">Government Entity: _________________________________ ("Government" or "Agency")</w:t>
      </w:r>
    </w:p>
    <w:p>
      <w:pPr>
        <w:spacing w:after="120"/>
      </w:pPr>
      <w:r>
        <w:rPr>
          <w:sz w:val="22"/>
          <w:szCs w:val="22"/>
        </w:rPr>
        <w:t xml:space="preserve">Contract Number: _________________________________</w:t>
      </w:r>
    </w:p>
    <w:p>
      <w:pPr>
        <w:spacing w:after="120"/>
      </w:pPr>
      <w:r>
        <w:rPr>
          <w:sz w:val="22"/>
          <w:szCs w:val="22"/>
        </w:rPr>
        <w:t xml:space="preserve">Base Agreement Date: _________________________________</w:t>
      </w:r>
    </w:p>
    <w:p>
      <w:pPr>
        <w:spacing w:after="120"/>
      </w:pPr>
      <w:r>
        <w:rPr>
          <w:sz w:val="22"/>
          <w:szCs w:val="22"/>
        </w:rPr>
        <w:t xml:space="preserve">Annex Effective Date: _________________________________</w:t>
      </w:r>
    </w:p>
    <w:p>
      <w:pPr>
        <w:spacing w:before="360" w:after="120"/>
      </w:pPr>
      <w:r>
        <w:rPr>
          <w:b/>
          <w:bCs/>
          <w:sz w:val="24"/>
          <w:szCs w:val="24"/>
        </w:rPr>
        <w:t xml:space="preserve">SECTION 1. APPLICABILITY AND ORDER OF PRECEDENCE</w:t>
      </w:r>
    </w:p>
    <w:p>
      <w:pPr>
        <w:pStyle w:val="ListParagraph"/>
        <w:numPr>
          <w:ilvl w:val="0"/>
          <w:numId w:val="2"/>
        </w:numPr>
        <w:spacing w:after="120"/>
      </w:pPr>
      <w:r>
        <w:rPr>
          <w:sz w:val="22"/>
          <w:szCs w:val="22"/>
        </w:rPr>
        <w:t xml:space="preserve">Applicability. This Annex applies when the Government is the direct or indirect end user of IVYAR products or services, including acquisitions through GSA Schedule contracts, Other Transaction Agreements (OTAs), Basic Ordering Agreements (BOAs), and prime contractor flow-downs.</w:t>
      </w:r>
    </w:p>
    <w:p>
      <w:pPr>
        <w:pStyle w:val="ListParagraph"/>
        <w:numPr>
          <w:ilvl w:val="0"/>
          <w:numId w:val="2"/>
        </w:numPr>
        <w:spacing w:after="120"/>
      </w:pPr>
      <w:r>
        <w:rPr>
          <w:sz w:val="22"/>
          <w:szCs w:val="22"/>
        </w:rPr>
        <w:t xml:space="preserve">Order of Precedence. In the event of conflict, the following order of precedence shall apply:</w:t>
      </w:r>
    </w:p>
    <w:p>
      <w:pPr>
        <w:pStyle w:val="ListParagraph"/>
        <w:numPr>
          <w:ilvl w:val="0"/>
          <w:numId w:val="3"/>
        </w:numPr>
        <w:spacing w:after="80"/>
      </w:pPr>
      <w:r>
        <w:rPr>
          <w:sz w:val="22"/>
          <w:szCs w:val="22"/>
        </w:rPr>
        <w:t xml:space="preserve">Applicable statutes and regulations;</w:t>
      </w:r>
    </w:p>
    <w:p>
      <w:pPr>
        <w:pStyle w:val="ListParagraph"/>
        <w:numPr>
          <w:ilvl w:val="0"/>
          <w:numId w:val="3"/>
        </w:numPr>
        <w:spacing w:after="80"/>
      </w:pPr>
      <w:r>
        <w:rPr>
          <w:sz w:val="22"/>
          <w:szCs w:val="22"/>
        </w:rPr>
        <w:t xml:space="preserve">This Government Contract Annex;</w:t>
      </w:r>
    </w:p>
    <w:p>
      <w:pPr>
        <w:pStyle w:val="ListParagraph"/>
        <w:numPr>
          <w:ilvl w:val="0"/>
          <w:numId w:val="3"/>
        </w:numPr>
        <w:spacing w:after="80"/>
      </w:pPr>
      <w:r>
        <w:rPr>
          <w:sz w:val="22"/>
          <w:szCs w:val="22"/>
        </w:rPr>
        <w:t xml:space="preserve">The Base Agreement;</w:t>
      </w:r>
    </w:p>
    <w:p>
      <w:pPr>
        <w:pStyle w:val="ListParagraph"/>
        <w:numPr>
          <w:ilvl w:val="0"/>
          <w:numId w:val="3"/>
        </w:numPr>
        <w:spacing w:after="80"/>
      </w:pPr>
      <w:r>
        <w:rPr>
          <w:sz w:val="22"/>
          <w:szCs w:val="22"/>
        </w:rPr>
        <w:t xml:space="preserve">Statements of Work, Task Orders, or Delivery Orders;</w:t>
      </w:r>
    </w:p>
    <w:p>
      <w:pPr>
        <w:pStyle w:val="ListParagraph"/>
        <w:numPr>
          <w:ilvl w:val="0"/>
          <w:numId w:val="3"/>
        </w:numPr>
        <w:spacing w:after="80"/>
      </w:pPr>
      <w:r>
        <w:rPr>
          <w:sz w:val="22"/>
          <w:szCs w:val="22"/>
        </w:rPr>
        <w:t xml:space="preserve">Other contract documents.</w:t>
      </w:r>
    </w:p>
    <w:p>
      <w:pPr>
        <w:pStyle w:val="ListParagraph"/>
        <w:numPr>
          <w:ilvl w:val="0"/>
          <w:numId w:val="2"/>
        </w:numPr>
        <w:spacing w:after="120"/>
      </w:pPr>
      <w:r>
        <w:rPr>
          <w:sz w:val="22"/>
          <w:szCs w:val="22"/>
        </w:rPr>
        <w:t xml:space="preserve">Flow-Down Requirements. When Contractor acts as a subcontractor to a prime contractor, this Annex shall be modified as necessary to reflect the prime contract requirements flowed down by the prime contractor.</w:t>
      </w:r>
    </w:p>
    <w:p>
      <w:pPr>
        <w:spacing w:before="360" w:after="120"/>
      </w:pPr>
      <w:r>
        <w:rPr>
          <w:b/>
          <w:bCs/>
          <w:sz w:val="24"/>
          <w:szCs w:val="24"/>
        </w:rPr>
        <w:t xml:space="preserve">SECTION 2. FEDERAL ACQUISITION REGULATION (FAR) CLAUSES</w:t>
      </w:r>
    </w:p>
    <w:p>
      <w:pPr>
        <w:spacing w:after="120"/>
      </w:pPr>
      <w:r>
        <w:rPr>
          <w:sz w:val="22"/>
          <w:szCs w:val="22"/>
        </w:rPr>
        <w:t xml:space="preserve">The following FAR clauses are incorporated by reference and apply to this contract. The full text of FAR clauses may be accessed at https://www.acquisition.gov/far.</w:t>
      </w:r>
    </w:p>
    <w:p>
      <w:pPr>
        <w:spacing w:before="160"/>
      </w:pPr>
    </w:p>
    <w:p>
      <w:pPr>
        <w:spacing w:after="120"/>
      </w:pPr>
      <w:r>
        <w:rPr>
          <w:b/>
          <w:bCs/>
          <w:sz w:val="22"/>
          <w:szCs w:val="22"/>
        </w:rPr>
        <w:t xml:space="preserve">2.1 Standard Commercial Product/Service Clauses</w:t>
      </w:r>
    </w:p>
    <w:p>
      <w:pPr>
        <w:spacing w:after="60"/>
      </w:pPr>
      <w:r>
        <w:rPr>
          <w:b/>
          <w:bCs/>
          <w:sz w:val="20"/>
          <w:szCs w:val="20"/>
        </w:rPr>
        <w:t xml:space="preserve">52.202-1 </w:t>
      </w:r>
      <w:r>
        <w:rPr>
          <w:sz w:val="20"/>
          <w:szCs w:val="20"/>
        </w:rPr>
        <w:t xml:space="preserve">Definitions (NOV 2013)</w:t>
      </w:r>
    </w:p>
    <w:p>
      <w:pPr>
        <w:spacing w:after="60"/>
      </w:pPr>
      <w:r>
        <w:rPr>
          <w:b/>
          <w:bCs/>
          <w:sz w:val="20"/>
          <w:szCs w:val="20"/>
        </w:rPr>
        <w:t xml:space="preserve">52.203-3 </w:t>
      </w:r>
      <w:r>
        <w:rPr>
          <w:sz w:val="20"/>
          <w:szCs w:val="20"/>
        </w:rPr>
        <w:t xml:space="preserve">Gratuities (APR 1984)</w:t>
      </w:r>
    </w:p>
    <w:p>
      <w:pPr>
        <w:spacing w:after="60"/>
      </w:pPr>
      <w:r>
        <w:rPr>
          <w:b/>
          <w:bCs/>
          <w:sz w:val="20"/>
          <w:szCs w:val="20"/>
        </w:rPr>
        <w:t xml:space="preserve">52.203-5 </w:t>
      </w:r>
      <w:r>
        <w:rPr>
          <w:sz w:val="20"/>
          <w:szCs w:val="20"/>
        </w:rPr>
        <w:t xml:space="preserve">Covenant Against Contingent Fees (MAY 2014)</w:t>
      </w:r>
    </w:p>
    <w:p>
      <w:pPr>
        <w:spacing w:after="60"/>
      </w:pPr>
      <w:r>
        <w:rPr>
          <w:b/>
          <w:bCs/>
          <w:sz w:val="20"/>
          <w:szCs w:val="20"/>
        </w:rPr>
        <w:t xml:space="preserve">52.203-6 </w:t>
      </w:r>
      <w:r>
        <w:rPr>
          <w:sz w:val="20"/>
          <w:szCs w:val="20"/>
        </w:rPr>
        <w:t xml:space="preserve">Restrictions on Subcontractor Sales to the Government (JUN 2020)</w:t>
      </w:r>
    </w:p>
    <w:p>
      <w:pPr>
        <w:spacing w:after="60"/>
      </w:pPr>
      <w:r>
        <w:rPr>
          <w:b/>
          <w:bCs/>
          <w:sz w:val="20"/>
          <w:szCs w:val="20"/>
        </w:rPr>
        <w:t xml:space="preserve">52.203-7 </w:t>
      </w:r>
      <w:r>
        <w:rPr>
          <w:sz w:val="20"/>
          <w:szCs w:val="20"/>
        </w:rPr>
        <w:t xml:space="preserve">Anti-Kickback Procedures (JUN 2020)</w:t>
      </w:r>
    </w:p>
    <w:p>
      <w:pPr>
        <w:spacing w:after="60"/>
      </w:pPr>
      <w:r>
        <w:rPr>
          <w:b/>
          <w:bCs/>
          <w:sz w:val="20"/>
          <w:szCs w:val="20"/>
        </w:rPr>
        <w:t xml:space="preserve">52.203-12 </w:t>
      </w:r>
      <w:r>
        <w:rPr>
          <w:sz w:val="20"/>
          <w:szCs w:val="20"/>
        </w:rPr>
        <w:t xml:space="preserve">Limitation on Payments to Influence Certain Federal Transactions (JUN 2020)</w:t>
      </w:r>
    </w:p>
    <w:p>
      <w:pPr>
        <w:spacing w:after="60"/>
      </w:pPr>
      <w:r>
        <w:rPr>
          <w:b/>
          <w:bCs/>
          <w:sz w:val="20"/>
          <w:szCs w:val="20"/>
        </w:rPr>
        <w:t xml:space="preserve">52.203-13 </w:t>
      </w:r>
      <w:r>
        <w:rPr>
          <w:sz w:val="20"/>
          <w:szCs w:val="20"/>
        </w:rPr>
        <w:t xml:space="preserve">Contractor Code of Business Ethics and Conduct (JUN 2020)</w:t>
      </w:r>
    </w:p>
    <w:p>
      <w:pPr>
        <w:spacing w:after="60"/>
      </w:pPr>
      <w:r>
        <w:rPr>
          <w:b/>
          <w:bCs/>
          <w:sz w:val="20"/>
          <w:szCs w:val="20"/>
        </w:rPr>
        <w:t xml:space="preserve">52.203-17 </w:t>
      </w:r>
      <w:r>
        <w:rPr>
          <w:sz w:val="20"/>
          <w:szCs w:val="20"/>
        </w:rPr>
        <w:t xml:space="preserve">Contractor Employee Whistleblower Rights (JUN 2020)</w:t>
      </w:r>
    </w:p>
    <w:p>
      <w:pPr>
        <w:spacing w:after="60"/>
      </w:pPr>
      <w:r>
        <w:rPr>
          <w:b/>
          <w:bCs/>
          <w:sz w:val="20"/>
          <w:szCs w:val="20"/>
        </w:rPr>
        <w:t xml:space="preserve">52.203-19 </w:t>
      </w:r>
      <w:r>
        <w:rPr>
          <w:sz w:val="20"/>
          <w:szCs w:val="20"/>
        </w:rPr>
        <w:t xml:space="preserve">Prohibition on Requiring Certain Internal Confidentiality Agreements (JAN 2017)</w:t>
      </w:r>
    </w:p>
    <w:p>
      <w:pPr>
        <w:spacing w:after="60"/>
      </w:pPr>
      <w:r>
        <w:rPr>
          <w:b/>
          <w:bCs/>
          <w:sz w:val="20"/>
          <w:szCs w:val="20"/>
        </w:rPr>
        <w:t xml:space="preserve">52.204-4 </w:t>
      </w:r>
      <w:r>
        <w:rPr>
          <w:sz w:val="20"/>
          <w:szCs w:val="20"/>
        </w:rPr>
        <w:t xml:space="preserve">Printed or Copied Double-Sided on Postconsumer Fiber Content Paper (MAY 2011)</w:t>
      </w:r>
    </w:p>
    <w:p>
      <w:pPr>
        <w:spacing w:after="60"/>
      </w:pPr>
      <w:r>
        <w:rPr>
          <w:b/>
          <w:bCs/>
          <w:sz w:val="20"/>
          <w:szCs w:val="20"/>
        </w:rPr>
        <w:t xml:space="preserve">52.204-10 </w:t>
      </w:r>
      <w:r>
        <w:rPr>
          <w:sz w:val="20"/>
          <w:szCs w:val="20"/>
        </w:rPr>
        <w:t xml:space="preserve">Reporting Executive Compensation and First-Tier Subcontract Awards (JUN 2020)</w:t>
      </w:r>
    </w:p>
    <w:p>
      <w:pPr>
        <w:spacing w:after="60"/>
      </w:pPr>
      <w:r>
        <w:rPr>
          <w:b/>
          <w:bCs/>
          <w:sz w:val="20"/>
          <w:szCs w:val="20"/>
        </w:rPr>
        <w:t xml:space="preserve">52.204-13 </w:t>
      </w:r>
      <w:r>
        <w:rPr>
          <w:sz w:val="20"/>
          <w:szCs w:val="20"/>
        </w:rPr>
        <w:t xml:space="preserve">System for Award Management Maintenance (OCT 2018)</w:t>
      </w:r>
    </w:p>
    <w:p>
      <w:pPr>
        <w:spacing w:after="60"/>
      </w:pPr>
      <w:r>
        <w:rPr>
          <w:b/>
          <w:bCs/>
          <w:sz w:val="20"/>
          <w:szCs w:val="20"/>
        </w:rPr>
        <w:t xml:space="preserve">52.204-21 </w:t>
      </w:r>
      <w:r>
        <w:rPr>
          <w:sz w:val="20"/>
          <w:szCs w:val="20"/>
        </w:rPr>
        <w:t xml:space="preserve">Basic Safeguarding of Covered Contractor Information Systems (JUN 2016)</w:t>
      </w:r>
    </w:p>
    <w:p>
      <w:pPr>
        <w:spacing w:after="60"/>
      </w:pPr>
      <w:r>
        <w:rPr>
          <w:b/>
          <w:bCs/>
          <w:sz w:val="20"/>
          <w:szCs w:val="20"/>
        </w:rPr>
        <w:t xml:space="preserve">52.204-23 </w:t>
      </w:r>
      <w:r>
        <w:rPr>
          <w:sz w:val="20"/>
          <w:szCs w:val="20"/>
        </w:rPr>
        <w:t xml:space="preserve">Prohibition on Contracting for Hardware/Services from Certain Entities (DEC 2023)</w:t>
      </w:r>
    </w:p>
    <w:p>
      <w:pPr>
        <w:spacing w:after="60"/>
      </w:pPr>
      <w:r>
        <w:rPr>
          <w:b/>
          <w:bCs/>
          <w:sz w:val="20"/>
          <w:szCs w:val="20"/>
        </w:rPr>
        <w:t xml:space="preserve">52.204-25 </w:t>
      </w:r>
      <w:r>
        <w:rPr>
          <w:sz w:val="20"/>
          <w:szCs w:val="20"/>
        </w:rPr>
        <w:t xml:space="preserve">Prohibition on Contracting for Certain Telecommunications (NOV 2021)</w:t>
      </w:r>
    </w:p>
    <w:p>
      <w:pPr>
        <w:spacing w:after="60"/>
      </w:pPr>
      <w:r>
        <w:rPr>
          <w:b/>
          <w:bCs/>
          <w:sz w:val="20"/>
          <w:szCs w:val="20"/>
        </w:rPr>
        <w:t xml:space="preserve">52.204-26 </w:t>
      </w:r>
      <w:r>
        <w:rPr>
          <w:sz w:val="20"/>
          <w:szCs w:val="20"/>
        </w:rPr>
        <w:t xml:space="preserve">Covered Telecommunications Equipment or Services—Representation (OCT 2020)</w:t>
      </w:r>
    </w:p>
    <w:p>
      <w:pPr>
        <w:spacing w:after="60"/>
      </w:pPr>
      <w:r>
        <w:rPr>
          <w:b/>
          <w:bCs/>
          <w:sz w:val="20"/>
          <w:szCs w:val="20"/>
        </w:rPr>
        <w:t xml:space="preserve">52.204-27 </w:t>
      </w:r>
      <w:r>
        <w:rPr>
          <w:sz w:val="20"/>
          <w:szCs w:val="20"/>
        </w:rPr>
        <w:t xml:space="preserve">Prohibition on ByteDance Covered Applications (JUN 2023)</w:t>
      </w:r>
    </w:p>
    <w:p>
      <w:pPr>
        <w:spacing w:before="160"/>
      </w:pPr>
    </w:p>
    <w:p>
      <w:pPr>
        <w:spacing w:after="120"/>
      </w:pPr>
      <w:r>
        <w:rPr>
          <w:b/>
          <w:bCs/>
          <w:sz w:val="22"/>
          <w:szCs w:val="22"/>
        </w:rPr>
        <w:t xml:space="preserve">2.2 Intellectual Property Clauses</w:t>
      </w:r>
    </w:p>
    <w:p>
      <w:pPr>
        <w:spacing w:after="60"/>
      </w:pPr>
      <w:r>
        <w:rPr>
          <w:b/>
          <w:bCs/>
          <w:sz w:val="20"/>
          <w:szCs w:val="20"/>
        </w:rPr>
        <w:t xml:space="preserve">52.227-1 </w:t>
      </w:r>
      <w:r>
        <w:rPr>
          <w:sz w:val="20"/>
          <w:szCs w:val="20"/>
        </w:rPr>
        <w:t xml:space="preserve">Authorization and Consent (JUN 2020)</w:t>
      </w:r>
    </w:p>
    <w:p>
      <w:pPr>
        <w:spacing w:after="60"/>
      </w:pPr>
      <w:r>
        <w:rPr>
          <w:b/>
          <w:bCs/>
          <w:sz w:val="20"/>
          <w:szCs w:val="20"/>
        </w:rPr>
        <w:t xml:space="preserve">52.227-2 </w:t>
      </w:r>
      <w:r>
        <w:rPr>
          <w:sz w:val="20"/>
          <w:szCs w:val="20"/>
        </w:rPr>
        <w:t xml:space="preserve">Notice and Assistance Regarding Patent and Copyright Infringement (JUN 2020)</w:t>
      </w:r>
    </w:p>
    <w:p>
      <w:pPr>
        <w:spacing w:after="60"/>
      </w:pPr>
      <w:r>
        <w:rPr>
          <w:b/>
          <w:bCs/>
          <w:sz w:val="20"/>
          <w:szCs w:val="20"/>
        </w:rPr>
        <w:t xml:space="preserve">52.227-14 </w:t>
      </w:r>
      <w:r>
        <w:rPr>
          <w:sz w:val="20"/>
          <w:szCs w:val="20"/>
        </w:rPr>
        <w:t xml:space="preserve">Rights in Data—General (MAY 2014)</w:t>
      </w:r>
    </w:p>
    <w:p>
      <w:pPr>
        <w:spacing w:after="60"/>
      </w:pPr>
      <w:r>
        <w:rPr>
          <w:b/>
          <w:bCs/>
          <w:sz w:val="20"/>
          <w:szCs w:val="20"/>
        </w:rPr>
        <w:t xml:space="preserve">52.227-19 </w:t>
      </w:r>
      <w:r>
        <w:rPr>
          <w:sz w:val="20"/>
          <w:szCs w:val="20"/>
        </w:rPr>
        <w:t xml:space="preserve">Commercial Computer Software License (DEC 2007)</w:t>
      </w:r>
    </w:p>
    <w:p>
      <w:pPr>
        <w:spacing w:before="160"/>
      </w:pPr>
    </w:p>
    <w:p>
      <w:pPr>
        <w:spacing w:after="120"/>
      </w:pPr>
      <w:r>
        <w:rPr>
          <w:b/>
          <w:bCs/>
          <w:sz w:val="22"/>
          <w:szCs w:val="22"/>
        </w:rPr>
        <w:t xml:space="preserve">2.3 Small Business Clauses (if applicable)</w:t>
      </w:r>
    </w:p>
    <w:p>
      <w:pPr>
        <w:spacing w:after="60"/>
      </w:pPr>
      <w:r>
        <w:rPr>
          <w:b/>
          <w:bCs/>
          <w:sz w:val="20"/>
          <w:szCs w:val="20"/>
        </w:rPr>
        <w:t xml:space="preserve">52.219-8 </w:t>
      </w:r>
      <w:r>
        <w:rPr>
          <w:sz w:val="20"/>
          <w:szCs w:val="20"/>
        </w:rPr>
        <w:t xml:space="preserve">Utilization of Small Business Concerns (OCT 2022)</w:t>
      </w:r>
    </w:p>
    <w:p>
      <w:pPr>
        <w:spacing w:after="60"/>
      </w:pPr>
      <w:r>
        <w:rPr>
          <w:b/>
          <w:bCs/>
          <w:sz w:val="20"/>
          <w:szCs w:val="20"/>
        </w:rPr>
        <w:t xml:space="preserve">52.219-9 </w:t>
      </w:r>
      <w:r>
        <w:rPr>
          <w:sz w:val="20"/>
          <w:szCs w:val="20"/>
        </w:rPr>
        <w:t xml:space="preserve">Small Business Subcontracting Plan (SEP 2023)</w:t>
      </w:r>
    </w:p>
    <w:p>
      <w:pPr>
        <w:spacing w:after="60"/>
      </w:pPr>
      <w:r>
        <w:rPr>
          <w:b/>
          <w:bCs/>
          <w:sz w:val="20"/>
          <w:szCs w:val="20"/>
        </w:rPr>
        <w:t xml:space="preserve">52.219-16 </w:t>
      </w:r>
      <w:r>
        <w:rPr>
          <w:sz w:val="20"/>
          <w:szCs w:val="20"/>
        </w:rPr>
        <w:t xml:space="preserve">Liquidated Damages—Subcontracting Plan (SEP 2021)</w:t>
      </w:r>
    </w:p>
    <w:p>
      <w:pPr>
        <w:spacing w:before="160"/>
      </w:pPr>
    </w:p>
    <w:p>
      <w:pPr>
        <w:spacing w:after="120"/>
      </w:pPr>
      <w:r>
        <w:rPr>
          <w:b/>
          <w:bCs/>
          <w:sz w:val="22"/>
          <w:szCs w:val="22"/>
        </w:rPr>
        <w:t xml:space="preserve">2.4 Labor and Employment Clauses</w:t>
      </w:r>
    </w:p>
    <w:p>
      <w:pPr>
        <w:spacing w:after="60"/>
      </w:pPr>
      <w:r>
        <w:rPr>
          <w:b/>
          <w:bCs/>
          <w:sz w:val="20"/>
          <w:szCs w:val="20"/>
        </w:rPr>
        <w:t xml:space="preserve">52.222-3 </w:t>
      </w:r>
      <w:r>
        <w:rPr>
          <w:sz w:val="20"/>
          <w:szCs w:val="20"/>
        </w:rPr>
        <w:t xml:space="preserve">Convict Labor (JUN 2003)</w:t>
      </w:r>
    </w:p>
    <w:p>
      <w:pPr>
        <w:spacing w:after="60"/>
      </w:pPr>
      <w:r>
        <w:rPr>
          <w:b/>
          <w:bCs/>
          <w:sz w:val="20"/>
          <w:szCs w:val="20"/>
        </w:rPr>
        <w:t xml:space="preserve">52.222-21 </w:t>
      </w:r>
      <w:r>
        <w:rPr>
          <w:sz w:val="20"/>
          <w:szCs w:val="20"/>
        </w:rPr>
        <w:t xml:space="preserve">Prohibition of Segregated Facilities (APR 2015)</w:t>
      </w:r>
    </w:p>
    <w:p>
      <w:pPr>
        <w:spacing w:after="60"/>
      </w:pPr>
      <w:r>
        <w:rPr>
          <w:b/>
          <w:bCs/>
          <w:sz w:val="20"/>
          <w:szCs w:val="20"/>
        </w:rPr>
        <w:t xml:space="preserve">52.222-26 </w:t>
      </w:r>
      <w:r>
        <w:rPr>
          <w:sz w:val="20"/>
          <w:szCs w:val="20"/>
        </w:rPr>
        <w:t xml:space="preserve">Equal Opportunity (SEP 2016)</w:t>
      </w:r>
    </w:p>
    <w:p>
      <w:pPr>
        <w:spacing w:after="60"/>
      </w:pPr>
      <w:r>
        <w:rPr>
          <w:b/>
          <w:bCs/>
          <w:sz w:val="20"/>
          <w:szCs w:val="20"/>
        </w:rPr>
        <w:t xml:space="preserve">52.222-35 </w:t>
      </w:r>
      <w:r>
        <w:rPr>
          <w:sz w:val="20"/>
          <w:szCs w:val="20"/>
        </w:rPr>
        <w:t xml:space="preserve">Equal Opportunity for Veterans (JUN 2020)</w:t>
      </w:r>
    </w:p>
    <w:p>
      <w:pPr>
        <w:spacing w:after="60"/>
      </w:pPr>
      <w:r>
        <w:rPr>
          <w:b/>
          <w:bCs/>
          <w:sz w:val="20"/>
          <w:szCs w:val="20"/>
        </w:rPr>
        <w:t xml:space="preserve">52.222-36 </w:t>
      </w:r>
      <w:r>
        <w:rPr>
          <w:sz w:val="20"/>
          <w:szCs w:val="20"/>
        </w:rPr>
        <w:t xml:space="preserve">Equal Opportunity for Workers with Disabilities (JUN 2020)</w:t>
      </w:r>
    </w:p>
    <w:p>
      <w:pPr>
        <w:spacing w:after="60"/>
      </w:pPr>
      <w:r>
        <w:rPr>
          <w:b/>
          <w:bCs/>
          <w:sz w:val="20"/>
          <w:szCs w:val="20"/>
        </w:rPr>
        <w:t xml:space="preserve">52.222-37 </w:t>
      </w:r>
      <w:r>
        <w:rPr>
          <w:sz w:val="20"/>
          <w:szCs w:val="20"/>
        </w:rPr>
        <w:t xml:space="preserve">Employment Reports on Veterans (JUN 2020)</w:t>
      </w:r>
    </w:p>
    <w:p>
      <w:pPr>
        <w:spacing w:after="60"/>
      </w:pPr>
      <w:r>
        <w:rPr>
          <w:b/>
          <w:bCs/>
          <w:sz w:val="20"/>
          <w:szCs w:val="20"/>
        </w:rPr>
        <w:t xml:space="preserve">52.222-50 </w:t>
      </w:r>
      <w:r>
        <w:rPr>
          <w:sz w:val="20"/>
          <w:szCs w:val="20"/>
        </w:rPr>
        <w:t xml:space="preserve">Combating Trafficking in Persons (NOV 2021)</w:t>
      </w:r>
    </w:p>
    <w:p>
      <w:pPr>
        <w:spacing w:after="60"/>
      </w:pPr>
      <w:r>
        <w:rPr>
          <w:b/>
          <w:bCs/>
          <w:sz w:val="20"/>
          <w:szCs w:val="20"/>
        </w:rPr>
        <w:t xml:space="preserve">52.222-54 </w:t>
      </w:r>
      <w:r>
        <w:rPr>
          <w:sz w:val="20"/>
          <w:szCs w:val="20"/>
        </w:rPr>
        <w:t xml:space="preserve">Employment Eligibility Verification (MAY 2022)</w:t>
      </w:r>
    </w:p>
    <w:p>
      <w:r>
        <w:br w:type="page"/>
      </w:r>
    </w:p>
    <w:p>
      <w:pPr>
        <w:spacing w:before="360" w:after="120"/>
      </w:pPr>
      <w:r>
        <w:rPr>
          <w:b/>
          <w:bCs/>
          <w:sz w:val="24"/>
          <w:szCs w:val="24"/>
        </w:rPr>
        <w:t xml:space="preserve">SECTION 3. DEFENSE FEDERAL ACQUISITION REGULATION SUPPLEMENT (DFARS) CLAUSES</w:t>
      </w:r>
    </w:p>
    <w:p>
      <w:pPr>
        <w:spacing w:after="120"/>
      </w:pPr>
      <w:r>
        <w:rPr>
          <w:sz w:val="22"/>
          <w:szCs w:val="22"/>
        </w:rPr>
        <w:t xml:space="preserve">The following DFARS clauses apply when the contract is with the Department of Defense or involves defense-related work. Full text available at https://www.acquisition.gov/dfars.</w:t>
      </w:r>
    </w:p>
    <w:p>
      <w:pPr>
        <w:spacing w:before="160"/>
      </w:pPr>
    </w:p>
    <w:p>
      <w:pPr>
        <w:spacing w:after="120"/>
      </w:pPr>
      <w:r>
        <w:rPr>
          <w:b/>
          <w:bCs/>
          <w:sz w:val="22"/>
          <w:szCs w:val="22"/>
        </w:rPr>
        <w:t xml:space="preserve">3.1 Cybersecurity and Information Security</w:t>
      </w:r>
    </w:p>
    <w:p>
      <w:pPr>
        <w:spacing w:after="60"/>
      </w:pPr>
      <w:r>
        <w:rPr>
          <w:b/>
          <w:bCs/>
          <w:sz w:val="20"/>
          <w:szCs w:val="20"/>
        </w:rPr>
        <w:t xml:space="preserve">252.204-7008 </w:t>
      </w:r>
      <w:r>
        <w:rPr>
          <w:sz w:val="20"/>
          <w:szCs w:val="20"/>
        </w:rPr>
        <w:t xml:space="preserve">Compliance with Safeguarding Covered Defense Information Controls (OCT 2016)</w:t>
      </w:r>
    </w:p>
    <w:p>
      <w:pPr>
        <w:spacing w:after="60"/>
      </w:pPr>
      <w:r>
        <w:rPr>
          <w:b/>
          <w:bCs/>
          <w:sz w:val="20"/>
          <w:szCs w:val="20"/>
        </w:rPr>
        <w:t xml:space="preserve">252.204-7012 </w:t>
      </w:r>
      <w:r>
        <w:rPr>
          <w:sz w:val="20"/>
          <w:szCs w:val="20"/>
        </w:rPr>
        <w:t xml:space="preserve">Safeguarding Covered Defense Information and Cyber Incident Reporting (JAN 2023)</w:t>
      </w:r>
    </w:p>
    <w:p>
      <w:pPr>
        <w:spacing w:after="60"/>
      </w:pPr>
      <w:r>
        <w:rPr>
          <w:b/>
          <w:bCs/>
          <w:sz w:val="20"/>
          <w:szCs w:val="20"/>
        </w:rPr>
        <w:t xml:space="preserve">252.204-7019 </w:t>
      </w:r>
      <w:r>
        <w:rPr>
          <w:sz w:val="20"/>
          <w:szCs w:val="20"/>
        </w:rPr>
        <w:t xml:space="preserve">Notice of NIST SP 800-171 DoD Assessment Requirements (NOV 2023)</w:t>
      </w:r>
    </w:p>
    <w:p>
      <w:pPr>
        <w:spacing w:after="60"/>
      </w:pPr>
      <w:r>
        <w:rPr>
          <w:b/>
          <w:bCs/>
          <w:sz w:val="20"/>
          <w:szCs w:val="20"/>
        </w:rPr>
        <w:t xml:space="preserve">252.204-7020 </w:t>
      </w:r>
      <w:r>
        <w:rPr>
          <w:sz w:val="20"/>
          <w:szCs w:val="20"/>
        </w:rPr>
        <w:t xml:space="preserve">NIST SP 800-171 DoD Assessment Requirements (NOV 2023)</w:t>
      </w:r>
    </w:p>
    <w:p>
      <w:pPr>
        <w:spacing w:after="60"/>
      </w:pPr>
      <w:r>
        <w:rPr>
          <w:b/>
          <w:bCs/>
          <w:sz w:val="20"/>
          <w:szCs w:val="20"/>
        </w:rPr>
        <w:t xml:space="preserve">252.204-7021 </w:t>
      </w:r>
      <w:r>
        <w:rPr>
          <w:sz w:val="20"/>
          <w:szCs w:val="20"/>
        </w:rPr>
        <w:t xml:space="preserve">Contractor Compliance with the Cybersecurity Maturity Model Certification (CMMC) (JAN 2023)</w:t>
      </w:r>
    </w:p>
    <w:p>
      <w:pPr>
        <w:spacing w:before="160"/>
      </w:pPr>
    </w:p>
    <w:p>
      <w:pPr>
        <w:spacing w:after="120"/>
      </w:pPr>
      <w:r>
        <w:rPr>
          <w:b/>
          <w:bCs/>
          <w:sz w:val="22"/>
          <w:szCs w:val="22"/>
        </w:rPr>
        <w:t xml:space="preserve">3.2 Supply Chain and Telecommunications</w:t>
      </w:r>
    </w:p>
    <w:p>
      <w:pPr>
        <w:spacing w:after="60"/>
      </w:pPr>
      <w:r>
        <w:rPr>
          <w:b/>
          <w:bCs/>
          <w:sz w:val="20"/>
          <w:szCs w:val="20"/>
        </w:rPr>
        <w:t xml:space="preserve">252.204-7016 </w:t>
      </w:r>
      <w:r>
        <w:rPr>
          <w:sz w:val="20"/>
          <w:szCs w:val="20"/>
        </w:rPr>
        <w:t xml:space="preserve">Covered Defense Telecommunications Equipment or Services—Representation (DEC 2019)</w:t>
      </w:r>
    </w:p>
    <w:p>
      <w:pPr>
        <w:spacing w:after="60"/>
      </w:pPr>
      <w:r>
        <w:rPr>
          <w:b/>
          <w:bCs/>
          <w:sz w:val="20"/>
          <w:szCs w:val="20"/>
        </w:rPr>
        <w:t xml:space="preserve">252.204-7017 </w:t>
      </w:r>
      <w:r>
        <w:rPr>
          <w:sz w:val="20"/>
          <w:szCs w:val="20"/>
        </w:rPr>
        <w:t xml:space="preserve">Prohibition on Covered Defense Telecommunications (MAY 2021)</w:t>
      </w:r>
    </w:p>
    <w:p>
      <w:pPr>
        <w:spacing w:after="60"/>
      </w:pPr>
      <w:r>
        <w:rPr>
          <w:b/>
          <w:bCs/>
          <w:sz w:val="20"/>
          <w:szCs w:val="20"/>
        </w:rPr>
        <w:t xml:space="preserve">252.204-7018 </w:t>
      </w:r>
      <w:r>
        <w:rPr>
          <w:sz w:val="20"/>
          <w:szCs w:val="20"/>
        </w:rPr>
        <w:t xml:space="preserve">Prohibition on Covered Defense Telecommunications—Notification (JAN 2023)</w:t>
      </w:r>
    </w:p>
    <w:p>
      <w:pPr>
        <w:spacing w:after="60"/>
      </w:pPr>
      <w:r>
        <w:rPr>
          <w:b/>
          <w:bCs/>
          <w:sz w:val="20"/>
          <w:szCs w:val="20"/>
        </w:rPr>
        <w:t xml:space="preserve">252.225-7001 </w:t>
      </w:r>
      <w:r>
        <w:rPr>
          <w:sz w:val="20"/>
          <w:szCs w:val="20"/>
        </w:rPr>
        <w:t xml:space="preserve">Buy American and Balance of Payments Program (FEB 2024)</w:t>
      </w:r>
    </w:p>
    <w:p>
      <w:pPr>
        <w:spacing w:after="60"/>
      </w:pPr>
      <w:r>
        <w:rPr>
          <w:b/>
          <w:bCs/>
          <w:sz w:val="20"/>
          <w:szCs w:val="20"/>
        </w:rPr>
        <w:t xml:space="preserve">252.225-7012 </w:t>
      </w:r>
      <w:r>
        <w:rPr>
          <w:sz w:val="20"/>
          <w:szCs w:val="20"/>
        </w:rPr>
        <w:t xml:space="preserve">Preference for Certain Domestic Commodities (FEB 2024)</w:t>
      </w:r>
    </w:p>
    <w:p>
      <w:pPr>
        <w:spacing w:after="60"/>
      </w:pPr>
      <w:r>
        <w:rPr>
          <w:b/>
          <w:bCs/>
          <w:sz w:val="20"/>
          <w:szCs w:val="20"/>
        </w:rPr>
        <w:t xml:space="preserve">252.225-7048 </w:t>
      </w:r>
      <w:r>
        <w:rPr>
          <w:sz w:val="20"/>
          <w:szCs w:val="20"/>
        </w:rPr>
        <w:t xml:space="preserve">Export-Controlled Items (JUN 2013)</w:t>
      </w:r>
    </w:p>
    <w:p>
      <w:pPr>
        <w:spacing w:before="160"/>
      </w:pPr>
    </w:p>
    <w:p>
      <w:pPr>
        <w:spacing w:after="120"/>
      </w:pPr>
      <w:r>
        <w:rPr>
          <w:b/>
          <w:bCs/>
          <w:sz w:val="22"/>
          <w:szCs w:val="22"/>
        </w:rPr>
        <w:t xml:space="preserve">3.3 Technical Data and Computer Software</w:t>
      </w:r>
    </w:p>
    <w:p>
      <w:pPr>
        <w:spacing w:after="60"/>
      </w:pPr>
      <w:r>
        <w:rPr>
          <w:b/>
          <w:bCs/>
          <w:sz w:val="20"/>
          <w:szCs w:val="20"/>
        </w:rPr>
        <w:t xml:space="preserve">252.227-7013 </w:t>
      </w:r>
      <w:r>
        <w:rPr>
          <w:sz w:val="20"/>
          <w:szCs w:val="20"/>
        </w:rPr>
        <w:t xml:space="preserve">Rights in Technical Data—Noncommercial Items (FEB 2014)</w:t>
      </w:r>
    </w:p>
    <w:p>
      <w:pPr>
        <w:spacing w:after="60"/>
      </w:pPr>
      <w:r>
        <w:rPr>
          <w:b/>
          <w:bCs/>
          <w:sz w:val="20"/>
          <w:szCs w:val="20"/>
        </w:rPr>
        <w:t xml:space="preserve">252.227-7014 </w:t>
      </w:r>
      <w:r>
        <w:rPr>
          <w:sz w:val="20"/>
          <w:szCs w:val="20"/>
        </w:rPr>
        <w:t xml:space="preserve">Rights in Other Than Commercial Computer Software (FEB 2014)</w:t>
      </w:r>
    </w:p>
    <w:p>
      <w:pPr>
        <w:spacing w:after="60"/>
      </w:pPr>
      <w:r>
        <w:rPr>
          <w:b/>
          <w:bCs/>
          <w:sz w:val="20"/>
          <w:szCs w:val="20"/>
        </w:rPr>
        <w:t xml:space="preserve">252.227-7015 </w:t>
      </w:r>
      <w:r>
        <w:rPr>
          <w:sz w:val="20"/>
          <w:szCs w:val="20"/>
        </w:rPr>
        <w:t xml:space="preserve">Technical Data—Commercial Items (MAR 2023)</w:t>
      </w:r>
    </w:p>
    <w:p>
      <w:pPr>
        <w:spacing w:after="60"/>
      </w:pPr>
      <w:r>
        <w:rPr>
          <w:b/>
          <w:bCs/>
          <w:sz w:val="20"/>
          <w:szCs w:val="20"/>
        </w:rPr>
        <w:t xml:space="preserve">252.227-7016 </w:t>
      </w:r>
      <w:r>
        <w:rPr>
          <w:sz w:val="20"/>
          <w:szCs w:val="20"/>
        </w:rPr>
        <w:t xml:space="preserve">Rights in Bid or Proposal Information (JAN 2011)</w:t>
      </w:r>
    </w:p>
    <w:p>
      <w:pPr>
        <w:spacing w:after="60"/>
      </w:pPr>
      <w:r>
        <w:rPr>
          <w:b/>
          <w:bCs/>
          <w:sz w:val="20"/>
          <w:szCs w:val="20"/>
        </w:rPr>
        <w:t xml:space="preserve">252.227-7017 </w:t>
      </w:r>
      <w:r>
        <w:rPr>
          <w:sz w:val="20"/>
          <w:szCs w:val="20"/>
        </w:rPr>
        <w:t xml:space="preserve">Identification and Assertion of Use, Release, or Disclosure Restrictions (JAN 2011)</w:t>
      </w:r>
    </w:p>
    <w:p>
      <w:pPr>
        <w:spacing w:after="60"/>
      </w:pPr>
      <w:r>
        <w:rPr>
          <w:b/>
          <w:bCs/>
          <w:sz w:val="20"/>
          <w:szCs w:val="20"/>
        </w:rPr>
        <w:t xml:space="preserve">252.227-7019 </w:t>
      </w:r>
      <w:r>
        <w:rPr>
          <w:sz w:val="20"/>
          <w:szCs w:val="20"/>
        </w:rPr>
        <w:t xml:space="preserve">Validation of Asserted Restrictions—Computer Software (SEP 2016)</w:t>
      </w:r>
    </w:p>
    <w:p>
      <w:pPr>
        <w:spacing w:after="60"/>
      </w:pPr>
      <w:r>
        <w:rPr>
          <w:b/>
          <w:bCs/>
          <w:sz w:val="20"/>
          <w:szCs w:val="20"/>
        </w:rPr>
        <w:t xml:space="preserve">252.227-7025 </w:t>
      </w:r>
      <w:r>
        <w:rPr>
          <w:sz w:val="20"/>
          <w:szCs w:val="20"/>
        </w:rPr>
        <w:t xml:space="preserve">Limitations on the Use or Disclosure of Government-Furnished Information (MAY 2013)</w:t>
      </w:r>
    </w:p>
    <w:p>
      <w:pPr>
        <w:spacing w:after="60"/>
      </w:pPr>
      <w:r>
        <w:rPr>
          <w:b/>
          <w:bCs/>
          <w:sz w:val="20"/>
          <w:szCs w:val="20"/>
        </w:rPr>
        <w:t xml:space="preserve">252.227-7037 </w:t>
      </w:r>
      <w:r>
        <w:rPr>
          <w:sz w:val="20"/>
          <w:szCs w:val="20"/>
        </w:rPr>
        <w:t xml:space="preserve">Validation of Restrictive Markings on Technical Data (SEP 2016)</w:t>
      </w:r>
    </w:p>
    <w:p>
      <w:pPr>
        <w:spacing w:before="360" w:after="120"/>
      </w:pPr>
      <w:r>
        <w:rPr>
          <w:b/>
          <w:bCs/>
          <w:sz w:val="24"/>
          <w:szCs w:val="24"/>
        </w:rPr>
        <w:t xml:space="preserve">SECTION 4. CYBERSECURITY AND DATA PROTECTION REQUIREMENTS</w:t>
      </w:r>
    </w:p>
    <w:p>
      <w:pPr>
        <w:pStyle w:val="ListParagraph"/>
        <w:numPr>
          <w:ilvl w:val="0"/>
          <w:numId w:val="4"/>
        </w:numPr>
        <w:spacing w:after="120"/>
      </w:pPr>
      <w:r>
        <w:rPr>
          <w:sz w:val="22"/>
          <w:szCs w:val="22"/>
        </w:rPr>
        <w:t xml:space="preserve">NIST SP 800-171 Compliance. Contractor represents that it has implemented, or will implement prior to contract performance, the security requirements in NIST Special Publication 800-171, "Protecting Controlled Unclassified Information in Nonfederal Systems and Organizations."</w:t>
      </w:r>
    </w:p>
    <w:p>
      <w:pPr>
        <w:pStyle w:val="ListParagraph"/>
        <w:numPr>
          <w:ilvl w:val="0"/>
          <w:numId w:val="4"/>
        </w:numPr>
        <w:spacing w:after="120"/>
      </w:pPr>
      <w:r>
        <w:rPr>
          <w:sz w:val="22"/>
          <w:szCs w:val="22"/>
        </w:rPr>
        <w:t xml:space="preserve">CMMC Certification. If required by the contract:</w:t>
      </w:r>
    </w:p>
    <w:p>
      <w:pPr>
        <w:pStyle w:val="ListParagraph"/>
        <w:numPr>
          <w:ilvl w:val="0"/>
          <w:numId w:val="3"/>
        </w:numPr>
        <w:spacing w:after="80"/>
      </w:pPr>
      <w:r>
        <w:rPr>
          <w:sz w:val="22"/>
          <w:szCs w:val="22"/>
        </w:rPr>
        <w:t xml:space="preserve">Contractor shall maintain Cybersecurity Maturity Model Certification (CMMC) at the level specified in Schedule A;</w:t>
      </w:r>
    </w:p>
    <w:p>
      <w:pPr>
        <w:pStyle w:val="ListParagraph"/>
        <w:numPr>
          <w:ilvl w:val="0"/>
          <w:numId w:val="3"/>
        </w:numPr>
        <w:spacing w:after="80"/>
      </w:pPr>
      <w:r>
        <w:rPr>
          <w:sz w:val="22"/>
          <w:szCs w:val="22"/>
        </w:rPr>
        <w:t xml:space="preserve">Contractor shall ensure subcontractors maintain appropriate CMMC levels;</w:t>
      </w:r>
    </w:p>
    <w:p>
      <w:pPr>
        <w:pStyle w:val="ListParagraph"/>
        <w:numPr>
          <w:ilvl w:val="0"/>
          <w:numId w:val="3"/>
        </w:numPr>
        <w:spacing w:after="80"/>
      </w:pPr>
      <w:r>
        <w:rPr>
          <w:sz w:val="22"/>
          <w:szCs w:val="22"/>
        </w:rPr>
        <w:t xml:space="preserve">Contractor shall notify the Government of any changes to certification status.</w:t>
      </w:r>
    </w:p>
    <w:p>
      <w:pPr>
        <w:pStyle w:val="ListParagraph"/>
        <w:numPr>
          <w:ilvl w:val="0"/>
          <w:numId w:val="4"/>
        </w:numPr>
        <w:spacing w:after="120"/>
      </w:pPr>
      <w:r>
        <w:rPr>
          <w:sz w:val="22"/>
          <w:szCs w:val="22"/>
        </w:rPr>
        <w:t xml:space="preserve">FedRAMP Authorization. For cloud services:</w:t>
      </w:r>
    </w:p>
    <w:p>
      <w:pPr>
        <w:pStyle w:val="ListParagraph"/>
        <w:numPr>
          <w:ilvl w:val="0"/>
          <w:numId w:val="3"/>
        </w:numPr>
        <w:spacing w:after="80"/>
      </w:pPr>
      <w:r>
        <w:rPr>
          <w:sz w:val="22"/>
          <w:szCs w:val="22"/>
        </w:rPr>
        <w:t xml:space="preserve">Contractor shall maintain FedRAMP Authorization at the impact level specified in Schedule A;</w:t>
      </w:r>
    </w:p>
    <w:p>
      <w:pPr>
        <w:pStyle w:val="ListParagraph"/>
        <w:numPr>
          <w:ilvl w:val="0"/>
          <w:numId w:val="3"/>
        </w:numPr>
        <w:spacing w:after="80"/>
      </w:pPr>
      <w:r>
        <w:rPr>
          <w:sz w:val="22"/>
          <w:szCs w:val="22"/>
        </w:rPr>
        <w:t xml:space="preserve">Contractor shall provide current FedRAMP authorization package upon request;</w:t>
      </w:r>
    </w:p>
    <w:p>
      <w:pPr>
        <w:pStyle w:val="ListParagraph"/>
        <w:numPr>
          <w:ilvl w:val="0"/>
          <w:numId w:val="3"/>
        </w:numPr>
        <w:spacing w:after="80"/>
      </w:pPr>
      <w:r>
        <w:rPr>
          <w:sz w:val="22"/>
          <w:szCs w:val="22"/>
        </w:rPr>
        <w:t xml:space="preserve">Contractor shall notify the Government of any changes to authorization status.</w:t>
      </w:r>
    </w:p>
    <w:p>
      <w:pPr>
        <w:pStyle w:val="ListParagraph"/>
        <w:numPr>
          <w:ilvl w:val="0"/>
          <w:numId w:val="4"/>
        </w:numPr>
        <w:spacing w:after="120"/>
      </w:pPr>
      <w:r>
        <w:rPr>
          <w:sz w:val="22"/>
          <w:szCs w:val="22"/>
        </w:rPr>
        <w:t xml:space="preserve">Cyber Incident Reporting. In accordance with DFARS 252.204-7012:</w:t>
      </w:r>
    </w:p>
    <w:p>
      <w:pPr>
        <w:pStyle w:val="ListParagraph"/>
        <w:numPr>
          <w:ilvl w:val="0"/>
          <w:numId w:val="3"/>
        </w:numPr>
        <w:spacing w:after="80"/>
      </w:pPr>
      <w:r>
        <w:rPr>
          <w:sz w:val="22"/>
          <w:szCs w:val="22"/>
        </w:rPr>
        <w:t xml:space="preserve">Contractor shall report cyber incidents within 72 hours of discovery;</w:t>
      </w:r>
    </w:p>
    <w:p>
      <w:pPr>
        <w:pStyle w:val="ListParagraph"/>
        <w:numPr>
          <w:ilvl w:val="0"/>
          <w:numId w:val="3"/>
        </w:numPr>
        <w:spacing w:after="80"/>
      </w:pPr>
      <w:r>
        <w:rPr>
          <w:sz w:val="22"/>
          <w:szCs w:val="22"/>
        </w:rPr>
        <w:t xml:space="preserve">Reports shall be submitted to https://dibnet.dod.mil;</w:t>
      </w:r>
    </w:p>
    <w:p>
      <w:pPr>
        <w:pStyle w:val="ListParagraph"/>
        <w:numPr>
          <w:ilvl w:val="0"/>
          <w:numId w:val="3"/>
        </w:numPr>
        <w:spacing w:after="80"/>
      </w:pPr>
      <w:r>
        <w:rPr>
          <w:sz w:val="22"/>
          <w:szCs w:val="22"/>
        </w:rPr>
        <w:t xml:space="preserve">Contractor shall preserve and protect images of affected systems for 90 days;</w:t>
      </w:r>
    </w:p>
    <w:p>
      <w:pPr>
        <w:pStyle w:val="ListParagraph"/>
        <w:numPr>
          <w:ilvl w:val="0"/>
          <w:numId w:val="3"/>
        </w:numPr>
        <w:spacing w:after="80"/>
      </w:pPr>
      <w:r>
        <w:rPr>
          <w:sz w:val="22"/>
          <w:szCs w:val="22"/>
        </w:rPr>
        <w:t xml:space="preserve">Contractor shall provide access to affected systems upon request.</w:t>
      </w:r>
    </w:p>
    <w:p>
      <w:pPr>
        <w:pStyle w:val="ListParagraph"/>
        <w:numPr>
          <w:ilvl w:val="0"/>
          <w:numId w:val="4"/>
        </w:numPr>
        <w:spacing w:after="120"/>
      </w:pPr>
      <w:r>
        <w:rPr>
          <w:sz w:val="22"/>
          <w:szCs w:val="22"/>
        </w:rPr>
        <w:t xml:space="preserve">Covered Defense Information (CDI). Contractor shall:</w:t>
      </w:r>
    </w:p>
    <w:p>
      <w:pPr>
        <w:pStyle w:val="ListParagraph"/>
        <w:numPr>
          <w:ilvl w:val="0"/>
          <w:numId w:val="3"/>
        </w:numPr>
        <w:spacing w:after="80"/>
      </w:pPr>
      <w:r>
        <w:rPr>
          <w:sz w:val="22"/>
          <w:szCs w:val="22"/>
        </w:rPr>
        <w:t xml:space="preserve">Mark CDI in accordance with CUI requirements;</w:t>
      </w:r>
    </w:p>
    <w:p>
      <w:pPr>
        <w:pStyle w:val="ListParagraph"/>
        <w:numPr>
          <w:ilvl w:val="0"/>
          <w:numId w:val="3"/>
        </w:numPr>
        <w:spacing w:after="80"/>
      </w:pPr>
      <w:r>
        <w:rPr>
          <w:sz w:val="22"/>
          <w:szCs w:val="22"/>
        </w:rPr>
        <w:t xml:space="preserve">Limit access to CDI to authorized personnel;</w:t>
      </w:r>
    </w:p>
    <w:p>
      <w:pPr>
        <w:pStyle w:val="ListParagraph"/>
        <w:numPr>
          <w:ilvl w:val="0"/>
          <w:numId w:val="3"/>
        </w:numPr>
        <w:spacing w:after="80"/>
      </w:pPr>
      <w:r>
        <w:rPr>
          <w:sz w:val="22"/>
          <w:szCs w:val="22"/>
        </w:rPr>
        <w:t xml:space="preserve">Not disclose CDI without Government authorization;</w:t>
      </w:r>
    </w:p>
    <w:p>
      <w:pPr>
        <w:pStyle w:val="ListParagraph"/>
        <w:numPr>
          <w:ilvl w:val="0"/>
          <w:numId w:val="3"/>
        </w:numPr>
        <w:spacing w:after="80"/>
      </w:pPr>
      <w:r>
        <w:rPr>
          <w:sz w:val="22"/>
          <w:szCs w:val="22"/>
        </w:rPr>
        <w:t xml:space="preserve">Return or destroy CDI upon contract completion.</w:t>
      </w:r>
    </w:p>
    <w:p>
      <w:pPr>
        <w:spacing w:before="360" w:after="120"/>
      </w:pPr>
      <w:r>
        <w:rPr>
          <w:b/>
          <w:bCs/>
          <w:sz w:val="24"/>
          <w:szCs w:val="24"/>
        </w:rPr>
        <w:t xml:space="preserve">SECTION 5. EXPORT CONTROL AND ITAR/EAR COMPLIANCE</w:t>
      </w:r>
    </w:p>
    <w:p>
      <w:pPr>
        <w:pStyle w:val="ListParagraph"/>
        <w:numPr>
          <w:ilvl w:val="0"/>
          <w:numId w:val="5"/>
        </w:numPr>
        <w:spacing w:after="120"/>
      </w:pPr>
      <w:r>
        <w:rPr>
          <w:sz w:val="22"/>
          <w:szCs w:val="22"/>
        </w:rPr>
        <w:t xml:space="preserve">Export Classification. The IVYAR Platform and associated technical data may be subject to:</w:t>
      </w:r>
    </w:p>
    <w:p>
      <w:pPr>
        <w:pStyle w:val="ListParagraph"/>
        <w:numPr>
          <w:ilvl w:val="0"/>
          <w:numId w:val="3"/>
        </w:numPr>
        <w:spacing w:after="80"/>
      </w:pPr>
      <w:r>
        <w:rPr>
          <w:sz w:val="22"/>
          <w:szCs w:val="22"/>
        </w:rPr>
        <w:t xml:space="preserve">International Traffic in Arms Regulations (ITAR), 22 CFR Parts 120-130;</w:t>
      </w:r>
    </w:p>
    <w:p>
      <w:pPr>
        <w:pStyle w:val="ListParagraph"/>
        <w:numPr>
          <w:ilvl w:val="0"/>
          <w:numId w:val="3"/>
        </w:numPr>
        <w:spacing w:after="80"/>
      </w:pPr>
      <w:r>
        <w:rPr>
          <w:sz w:val="22"/>
          <w:szCs w:val="22"/>
        </w:rPr>
        <w:t xml:space="preserve">Export Administration Regulations (EAR), 15 CFR Parts 730-774;</w:t>
      </w:r>
    </w:p>
    <w:p>
      <w:pPr>
        <w:pStyle w:val="ListParagraph"/>
        <w:numPr>
          <w:ilvl w:val="0"/>
          <w:numId w:val="3"/>
        </w:numPr>
        <w:spacing w:after="80"/>
      </w:pPr>
      <w:r>
        <w:rPr>
          <w:sz w:val="22"/>
          <w:szCs w:val="22"/>
        </w:rPr>
        <w:t xml:space="preserve">Office of Foreign Assets Control (OFAC) sanctions regulations.</w:t>
      </w:r>
    </w:p>
    <w:p>
      <w:pPr>
        <w:pStyle w:val="ListParagraph"/>
        <w:numPr>
          <w:ilvl w:val="0"/>
          <w:numId w:val="5"/>
        </w:numPr>
        <w:spacing w:after="120"/>
      </w:pPr>
      <w:r>
        <w:rPr>
          <w:sz w:val="22"/>
          <w:szCs w:val="22"/>
        </w:rPr>
        <w:t xml:space="preserve">ITAR Compliance (if applicable). If the Platform or technical data is ITAR-controlled:</w:t>
      </w:r>
    </w:p>
    <w:p>
      <w:pPr>
        <w:pStyle w:val="ListParagraph"/>
        <w:numPr>
          <w:ilvl w:val="0"/>
          <w:numId w:val="3"/>
        </w:numPr>
        <w:spacing w:after="80"/>
      </w:pPr>
      <w:r>
        <w:rPr>
          <w:sz w:val="22"/>
          <w:szCs w:val="22"/>
        </w:rPr>
        <w:t xml:space="preserve">Contractor is registered with the Directorate of Defense Trade Controls (DDTC);</w:t>
      </w:r>
    </w:p>
    <w:p>
      <w:pPr>
        <w:pStyle w:val="ListParagraph"/>
        <w:numPr>
          <w:ilvl w:val="0"/>
          <w:numId w:val="3"/>
        </w:numPr>
        <w:spacing w:after="80"/>
      </w:pPr>
      <w:r>
        <w:rPr>
          <w:sz w:val="22"/>
          <w:szCs w:val="22"/>
        </w:rPr>
        <w:t xml:space="preserve">All personnel accessing ITAR data are U.S. Persons as defined in 22 CFR 120.62;</w:t>
      </w:r>
    </w:p>
    <w:p>
      <w:pPr>
        <w:pStyle w:val="ListParagraph"/>
        <w:numPr>
          <w:ilvl w:val="0"/>
          <w:numId w:val="3"/>
        </w:numPr>
        <w:spacing w:after="80"/>
      </w:pPr>
      <w:r>
        <w:rPr>
          <w:sz w:val="22"/>
          <w:szCs w:val="22"/>
        </w:rPr>
        <w:t xml:space="preserve">No unauthorized exports or disclosures to foreign persons shall occur;</w:t>
      </w:r>
    </w:p>
    <w:p>
      <w:pPr>
        <w:pStyle w:val="ListParagraph"/>
        <w:numPr>
          <w:ilvl w:val="0"/>
          <w:numId w:val="3"/>
        </w:numPr>
        <w:spacing w:after="80"/>
      </w:pPr>
      <w:r>
        <w:rPr>
          <w:sz w:val="22"/>
          <w:szCs w:val="22"/>
        </w:rPr>
        <w:t xml:space="preserve">Contractor maintains a Technology Control Plan as required.</w:t>
      </w:r>
    </w:p>
    <w:p>
      <w:pPr>
        <w:pStyle w:val="ListParagraph"/>
        <w:numPr>
          <w:ilvl w:val="0"/>
          <w:numId w:val="5"/>
        </w:numPr>
        <w:spacing w:after="120"/>
      </w:pPr>
      <w:r>
        <w:rPr>
          <w:sz w:val="22"/>
          <w:szCs w:val="22"/>
        </w:rPr>
        <w:t xml:space="preserve">EAR Compliance. For EAR-controlled items:</w:t>
      </w:r>
    </w:p>
    <w:p>
      <w:pPr>
        <w:pStyle w:val="ListParagraph"/>
        <w:numPr>
          <w:ilvl w:val="0"/>
          <w:numId w:val="3"/>
        </w:numPr>
        <w:spacing w:after="80"/>
      </w:pPr>
      <w:r>
        <w:rPr>
          <w:sz w:val="22"/>
          <w:szCs w:val="22"/>
        </w:rPr>
        <w:t xml:space="preserve">Export Control Classification Number (ECCN): [Specify or N/A];</w:t>
      </w:r>
    </w:p>
    <w:p>
      <w:pPr>
        <w:pStyle w:val="ListParagraph"/>
        <w:numPr>
          <w:ilvl w:val="0"/>
          <w:numId w:val="3"/>
        </w:numPr>
        <w:spacing w:after="80"/>
      </w:pPr>
      <w:r>
        <w:rPr>
          <w:sz w:val="22"/>
          <w:szCs w:val="22"/>
        </w:rPr>
        <w:t xml:space="preserve">License requirements shall be determined prior to export;</w:t>
      </w:r>
    </w:p>
    <w:p>
      <w:pPr>
        <w:pStyle w:val="ListParagraph"/>
        <w:numPr>
          <w:ilvl w:val="0"/>
          <w:numId w:val="3"/>
        </w:numPr>
        <w:spacing w:after="80"/>
      </w:pPr>
      <w:r>
        <w:rPr>
          <w:sz w:val="22"/>
          <w:szCs w:val="22"/>
        </w:rPr>
        <w:t xml:space="preserve">Deemed exports to foreign nationals shall be controlled.</w:t>
      </w:r>
    </w:p>
    <w:p>
      <w:pPr>
        <w:pStyle w:val="ListParagraph"/>
        <w:numPr>
          <w:ilvl w:val="0"/>
          <w:numId w:val="5"/>
        </w:numPr>
        <w:spacing w:after="120"/>
      </w:pPr>
      <w:r>
        <w:rPr>
          <w:sz w:val="22"/>
          <w:szCs w:val="22"/>
        </w:rPr>
        <w:t xml:space="preserve">Prohibited Destinations and Parties. Contractor shall not export, re-export, or transfer to:</w:t>
      </w:r>
    </w:p>
    <w:p>
      <w:pPr>
        <w:pStyle w:val="ListParagraph"/>
        <w:numPr>
          <w:ilvl w:val="0"/>
          <w:numId w:val="3"/>
        </w:numPr>
        <w:spacing w:after="80"/>
      </w:pPr>
      <w:r>
        <w:rPr>
          <w:sz w:val="22"/>
          <w:szCs w:val="22"/>
        </w:rPr>
        <w:t xml:space="preserve">Countries subject to comprehensive U.S. sanctions;</w:t>
      </w:r>
    </w:p>
    <w:p>
      <w:pPr>
        <w:pStyle w:val="ListParagraph"/>
        <w:numPr>
          <w:ilvl w:val="0"/>
          <w:numId w:val="3"/>
        </w:numPr>
        <w:spacing w:after="80"/>
      </w:pPr>
      <w:r>
        <w:rPr>
          <w:sz w:val="22"/>
          <w:szCs w:val="22"/>
        </w:rPr>
        <w:t xml:space="preserve">Denied parties, entities, or specially designated nationals;</w:t>
      </w:r>
    </w:p>
    <w:p>
      <w:pPr>
        <w:pStyle w:val="ListParagraph"/>
        <w:numPr>
          <w:ilvl w:val="0"/>
          <w:numId w:val="3"/>
        </w:numPr>
        <w:spacing w:after="80"/>
      </w:pPr>
      <w:r>
        <w:rPr>
          <w:sz w:val="22"/>
          <w:szCs w:val="22"/>
        </w:rPr>
        <w:t xml:space="preserve">Prohibited end-uses, including weapons of mass destruction.</w:t>
      </w:r>
    </w:p>
    <w:p>
      <w:r>
        <w:br w:type="page"/>
      </w:r>
    </w:p>
    <w:p>
      <w:pPr>
        <w:spacing w:before="360" w:after="120"/>
      </w:pPr>
      <w:r>
        <w:rPr>
          <w:b/>
          <w:bCs/>
          <w:sz w:val="24"/>
          <w:szCs w:val="24"/>
        </w:rPr>
        <w:t xml:space="preserve">SECTION 6. SECURITY CLEARANCE AND FACILITY REQUIREMENTS</w:t>
      </w:r>
    </w:p>
    <w:p>
      <w:pPr>
        <w:pStyle w:val="ListParagraph"/>
        <w:numPr>
          <w:ilvl w:val="0"/>
          <w:numId w:val="6"/>
        </w:numPr>
        <w:spacing w:after="120"/>
      </w:pPr>
      <w:r>
        <w:rPr>
          <w:sz w:val="22"/>
          <w:szCs w:val="22"/>
        </w:rPr>
        <w:t xml:space="preserve">Facility Clearance. If required:</w:t>
      </w:r>
    </w:p>
    <w:p>
      <w:pPr>
        <w:pStyle w:val="ListParagraph"/>
        <w:numPr>
          <w:ilvl w:val="0"/>
          <w:numId w:val="3"/>
        </w:numPr>
        <w:spacing w:after="80"/>
      </w:pPr>
      <w:r>
        <w:rPr>
          <w:sz w:val="22"/>
          <w:szCs w:val="22"/>
        </w:rPr>
        <w:t xml:space="preserve">Contractor shall maintain a Facility Clearance (FCL) at the level specified in Schedule A;</w:t>
      </w:r>
    </w:p>
    <w:p>
      <w:pPr>
        <w:pStyle w:val="ListParagraph"/>
        <w:numPr>
          <w:ilvl w:val="0"/>
          <w:numId w:val="3"/>
        </w:numPr>
        <w:spacing w:after="80"/>
      </w:pPr>
      <w:r>
        <w:rPr>
          <w:sz w:val="22"/>
          <w:szCs w:val="22"/>
        </w:rPr>
        <w:t xml:space="preserve">Contractor's CAGE Code: [To be provided];</w:t>
      </w:r>
    </w:p>
    <w:p>
      <w:pPr>
        <w:pStyle w:val="ListParagraph"/>
        <w:numPr>
          <w:ilvl w:val="0"/>
          <w:numId w:val="3"/>
        </w:numPr>
        <w:spacing w:after="80"/>
      </w:pPr>
      <w:r>
        <w:rPr>
          <w:sz w:val="22"/>
          <w:szCs w:val="22"/>
        </w:rPr>
        <w:t xml:space="preserve">Contractor's DUNS Number: [To be provided].</w:t>
      </w:r>
    </w:p>
    <w:p>
      <w:pPr>
        <w:pStyle w:val="ListParagraph"/>
        <w:numPr>
          <w:ilvl w:val="0"/>
          <w:numId w:val="6"/>
        </w:numPr>
        <w:spacing w:after="120"/>
      </w:pPr>
      <w:r>
        <w:rPr>
          <w:sz w:val="22"/>
          <w:szCs w:val="22"/>
        </w:rPr>
        <w:t xml:space="preserve">Personnel Security. For classified work:</w:t>
      </w:r>
    </w:p>
    <w:p>
      <w:pPr>
        <w:pStyle w:val="ListParagraph"/>
        <w:numPr>
          <w:ilvl w:val="0"/>
          <w:numId w:val="3"/>
        </w:numPr>
        <w:spacing w:after="80"/>
      </w:pPr>
      <w:r>
        <w:rPr>
          <w:sz w:val="22"/>
          <w:szCs w:val="22"/>
        </w:rPr>
        <w:t xml:space="preserve">All personnel with access to classified information shall hold appropriate clearances;</w:t>
      </w:r>
    </w:p>
    <w:p>
      <w:pPr>
        <w:pStyle w:val="ListParagraph"/>
        <w:numPr>
          <w:ilvl w:val="0"/>
          <w:numId w:val="3"/>
        </w:numPr>
        <w:spacing w:after="80"/>
      </w:pPr>
      <w:r>
        <w:rPr>
          <w:sz w:val="22"/>
          <w:szCs w:val="22"/>
        </w:rPr>
        <w:t xml:space="preserve">Contractor shall comply with NISPOM (32 CFR Part 117);</w:t>
      </w:r>
    </w:p>
    <w:p>
      <w:pPr>
        <w:pStyle w:val="ListParagraph"/>
        <w:numPr>
          <w:ilvl w:val="0"/>
          <w:numId w:val="3"/>
        </w:numPr>
        <w:spacing w:after="80"/>
      </w:pPr>
      <w:r>
        <w:rPr>
          <w:sz w:val="22"/>
          <w:szCs w:val="22"/>
        </w:rPr>
        <w:t xml:space="preserve">Contractor shall report adverse information regarding cleared personnel.</w:t>
      </w:r>
    </w:p>
    <w:p>
      <w:pPr>
        <w:pStyle w:val="ListParagraph"/>
        <w:numPr>
          <w:ilvl w:val="0"/>
          <w:numId w:val="6"/>
        </w:numPr>
        <w:spacing w:after="120"/>
      </w:pPr>
      <w:r>
        <w:rPr>
          <w:sz w:val="22"/>
          <w:szCs w:val="22"/>
        </w:rPr>
        <w:t xml:space="preserve">Classified Information Handling. Contractor shall:</w:t>
      </w:r>
    </w:p>
    <w:p>
      <w:pPr>
        <w:pStyle w:val="ListParagraph"/>
        <w:numPr>
          <w:ilvl w:val="0"/>
          <w:numId w:val="3"/>
        </w:numPr>
        <w:spacing w:after="80"/>
      </w:pPr>
      <w:r>
        <w:rPr>
          <w:sz w:val="22"/>
          <w:szCs w:val="22"/>
        </w:rPr>
        <w:t xml:space="preserve">Process, store, and transmit classified information only in approved facilities;</w:t>
      </w:r>
    </w:p>
    <w:p>
      <w:pPr>
        <w:pStyle w:val="ListParagraph"/>
        <w:numPr>
          <w:ilvl w:val="0"/>
          <w:numId w:val="3"/>
        </w:numPr>
        <w:spacing w:after="80"/>
      </w:pPr>
      <w:r>
        <w:rPr>
          <w:sz w:val="22"/>
          <w:szCs w:val="22"/>
        </w:rPr>
        <w:t xml:space="preserve">Comply with all security classification guides;</w:t>
      </w:r>
    </w:p>
    <w:p>
      <w:pPr>
        <w:pStyle w:val="ListParagraph"/>
        <w:numPr>
          <w:ilvl w:val="0"/>
          <w:numId w:val="3"/>
        </w:numPr>
        <w:spacing w:after="80"/>
      </w:pPr>
      <w:r>
        <w:rPr>
          <w:sz w:val="22"/>
          <w:szCs w:val="22"/>
        </w:rPr>
        <w:t xml:space="preserve">Report security incidents immediately;</w:t>
      </w:r>
    </w:p>
    <w:p>
      <w:pPr>
        <w:pStyle w:val="ListParagraph"/>
        <w:numPr>
          <w:ilvl w:val="0"/>
          <w:numId w:val="3"/>
        </w:numPr>
        <w:spacing w:after="80"/>
      </w:pPr>
      <w:r>
        <w:rPr>
          <w:sz w:val="22"/>
          <w:szCs w:val="22"/>
        </w:rPr>
        <w:t xml:space="preserve">Participate in required security reviews and inspections.</w:t>
      </w:r>
    </w:p>
    <w:p>
      <w:pPr>
        <w:spacing w:before="360" w:after="120"/>
      </w:pPr>
      <w:r>
        <w:rPr>
          <w:b/>
          <w:bCs/>
          <w:sz w:val="24"/>
          <w:szCs w:val="24"/>
        </w:rPr>
        <w:t xml:space="preserve">SECTION 7. GOVERNMENT RIGHTS IN DATA AND SOFTWARE</w:t>
      </w:r>
    </w:p>
    <w:p>
      <w:pPr>
        <w:pStyle w:val="ListParagraph"/>
        <w:numPr>
          <w:ilvl w:val="0"/>
          <w:numId w:val="7"/>
        </w:numPr>
        <w:spacing w:after="120"/>
      </w:pPr>
      <w:r>
        <w:rPr>
          <w:sz w:val="22"/>
          <w:szCs w:val="22"/>
        </w:rPr>
        <w:t xml:space="preserve">Commercial Computer Software. In accordance with FAR 52.227-19 and DFARS 252.227-7015, the Government shall acquire only the rights specified in IVYAR's standard commercial license, unless greater rights are negotiated.</w:t>
      </w:r>
    </w:p>
    <w:p>
      <w:pPr>
        <w:pStyle w:val="ListParagraph"/>
        <w:numPr>
          <w:ilvl w:val="0"/>
          <w:numId w:val="7"/>
        </w:numPr>
        <w:spacing w:after="120"/>
      </w:pPr>
      <w:r>
        <w:rPr>
          <w:sz w:val="22"/>
          <w:szCs w:val="22"/>
        </w:rPr>
        <w:t xml:space="preserve">License Grant to Government. Subject to payment, Contractor grants the Government:</w:t>
      </w:r>
    </w:p>
    <w:p>
      <w:pPr>
        <w:pStyle w:val="ListParagraph"/>
        <w:numPr>
          <w:ilvl w:val="0"/>
          <w:numId w:val="3"/>
        </w:numPr>
        <w:spacing w:after="80"/>
      </w:pPr>
      <w:r>
        <w:rPr>
          <w:sz w:val="22"/>
          <w:szCs w:val="22"/>
        </w:rPr>
        <w:t xml:space="preserve">A non-exclusive, worldwide license to use the Platform for Government purposes;</w:t>
      </w:r>
    </w:p>
    <w:p>
      <w:pPr>
        <w:pStyle w:val="ListParagraph"/>
        <w:numPr>
          <w:ilvl w:val="0"/>
          <w:numId w:val="3"/>
        </w:numPr>
        <w:spacing w:after="80"/>
      </w:pPr>
      <w:r>
        <w:rPr>
          <w:sz w:val="22"/>
          <w:szCs w:val="22"/>
        </w:rPr>
        <w:t xml:space="preserve">The right to authorize contractors supporting the Government to use the Platform;</w:t>
      </w:r>
    </w:p>
    <w:p>
      <w:pPr>
        <w:pStyle w:val="ListParagraph"/>
        <w:numPr>
          <w:ilvl w:val="0"/>
          <w:numId w:val="3"/>
        </w:numPr>
        <w:spacing w:after="80"/>
      </w:pPr>
      <w:r>
        <w:rPr>
          <w:sz w:val="22"/>
          <w:szCs w:val="22"/>
        </w:rPr>
        <w:t xml:space="preserve">The right to make archival copies as required for continuity of operations.</w:t>
      </w:r>
    </w:p>
    <w:p>
      <w:pPr>
        <w:pStyle w:val="ListParagraph"/>
        <w:numPr>
          <w:ilvl w:val="0"/>
          <w:numId w:val="7"/>
        </w:numPr>
        <w:spacing w:after="120"/>
      </w:pPr>
      <w:r>
        <w:rPr>
          <w:sz w:val="22"/>
          <w:szCs w:val="22"/>
        </w:rPr>
        <w:t xml:space="preserve">Restrictions on Government Rights. The Government acknowledges:</w:t>
      </w:r>
    </w:p>
    <w:p>
      <w:pPr>
        <w:pStyle w:val="ListParagraph"/>
        <w:numPr>
          <w:ilvl w:val="0"/>
          <w:numId w:val="3"/>
        </w:numPr>
        <w:spacing w:after="80"/>
      </w:pPr>
      <w:r>
        <w:rPr>
          <w:sz w:val="22"/>
          <w:szCs w:val="22"/>
        </w:rPr>
        <w:t xml:space="preserve">The Platform contains trade secrets and proprietary information;</w:t>
      </w:r>
    </w:p>
    <w:p>
      <w:pPr>
        <w:pStyle w:val="ListParagraph"/>
        <w:numPr>
          <w:ilvl w:val="0"/>
          <w:numId w:val="3"/>
        </w:numPr>
        <w:spacing w:after="80"/>
      </w:pPr>
      <w:r>
        <w:rPr>
          <w:sz w:val="22"/>
          <w:szCs w:val="22"/>
        </w:rPr>
        <w:t xml:space="preserve">Disclosure outside the Government requires Contractor's consent;</w:t>
      </w:r>
    </w:p>
    <w:p>
      <w:pPr>
        <w:pStyle w:val="ListParagraph"/>
        <w:numPr>
          <w:ilvl w:val="0"/>
          <w:numId w:val="3"/>
        </w:numPr>
        <w:spacing w:after="80"/>
      </w:pPr>
      <w:r>
        <w:rPr>
          <w:sz w:val="22"/>
          <w:szCs w:val="22"/>
        </w:rPr>
        <w:t xml:space="preserve">The Government shall not reverse engineer or decompile the software;</w:t>
      </w:r>
    </w:p>
    <w:p>
      <w:pPr>
        <w:pStyle w:val="ListParagraph"/>
        <w:numPr>
          <w:ilvl w:val="0"/>
          <w:numId w:val="3"/>
        </w:numPr>
        <w:spacing w:after="80"/>
      </w:pPr>
      <w:r>
        <w:rPr>
          <w:sz w:val="22"/>
          <w:szCs w:val="22"/>
        </w:rPr>
        <w:t xml:space="preserve">Rights are limited to the licenses expressly granted.</w:t>
      </w:r>
    </w:p>
    <w:p>
      <w:pPr>
        <w:pStyle w:val="ListParagraph"/>
        <w:numPr>
          <w:ilvl w:val="0"/>
          <w:numId w:val="7"/>
        </w:numPr>
        <w:spacing w:after="120"/>
      </w:pPr>
      <w:r>
        <w:rPr>
          <w:sz w:val="22"/>
          <w:szCs w:val="22"/>
        </w:rPr>
        <w:t xml:space="preserve">Technical Data Marking. All technical data delivered shall be marked with appropriate legends:</w:t>
      </w:r>
    </w:p>
    <w:p>
      <w:pPr>
        <w:shd w:fill="F5F5F5" w:val="clear"/>
        <w:spacing w:before="120" w:after="120"/>
        <w:ind w:left="720" w:right="720"/>
      </w:pPr>
      <w:r>
        <w:rPr>
          <w:i/>
          <w:iCs/>
          <w:sz w:val="18"/>
          <w:szCs w:val="18"/>
        </w:rPr>
        <w:t xml:space="preserve">LIMITED RIGHTS NOTICE (DEC 2007)
The Government's rights to use, modify, reproduce, release, perform, display, or disclose technical data contained herein are restricted by paragraph (b)(3) of the Rights in Technical Data—Commercial Items clause at DFARS 252.227-7015.</w:t>
      </w:r>
    </w:p>
    <w:p>
      <w:pPr>
        <w:spacing w:before="360" w:after="120"/>
      </w:pPr>
      <w:r>
        <w:rPr>
          <w:b/>
          <w:bCs/>
          <w:sz w:val="24"/>
          <w:szCs w:val="24"/>
        </w:rPr>
        <w:t xml:space="preserve">SECTION 8. PRICING, PAYMENT, AND INVOICING</w:t>
      </w:r>
    </w:p>
    <w:p>
      <w:pPr>
        <w:pStyle w:val="ListParagraph"/>
        <w:numPr>
          <w:ilvl w:val="0"/>
          <w:numId w:val="8"/>
        </w:numPr>
        <w:spacing w:after="120"/>
      </w:pPr>
      <w:r>
        <w:rPr>
          <w:sz w:val="22"/>
          <w:szCs w:val="22"/>
        </w:rPr>
        <w:t xml:space="preserve">Pricing Basis. Pricing for Government contracts shall be:</w:t>
      </w:r>
    </w:p>
    <w:p>
      <w:pPr>
        <w:pStyle w:val="ListParagraph"/>
        <w:numPr>
          <w:ilvl w:val="0"/>
          <w:numId w:val="3"/>
        </w:numPr>
        <w:spacing w:after="80"/>
      </w:pPr>
      <w:r>
        <w:rPr>
          <w:sz w:val="22"/>
          <w:szCs w:val="22"/>
        </w:rPr>
        <w:t xml:space="preserve">Consistent with commercial pricing practices;</w:t>
      </w:r>
    </w:p>
    <w:p>
      <w:pPr>
        <w:pStyle w:val="ListParagraph"/>
        <w:numPr>
          <w:ilvl w:val="0"/>
          <w:numId w:val="3"/>
        </w:numPr>
        <w:spacing w:after="80"/>
      </w:pPr>
      <w:r>
        <w:rPr>
          <w:sz w:val="22"/>
          <w:szCs w:val="22"/>
        </w:rPr>
        <w:t xml:space="preserve">Compliant with FAR 15.403 and the Truth in Negotiations Act (TINA) if applicable;</w:t>
      </w:r>
    </w:p>
    <w:p>
      <w:pPr>
        <w:pStyle w:val="ListParagraph"/>
        <w:numPr>
          <w:ilvl w:val="0"/>
          <w:numId w:val="3"/>
        </w:numPr>
        <w:spacing w:after="80"/>
      </w:pPr>
      <w:r>
        <w:rPr>
          <w:sz w:val="22"/>
          <w:szCs w:val="22"/>
        </w:rPr>
        <w:t xml:space="preserve">Subject to Cost Accounting Standards (CAS) if applicable.</w:t>
      </w:r>
    </w:p>
    <w:p>
      <w:pPr>
        <w:pStyle w:val="ListParagraph"/>
        <w:numPr>
          <w:ilvl w:val="0"/>
          <w:numId w:val="8"/>
        </w:numPr>
        <w:spacing w:after="120"/>
      </w:pPr>
      <w:r>
        <w:rPr>
          <w:sz w:val="22"/>
          <w:szCs w:val="22"/>
        </w:rPr>
        <w:t xml:space="preserve">GSA Schedule Pricing. If procured through GSA Schedule:</w:t>
      </w:r>
    </w:p>
    <w:p>
      <w:pPr>
        <w:pStyle w:val="ListParagraph"/>
        <w:numPr>
          <w:ilvl w:val="0"/>
          <w:numId w:val="3"/>
        </w:numPr>
        <w:spacing w:after="80"/>
      </w:pPr>
      <w:r>
        <w:rPr>
          <w:sz w:val="22"/>
          <w:szCs w:val="22"/>
        </w:rPr>
        <w:t xml:space="preserve">Prices shall not exceed GSA Schedule contract prices;</w:t>
      </w:r>
    </w:p>
    <w:p>
      <w:pPr>
        <w:pStyle w:val="ListParagraph"/>
        <w:numPr>
          <w:ilvl w:val="0"/>
          <w:numId w:val="3"/>
        </w:numPr>
        <w:spacing w:after="80"/>
      </w:pPr>
      <w:r>
        <w:rPr>
          <w:sz w:val="22"/>
          <w:szCs w:val="22"/>
        </w:rPr>
        <w:t xml:space="preserve">GSA Schedule contract number: [If applicable];</w:t>
      </w:r>
    </w:p>
    <w:p>
      <w:pPr>
        <w:pStyle w:val="ListParagraph"/>
        <w:numPr>
          <w:ilvl w:val="0"/>
          <w:numId w:val="3"/>
        </w:numPr>
        <w:spacing w:after="80"/>
      </w:pPr>
      <w:r>
        <w:rPr>
          <w:sz w:val="22"/>
          <w:szCs w:val="22"/>
        </w:rPr>
        <w:t xml:space="preserve">Special Item Numbers (SINs): [If applicable].</w:t>
      </w:r>
    </w:p>
    <w:p>
      <w:pPr>
        <w:pStyle w:val="ListParagraph"/>
        <w:numPr>
          <w:ilvl w:val="0"/>
          <w:numId w:val="8"/>
        </w:numPr>
        <w:spacing w:after="120"/>
      </w:pPr>
      <w:r>
        <w:rPr>
          <w:sz w:val="22"/>
          <w:szCs w:val="22"/>
        </w:rPr>
        <w:t xml:space="preserve">Invoicing Requirements. Invoices shall:</w:t>
      </w:r>
    </w:p>
    <w:p>
      <w:pPr>
        <w:pStyle w:val="ListParagraph"/>
        <w:numPr>
          <w:ilvl w:val="0"/>
          <w:numId w:val="3"/>
        </w:numPr>
        <w:spacing w:after="80"/>
      </w:pPr>
      <w:r>
        <w:rPr>
          <w:sz w:val="22"/>
          <w:szCs w:val="22"/>
        </w:rPr>
        <w:t xml:space="preserve">Be submitted electronically via the Invoicing, Receipt, Acceptance, and Property Transfer (iRAPT) system or as otherwise directed;</w:t>
      </w:r>
    </w:p>
    <w:p>
      <w:pPr>
        <w:pStyle w:val="ListParagraph"/>
        <w:numPr>
          <w:ilvl w:val="0"/>
          <w:numId w:val="3"/>
        </w:numPr>
        <w:spacing w:after="80"/>
      </w:pPr>
      <w:r>
        <w:rPr>
          <w:sz w:val="22"/>
          <w:szCs w:val="22"/>
        </w:rPr>
        <w:t xml:space="preserve">Include contract number, CLIN/SLIN, period of performance, and pricing;</w:t>
      </w:r>
    </w:p>
    <w:p>
      <w:pPr>
        <w:pStyle w:val="ListParagraph"/>
        <w:numPr>
          <w:ilvl w:val="0"/>
          <w:numId w:val="3"/>
        </w:numPr>
        <w:spacing w:after="80"/>
      </w:pPr>
      <w:r>
        <w:rPr>
          <w:sz w:val="22"/>
          <w:szCs w:val="22"/>
        </w:rPr>
        <w:t xml:space="preserve">Comply with DFARS 252.232-7006 if applicable.</w:t>
      </w:r>
    </w:p>
    <w:p>
      <w:pPr>
        <w:pStyle w:val="ListParagraph"/>
        <w:numPr>
          <w:ilvl w:val="0"/>
          <w:numId w:val="8"/>
        </w:numPr>
        <w:spacing w:after="120"/>
      </w:pPr>
      <w:r>
        <w:rPr>
          <w:sz w:val="22"/>
          <w:szCs w:val="22"/>
        </w:rPr>
        <w:t xml:space="preserve">Payment Terms. Payment shall be made within thirty (30) days of receipt of a proper invoice, or as otherwise specified. Interest on late payments shall accrue in accordance with the Prompt Payment Act (31 U.S.C. 3901-3907).</w:t>
      </w:r>
    </w:p>
    <w:p>
      <w:pPr>
        <w:spacing w:before="360" w:after="120"/>
      </w:pPr>
      <w:r>
        <w:rPr>
          <w:b/>
          <w:bCs/>
          <w:sz w:val="24"/>
          <w:szCs w:val="24"/>
        </w:rPr>
        <w:t xml:space="preserve">SECTION 9. PERFORMANCE, DELIVERY, AND ACCEPTANCE</w:t>
      </w:r>
    </w:p>
    <w:p>
      <w:pPr>
        <w:pStyle w:val="ListParagraph"/>
        <w:numPr>
          <w:ilvl w:val="0"/>
          <w:numId w:val="9"/>
        </w:numPr>
        <w:spacing w:after="120"/>
      </w:pPr>
      <w:r>
        <w:rPr>
          <w:sz w:val="22"/>
          <w:szCs w:val="22"/>
        </w:rPr>
        <w:t xml:space="preserve">Place of Performance. Performance shall occur at:</w:t>
      </w:r>
    </w:p>
    <w:p>
      <w:pPr>
        <w:pStyle w:val="ListParagraph"/>
        <w:numPr>
          <w:ilvl w:val="0"/>
          <w:numId w:val="3"/>
        </w:numPr>
        <w:spacing w:after="80"/>
      </w:pPr>
      <w:r>
        <w:rPr>
          <w:sz w:val="22"/>
          <w:szCs w:val="22"/>
        </w:rPr>
        <w:t xml:space="preserve">Contractor facilities located at: [Address];</w:t>
      </w:r>
    </w:p>
    <w:p>
      <w:pPr>
        <w:pStyle w:val="ListParagraph"/>
        <w:numPr>
          <w:ilvl w:val="0"/>
          <w:numId w:val="3"/>
        </w:numPr>
        <w:spacing w:after="80"/>
      </w:pPr>
      <w:r>
        <w:rPr>
          <w:sz w:val="22"/>
          <w:szCs w:val="22"/>
        </w:rPr>
        <w:t xml:space="preserve">Government facilities as specified in Task Orders;</w:t>
      </w:r>
    </w:p>
    <w:p>
      <w:pPr>
        <w:pStyle w:val="ListParagraph"/>
        <w:numPr>
          <w:ilvl w:val="0"/>
          <w:numId w:val="3"/>
        </w:numPr>
        <w:spacing w:after="80"/>
      </w:pPr>
      <w:r>
        <w:rPr>
          <w:sz w:val="22"/>
          <w:szCs w:val="22"/>
        </w:rPr>
        <w:t xml:space="preserve">Cloud environments meeting FedRAMP requirements.</w:t>
      </w:r>
    </w:p>
    <w:p>
      <w:pPr>
        <w:pStyle w:val="ListParagraph"/>
        <w:numPr>
          <w:ilvl w:val="0"/>
          <w:numId w:val="9"/>
        </w:numPr>
        <w:spacing w:after="120"/>
      </w:pPr>
      <w:r>
        <w:rPr>
          <w:sz w:val="22"/>
          <w:szCs w:val="22"/>
        </w:rPr>
        <w:t xml:space="preserve">Delivery Requirements. Software and services shall be delivered:</w:t>
      </w:r>
    </w:p>
    <w:p>
      <w:pPr>
        <w:pStyle w:val="ListParagraph"/>
        <w:numPr>
          <w:ilvl w:val="0"/>
          <w:numId w:val="3"/>
        </w:numPr>
        <w:spacing w:after="80"/>
      </w:pPr>
      <w:r>
        <w:rPr>
          <w:sz w:val="22"/>
          <w:szCs w:val="22"/>
        </w:rPr>
        <w:t xml:space="preserve">In accordance with the schedule in the Statement of Work or Task Order;</w:t>
      </w:r>
    </w:p>
    <w:p>
      <w:pPr>
        <w:pStyle w:val="ListParagraph"/>
        <w:numPr>
          <w:ilvl w:val="0"/>
          <w:numId w:val="3"/>
        </w:numPr>
        <w:spacing w:after="80"/>
      </w:pPr>
      <w:r>
        <w:rPr>
          <w:sz w:val="22"/>
          <w:szCs w:val="22"/>
        </w:rPr>
        <w:t xml:space="preserve">Via secure electronic means approved by the Government;</w:t>
      </w:r>
    </w:p>
    <w:p>
      <w:pPr>
        <w:pStyle w:val="ListParagraph"/>
        <w:numPr>
          <w:ilvl w:val="0"/>
          <w:numId w:val="3"/>
        </w:numPr>
        <w:spacing w:after="80"/>
      </w:pPr>
      <w:r>
        <w:rPr>
          <w:sz w:val="22"/>
          <w:szCs w:val="22"/>
        </w:rPr>
        <w:t xml:space="preserve">With all Documentation and training materials.</w:t>
      </w:r>
    </w:p>
    <w:p>
      <w:pPr>
        <w:pStyle w:val="ListParagraph"/>
        <w:numPr>
          <w:ilvl w:val="0"/>
          <w:numId w:val="9"/>
        </w:numPr>
        <w:spacing w:after="120"/>
      </w:pPr>
      <w:r>
        <w:rPr>
          <w:sz w:val="22"/>
          <w:szCs w:val="22"/>
        </w:rPr>
        <w:t xml:space="preserve">Acceptance Criteria. Government acceptance shall be based on:</w:t>
      </w:r>
    </w:p>
    <w:p>
      <w:pPr>
        <w:pStyle w:val="ListParagraph"/>
        <w:numPr>
          <w:ilvl w:val="0"/>
          <w:numId w:val="3"/>
        </w:numPr>
        <w:spacing w:after="80"/>
      </w:pPr>
      <w:r>
        <w:rPr>
          <w:sz w:val="22"/>
          <w:szCs w:val="22"/>
        </w:rPr>
        <w:t xml:space="preserve">Compliance with specifications and Statement of Work requirements;</w:t>
      </w:r>
    </w:p>
    <w:p>
      <w:pPr>
        <w:pStyle w:val="ListParagraph"/>
        <w:numPr>
          <w:ilvl w:val="0"/>
          <w:numId w:val="3"/>
        </w:numPr>
        <w:spacing w:after="80"/>
      </w:pPr>
      <w:r>
        <w:rPr>
          <w:sz w:val="22"/>
          <w:szCs w:val="22"/>
        </w:rPr>
        <w:t xml:space="preserve">Successful completion of acceptance testing (if applicable);</w:t>
      </w:r>
    </w:p>
    <w:p>
      <w:pPr>
        <w:pStyle w:val="ListParagraph"/>
        <w:numPr>
          <w:ilvl w:val="0"/>
          <w:numId w:val="3"/>
        </w:numPr>
        <w:spacing w:after="80"/>
      </w:pPr>
      <w:r>
        <w:rPr>
          <w:sz w:val="22"/>
          <w:szCs w:val="22"/>
        </w:rPr>
        <w:t xml:space="preserve">Delivery of all required documentation.</w:t>
      </w:r>
    </w:p>
    <w:p>
      <w:pPr>
        <w:pStyle w:val="ListParagraph"/>
        <w:numPr>
          <w:ilvl w:val="0"/>
          <w:numId w:val="9"/>
        </w:numPr>
        <w:spacing w:after="120"/>
      </w:pPr>
      <w:r>
        <w:rPr>
          <w:sz w:val="22"/>
          <w:szCs w:val="22"/>
        </w:rPr>
        <w:t xml:space="preserve">Inspection Rights. The Government reserves the right to inspect and test all deliverables. Deficient deliverables shall be corrected at Contractor's expense.</w:t>
      </w:r>
    </w:p>
    <w:p>
      <w:r>
        <w:br w:type="page"/>
      </w:r>
    </w:p>
    <w:p>
      <w:pPr>
        <w:spacing w:before="360" w:after="120"/>
      </w:pPr>
      <w:r>
        <w:rPr>
          <w:b/>
          <w:bCs/>
          <w:sz w:val="24"/>
          <w:szCs w:val="24"/>
        </w:rPr>
        <w:t xml:space="preserve">SECTION 10. SUBCONTRACTING REQUIREMENTS</w:t>
      </w:r>
    </w:p>
    <w:p>
      <w:pPr>
        <w:pStyle w:val="ListParagraph"/>
        <w:numPr>
          <w:ilvl w:val="0"/>
          <w:numId w:val="10"/>
        </w:numPr>
        <w:spacing w:after="120"/>
      </w:pPr>
      <w:r>
        <w:rPr>
          <w:sz w:val="22"/>
          <w:szCs w:val="22"/>
        </w:rPr>
        <w:t xml:space="preserve">Consent to Subcontract. For contracts exceeding $750,000:</w:t>
      </w:r>
    </w:p>
    <w:p>
      <w:pPr>
        <w:pStyle w:val="ListParagraph"/>
        <w:numPr>
          <w:ilvl w:val="0"/>
          <w:numId w:val="3"/>
        </w:numPr>
        <w:spacing w:after="80"/>
      </w:pPr>
      <w:r>
        <w:rPr>
          <w:sz w:val="22"/>
          <w:szCs w:val="22"/>
        </w:rPr>
        <w:t xml:space="preserve">Contractor shall obtain Contracting Officer consent before awarding subcontracts;</w:t>
      </w:r>
    </w:p>
    <w:p>
      <w:pPr>
        <w:pStyle w:val="ListParagraph"/>
        <w:numPr>
          <w:ilvl w:val="0"/>
          <w:numId w:val="3"/>
        </w:numPr>
        <w:spacing w:after="80"/>
      </w:pPr>
      <w:r>
        <w:rPr>
          <w:sz w:val="22"/>
          <w:szCs w:val="22"/>
        </w:rPr>
        <w:t xml:space="preserve">Subcontractor qualifications and proposed pricing shall be provided.</w:t>
      </w:r>
    </w:p>
    <w:p>
      <w:pPr>
        <w:pStyle w:val="ListParagraph"/>
        <w:numPr>
          <w:ilvl w:val="0"/>
          <w:numId w:val="10"/>
        </w:numPr>
        <w:spacing w:after="120"/>
      </w:pPr>
      <w:r>
        <w:rPr>
          <w:sz w:val="22"/>
          <w:szCs w:val="22"/>
        </w:rPr>
        <w:t xml:space="preserve">Small Business Subcontracting. In accordance with FAR 52.219-9:</w:t>
      </w:r>
    </w:p>
    <w:p>
      <w:pPr>
        <w:pStyle w:val="ListParagraph"/>
        <w:numPr>
          <w:ilvl w:val="0"/>
          <w:numId w:val="3"/>
        </w:numPr>
        <w:spacing w:after="80"/>
      </w:pPr>
      <w:r>
        <w:rPr>
          <w:sz w:val="22"/>
          <w:szCs w:val="22"/>
        </w:rPr>
        <w:t xml:space="preserve">Contractor shall maintain a Small Business Subcontracting Plan;</w:t>
      </w:r>
    </w:p>
    <w:p>
      <w:pPr>
        <w:pStyle w:val="ListParagraph"/>
        <w:numPr>
          <w:ilvl w:val="0"/>
          <w:numId w:val="3"/>
        </w:numPr>
        <w:spacing w:after="80"/>
      </w:pPr>
      <w:r>
        <w:rPr>
          <w:sz w:val="22"/>
          <w:szCs w:val="22"/>
        </w:rPr>
        <w:t xml:space="preserve">Goals shall include small business, small disadvantaged, women-owned, HUBZone, veteran-owned, and service-disabled veteran-owned small businesses;</w:t>
      </w:r>
    </w:p>
    <w:p>
      <w:pPr>
        <w:pStyle w:val="ListParagraph"/>
        <w:numPr>
          <w:ilvl w:val="0"/>
          <w:numId w:val="3"/>
        </w:numPr>
        <w:spacing w:after="80"/>
      </w:pPr>
      <w:r>
        <w:rPr>
          <w:sz w:val="22"/>
          <w:szCs w:val="22"/>
        </w:rPr>
        <w:t xml:space="preserve">Reports shall be submitted via the Electronic Subcontracting Reporting System (eSRS).</w:t>
      </w:r>
    </w:p>
    <w:p>
      <w:pPr>
        <w:pStyle w:val="ListParagraph"/>
        <w:numPr>
          <w:ilvl w:val="0"/>
          <w:numId w:val="10"/>
        </w:numPr>
        <w:spacing w:after="120"/>
      </w:pPr>
      <w:r>
        <w:rPr>
          <w:sz w:val="22"/>
          <w:szCs w:val="22"/>
        </w:rPr>
        <w:t xml:space="preserve">Flow-Down Requirements. Contractor shall flow down to subcontractors:</w:t>
      </w:r>
    </w:p>
    <w:p>
      <w:pPr>
        <w:pStyle w:val="ListParagraph"/>
        <w:numPr>
          <w:ilvl w:val="0"/>
          <w:numId w:val="3"/>
        </w:numPr>
        <w:spacing w:after="80"/>
      </w:pPr>
      <w:r>
        <w:rPr>
          <w:sz w:val="22"/>
          <w:szCs w:val="22"/>
        </w:rPr>
        <w:t xml:space="preserve">All applicable FAR and DFARS clauses;</w:t>
      </w:r>
    </w:p>
    <w:p>
      <w:pPr>
        <w:pStyle w:val="ListParagraph"/>
        <w:numPr>
          <w:ilvl w:val="0"/>
          <w:numId w:val="3"/>
        </w:numPr>
        <w:spacing w:after="80"/>
      </w:pPr>
      <w:r>
        <w:rPr>
          <w:sz w:val="22"/>
          <w:szCs w:val="22"/>
        </w:rPr>
        <w:t xml:space="preserve">Cybersecurity requirements (DFARS 252.204-7012);</w:t>
      </w:r>
    </w:p>
    <w:p>
      <w:pPr>
        <w:pStyle w:val="ListParagraph"/>
        <w:numPr>
          <w:ilvl w:val="0"/>
          <w:numId w:val="3"/>
        </w:numPr>
        <w:spacing w:after="80"/>
      </w:pPr>
      <w:r>
        <w:rPr>
          <w:sz w:val="22"/>
          <w:szCs w:val="22"/>
        </w:rPr>
        <w:t xml:space="preserve">Export control requirements;</w:t>
      </w:r>
    </w:p>
    <w:p>
      <w:pPr>
        <w:pStyle w:val="ListParagraph"/>
        <w:numPr>
          <w:ilvl w:val="0"/>
          <w:numId w:val="3"/>
        </w:numPr>
        <w:spacing w:after="80"/>
      </w:pPr>
      <w:r>
        <w:rPr>
          <w:sz w:val="22"/>
          <w:szCs w:val="22"/>
        </w:rPr>
        <w:t xml:space="preserve">CUI handling requirements.</w:t>
      </w:r>
    </w:p>
    <w:p>
      <w:pPr>
        <w:spacing w:before="360" w:after="120"/>
      </w:pPr>
      <w:r>
        <w:rPr>
          <w:b/>
          <w:bCs/>
          <w:sz w:val="24"/>
          <w:szCs w:val="24"/>
        </w:rPr>
        <w:t xml:space="preserve">SECTION 11. AUDIT RIGHTS AND RECORDS RETENTION</w:t>
      </w:r>
    </w:p>
    <w:p>
      <w:pPr>
        <w:pStyle w:val="ListParagraph"/>
        <w:numPr>
          <w:ilvl w:val="0"/>
          <w:numId w:val="11"/>
        </w:numPr>
        <w:spacing w:after="120"/>
      </w:pPr>
      <w:r>
        <w:rPr>
          <w:sz w:val="22"/>
          <w:szCs w:val="22"/>
        </w:rPr>
        <w:t xml:space="preserve">Audit Rights. The Government, including the Comptroller General, Government Accountability Office (GAO), and Inspector General, shall have the right to examine and audit:</w:t>
      </w:r>
    </w:p>
    <w:p>
      <w:pPr>
        <w:pStyle w:val="ListParagraph"/>
        <w:numPr>
          <w:ilvl w:val="0"/>
          <w:numId w:val="3"/>
        </w:numPr>
        <w:spacing w:after="80"/>
      </w:pPr>
      <w:r>
        <w:rPr>
          <w:sz w:val="22"/>
          <w:szCs w:val="22"/>
        </w:rPr>
        <w:t xml:space="preserve">Contractor's books, records, documents, and other evidence;</w:t>
      </w:r>
    </w:p>
    <w:p>
      <w:pPr>
        <w:pStyle w:val="ListParagraph"/>
        <w:numPr>
          <w:ilvl w:val="0"/>
          <w:numId w:val="3"/>
        </w:numPr>
        <w:spacing w:after="80"/>
      </w:pPr>
      <w:r>
        <w:rPr>
          <w:sz w:val="22"/>
          <w:szCs w:val="22"/>
        </w:rPr>
        <w:t xml:space="preserve">Accounting procedures and practices;</w:t>
      </w:r>
    </w:p>
    <w:p>
      <w:pPr>
        <w:pStyle w:val="ListParagraph"/>
        <w:numPr>
          <w:ilvl w:val="0"/>
          <w:numId w:val="3"/>
        </w:numPr>
        <w:spacing w:after="80"/>
      </w:pPr>
      <w:r>
        <w:rPr>
          <w:sz w:val="22"/>
          <w:szCs w:val="22"/>
        </w:rPr>
        <w:t xml:space="preserve">Compliance with contract terms and applicable regulations.</w:t>
      </w:r>
    </w:p>
    <w:p>
      <w:pPr>
        <w:pStyle w:val="ListParagraph"/>
        <w:numPr>
          <w:ilvl w:val="0"/>
          <w:numId w:val="11"/>
        </w:numPr>
        <w:spacing w:after="120"/>
      </w:pPr>
      <w:r>
        <w:rPr>
          <w:sz w:val="22"/>
          <w:szCs w:val="22"/>
        </w:rPr>
        <w:t xml:space="preserve">Records Retention. Contractor shall retain all records relating to this contract for:</w:t>
      </w:r>
    </w:p>
    <w:p>
      <w:pPr>
        <w:pStyle w:val="ListParagraph"/>
        <w:numPr>
          <w:ilvl w:val="0"/>
          <w:numId w:val="3"/>
        </w:numPr>
        <w:spacing w:after="80"/>
      </w:pPr>
      <w:r>
        <w:rPr>
          <w:sz w:val="22"/>
          <w:szCs w:val="22"/>
        </w:rPr>
        <w:t xml:space="preserve">Three (3) years after final payment; or</w:t>
      </w:r>
    </w:p>
    <w:p>
      <w:pPr>
        <w:pStyle w:val="ListParagraph"/>
        <w:numPr>
          <w:ilvl w:val="0"/>
          <w:numId w:val="3"/>
        </w:numPr>
        <w:spacing w:after="80"/>
      </w:pPr>
      <w:r>
        <w:rPr>
          <w:sz w:val="22"/>
          <w:szCs w:val="22"/>
        </w:rPr>
        <w:t xml:space="preserve">Longer if required by specific FAR/DFARS clauses or ongoing litigation.</w:t>
      </w:r>
    </w:p>
    <w:p>
      <w:pPr>
        <w:pStyle w:val="ListParagraph"/>
        <w:numPr>
          <w:ilvl w:val="0"/>
          <w:numId w:val="11"/>
        </w:numPr>
        <w:spacing w:after="120"/>
      </w:pPr>
      <w:r>
        <w:rPr>
          <w:sz w:val="22"/>
          <w:szCs w:val="22"/>
        </w:rPr>
        <w:t xml:space="preserve">Access to Records. Contractor shall provide access to records at Contractor's facilities during normal business hours upon reasonable notice.</w:t>
      </w:r>
    </w:p>
    <w:p>
      <w:pPr>
        <w:spacing w:before="360" w:after="120"/>
      </w:pPr>
      <w:r>
        <w:rPr>
          <w:b/>
          <w:bCs/>
          <w:sz w:val="24"/>
          <w:szCs w:val="24"/>
        </w:rPr>
        <w:t xml:space="preserve">SECTION 12. TERMINATION</w:t>
      </w:r>
    </w:p>
    <w:p>
      <w:pPr>
        <w:pStyle w:val="ListParagraph"/>
        <w:numPr>
          <w:ilvl w:val="0"/>
          <w:numId w:val="12"/>
        </w:numPr>
        <w:spacing w:after="120"/>
      </w:pPr>
      <w:r>
        <w:rPr>
          <w:sz w:val="22"/>
          <w:szCs w:val="22"/>
        </w:rPr>
        <w:t xml:space="preserve">Termination for Convenience. The Government may terminate all or part of this contract for convenience in accordance with FAR 52.249-2 (Fixed-Price) or FAR 52.249-6 (Cost-Reimbursement), as applicable.</w:t>
      </w:r>
    </w:p>
    <w:p>
      <w:pPr>
        <w:pStyle w:val="ListParagraph"/>
        <w:numPr>
          <w:ilvl w:val="0"/>
          <w:numId w:val="12"/>
        </w:numPr>
        <w:spacing w:after="120"/>
      </w:pPr>
      <w:r>
        <w:rPr>
          <w:sz w:val="22"/>
          <w:szCs w:val="22"/>
        </w:rPr>
        <w:t xml:space="preserve">Termination for Default. The Government may terminate for default in accordance with FAR 52.249-8 if Contractor fails to:</w:t>
      </w:r>
    </w:p>
    <w:p>
      <w:pPr>
        <w:pStyle w:val="ListParagraph"/>
        <w:numPr>
          <w:ilvl w:val="0"/>
          <w:numId w:val="3"/>
        </w:numPr>
        <w:spacing w:after="80"/>
      </w:pPr>
      <w:r>
        <w:rPr>
          <w:sz w:val="22"/>
          <w:szCs w:val="22"/>
        </w:rPr>
        <w:t xml:space="preserve">Deliver supplies or perform services within the time specified;</w:t>
      </w:r>
    </w:p>
    <w:p>
      <w:pPr>
        <w:pStyle w:val="ListParagraph"/>
        <w:numPr>
          <w:ilvl w:val="0"/>
          <w:numId w:val="3"/>
        </w:numPr>
        <w:spacing w:after="80"/>
      </w:pPr>
      <w:r>
        <w:rPr>
          <w:sz w:val="22"/>
          <w:szCs w:val="22"/>
        </w:rPr>
        <w:t xml:space="preserve">Make progress endangering contract performance;</w:t>
      </w:r>
    </w:p>
    <w:p>
      <w:pPr>
        <w:pStyle w:val="ListParagraph"/>
        <w:numPr>
          <w:ilvl w:val="0"/>
          <w:numId w:val="3"/>
        </w:numPr>
        <w:spacing w:after="80"/>
      </w:pPr>
      <w:r>
        <w:rPr>
          <w:sz w:val="22"/>
          <w:szCs w:val="22"/>
        </w:rPr>
        <w:t xml:space="preserve">Perform any other contract provision.</w:t>
      </w:r>
    </w:p>
    <w:p>
      <w:pPr>
        <w:pStyle w:val="ListParagraph"/>
        <w:numPr>
          <w:ilvl w:val="0"/>
          <w:numId w:val="12"/>
        </w:numPr>
        <w:spacing w:after="120"/>
      </w:pPr>
      <w:r>
        <w:rPr>
          <w:sz w:val="22"/>
          <w:szCs w:val="22"/>
        </w:rPr>
        <w:t xml:space="preserve">Settlement. Upon termination, settlement shall be in accordance with applicable FAR Part 49 procedures.</w:t>
      </w:r>
    </w:p>
    <w:p>
      <w:pPr>
        <w:spacing w:before="360" w:after="120"/>
      </w:pPr>
      <w:r>
        <w:rPr>
          <w:b/>
          <w:bCs/>
          <w:sz w:val="24"/>
          <w:szCs w:val="24"/>
        </w:rPr>
        <w:t xml:space="preserve">SECTION 13. DISPUTES AND CONTRACT DISPUTES ACT</w:t>
      </w:r>
    </w:p>
    <w:p>
      <w:pPr>
        <w:pStyle w:val="ListParagraph"/>
        <w:numPr>
          <w:ilvl w:val="0"/>
          <w:numId w:val="13"/>
        </w:numPr>
        <w:spacing w:after="120"/>
      </w:pPr>
      <w:r>
        <w:rPr>
          <w:sz w:val="22"/>
          <w:szCs w:val="22"/>
        </w:rPr>
        <w:t xml:space="preserve">Contract Disputes Act. This contract is subject to the Contract Disputes Act of 1978, as amended (41 U.S.C. 7101-7109).</w:t>
      </w:r>
    </w:p>
    <w:p>
      <w:pPr>
        <w:pStyle w:val="ListParagraph"/>
        <w:numPr>
          <w:ilvl w:val="0"/>
          <w:numId w:val="13"/>
        </w:numPr>
        <w:spacing w:after="120"/>
      </w:pPr>
      <w:r>
        <w:rPr>
          <w:sz w:val="22"/>
          <w:szCs w:val="22"/>
        </w:rPr>
        <w:t xml:space="preserve">Claims. All claims by Contractor shall be submitted in writing to the Contracting Officer for decision. Claims exceeding $100,000 shall include certification per FAR 52.233-1.</w:t>
      </w:r>
    </w:p>
    <w:p>
      <w:pPr>
        <w:pStyle w:val="ListParagraph"/>
        <w:numPr>
          <w:ilvl w:val="0"/>
          <w:numId w:val="13"/>
        </w:numPr>
        <w:spacing w:after="120"/>
      </w:pPr>
      <w:r>
        <w:rPr>
          <w:sz w:val="22"/>
          <w:szCs w:val="22"/>
        </w:rPr>
        <w:t xml:space="preserve">Appeal Rights. Contractor may appeal the Contracting Officer's decision to:</w:t>
      </w:r>
    </w:p>
    <w:p>
      <w:pPr>
        <w:pStyle w:val="ListParagraph"/>
        <w:numPr>
          <w:ilvl w:val="0"/>
          <w:numId w:val="3"/>
        </w:numPr>
        <w:spacing w:after="80"/>
      </w:pPr>
      <w:r>
        <w:rPr>
          <w:sz w:val="22"/>
          <w:szCs w:val="22"/>
        </w:rPr>
        <w:t xml:space="preserve">The cognizant Board of Contract Appeals; or</w:t>
      </w:r>
    </w:p>
    <w:p>
      <w:pPr>
        <w:pStyle w:val="ListParagraph"/>
        <w:numPr>
          <w:ilvl w:val="0"/>
          <w:numId w:val="3"/>
        </w:numPr>
        <w:spacing w:after="80"/>
      </w:pPr>
      <w:r>
        <w:rPr>
          <w:sz w:val="22"/>
          <w:szCs w:val="22"/>
        </w:rPr>
        <w:t xml:space="preserve">The United States Court of Federal Claims.</w:t>
      </w:r>
    </w:p>
    <w:p>
      <w:pPr>
        <w:pStyle w:val="ListParagraph"/>
        <w:numPr>
          <w:ilvl w:val="0"/>
          <w:numId w:val="13"/>
        </w:numPr>
        <w:spacing w:after="120"/>
      </w:pPr>
      <w:r>
        <w:rPr>
          <w:sz w:val="22"/>
          <w:szCs w:val="22"/>
        </w:rPr>
        <w:t xml:space="preserve">Continued Performance. Contractor shall continue performance pending resolution of disputes unless otherwise directed by the Contracting Officer.</w:t>
      </w:r>
    </w:p>
    <w:p>
      <w:pPr>
        <w:spacing w:before="360" w:after="120"/>
      </w:pPr>
      <w:r>
        <w:rPr>
          <w:b/>
          <w:bCs/>
          <w:sz w:val="24"/>
          <w:szCs w:val="24"/>
        </w:rPr>
        <w:t xml:space="preserve">SECTION 14. ETHICS, INTEGRITY, AND COMPLIANCE</w:t>
      </w:r>
    </w:p>
    <w:p>
      <w:pPr>
        <w:pStyle w:val="ListParagraph"/>
        <w:numPr>
          <w:ilvl w:val="0"/>
          <w:numId w:val="14"/>
        </w:numPr>
        <w:spacing w:after="120"/>
      </w:pPr>
      <w:r>
        <w:rPr>
          <w:sz w:val="22"/>
          <w:szCs w:val="22"/>
        </w:rPr>
        <w:t xml:space="preserve">Code of Business Ethics. Contractor shall maintain a written code of business ethics and conduct, including:</w:t>
      </w:r>
    </w:p>
    <w:p>
      <w:pPr>
        <w:pStyle w:val="ListParagraph"/>
        <w:numPr>
          <w:ilvl w:val="0"/>
          <w:numId w:val="3"/>
        </w:numPr>
        <w:spacing w:after="80"/>
      </w:pPr>
      <w:r>
        <w:rPr>
          <w:sz w:val="22"/>
          <w:szCs w:val="22"/>
        </w:rPr>
        <w:t xml:space="preserve">A compliance program to detect and prevent violations;</w:t>
      </w:r>
    </w:p>
    <w:p>
      <w:pPr>
        <w:pStyle w:val="ListParagraph"/>
        <w:numPr>
          <w:ilvl w:val="0"/>
          <w:numId w:val="3"/>
        </w:numPr>
        <w:spacing w:after="80"/>
      </w:pPr>
      <w:r>
        <w:rPr>
          <w:sz w:val="22"/>
          <w:szCs w:val="22"/>
        </w:rPr>
        <w:t xml:space="preserve">Internal reporting mechanisms (hotline);</w:t>
      </w:r>
    </w:p>
    <w:p>
      <w:pPr>
        <w:pStyle w:val="ListParagraph"/>
        <w:numPr>
          <w:ilvl w:val="0"/>
          <w:numId w:val="3"/>
        </w:numPr>
        <w:spacing w:after="80"/>
      </w:pPr>
      <w:r>
        <w:rPr>
          <w:sz w:val="22"/>
          <w:szCs w:val="22"/>
        </w:rPr>
        <w:t xml:space="preserve">Training on Government contracting requirements.</w:t>
      </w:r>
    </w:p>
    <w:p>
      <w:pPr>
        <w:pStyle w:val="ListParagraph"/>
        <w:numPr>
          <w:ilvl w:val="0"/>
          <w:numId w:val="14"/>
        </w:numPr>
        <w:spacing w:after="120"/>
      </w:pPr>
      <w:r>
        <w:rPr>
          <w:sz w:val="22"/>
          <w:szCs w:val="22"/>
        </w:rPr>
        <w:t xml:space="preserve">Organizational Conflict of Interest. Contractor shall:</w:t>
      </w:r>
    </w:p>
    <w:p>
      <w:pPr>
        <w:pStyle w:val="ListParagraph"/>
        <w:numPr>
          <w:ilvl w:val="0"/>
          <w:numId w:val="3"/>
        </w:numPr>
        <w:spacing w:after="80"/>
      </w:pPr>
      <w:r>
        <w:rPr>
          <w:sz w:val="22"/>
          <w:szCs w:val="22"/>
        </w:rPr>
        <w:t xml:space="preserve">Disclose any potential organizational conflicts of interest;</w:t>
      </w:r>
    </w:p>
    <w:p>
      <w:pPr>
        <w:pStyle w:val="ListParagraph"/>
        <w:numPr>
          <w:ilvl w:val="0"/>
          <w:numId w:val="3"/>
        </w:numPr>
        <w:spacing w:after="80"/>
      </w:pPr>
      <w:r>
        <w:rPr>
          <w:sz w:val="22"/>
          <w:szCs w:val="22"/>
        </w:rPr>
        <w:t xml:space="preserve">Maintain systems to identify and mitigate conflicts;</w:t>
      </w:r>
    </w:p>
    <w:p>
      <w:pPr>
        <w:pStyle w:val="ListParagraph"/>
        <w:numPr>
          <w:ilvl w:val="0"/>
          <w:numId w:val="3"/>
        </w:numPr>
        <w:spacing w:after="80"/>
      </w:pPr>
      <w:r>
        <w:rPr>
          <w:sz w:val="22"/>
          <w:szCs w:val="22"/>
        </w:rPr>
        <w:t xml:space="preserve">Notify the Contracting Officer of any new potential conflicts.</w:t>
      </w:r>
    </w:p>
    <w:p>
      <w:pPr>
        <w:pStyle w:val="ListParagraph"/>
        <w:numPr>
          <w:ilvl w:val="0"/>
          <w:numId w:val="14"/>
        </w:numPr>
        <w:spacing w:after="120"/>
      </w:pPr>
      <w:r>
        <w:rPr>
          <w:sz w:val="22"/>
          <w:szCs w:val="22"/>
        </w:rPr>
        <w:t xml:space="preserve">Prohibited Conduct. Contractor shall not engage in:</w:t>
      </w:r>
    </w:p>
    <w:p>
      <w:pPr>
        <w:pStyle w:val="ListParagraph"/>
        <w:numPr>
          <w:ilvl w:val="0"/>
          <w:numId w:val="3"/>
        </w:numPr>
        <w:spacing w:after="80"/>
      </w:pPr>
      <w:r>
        <w:rPr>
          <w:sz w:val="22"/>
          <w:szCs w:val="22"/>
        </w:rPr>
        <w:t xml:space="preserve">Bribery, kickbacks, or gratuities;</w:t>
      </w:r>
    </w:p>
    <w:p>
      <w:pPr>
        <w:pStyle w:val="ListParagraph"/>
        <w:numPr>
          <w:ilvl w:val="0"/>
          <w:numId w:val="3"/>
        </w:numPr>
        <w:spacing w:after="80"/>
      </w:pPr>
      <w:r>
        <w:rPr>
          <w:sz w:val="22"/>
          <w:szCs w:val="22"/>
        </w:rPr>
        <w:t xml:space="preserve">Bid rigging or collusive pricing;</w:t>
      </w:r>
    </w:p>
    <w:p>
      <w:pPr>
        <w:pStyle w:val="ListParagraph"/>
        <w:numPr>
          <w:ilvl w:val="0"/>
          <w:numId w:val="3"/>
        </w:numPr>
        <w:spacing w:after="80"/>
      </w:pPr>
      <w:r>
        <w:rPr>
          <w:sz w:val="22"/>
          <w:szCs w:val="22"/>
        </w:rPr>
        <w:t xml:space="preserve">Procurement fraud or false claims;</w:t>
      </w:r>
    </w:p>
    <w:p>
      <w:pPr>
        <w:pStyle w:val="ListParagraph"/>
        <w:numPr>
          <w:ilvl w:val="0"/>
          <w:numId w:val="3"/>
        </w:numPr>
        <w:spacing w:after="80"/>
      </w:pPr>
      <w:r>
        <w:rPr>
          <w:sz w:val="22"/>
          <w:szCs w:val="22"/>
        </w:rPr>
        <w:t xml:space="preserve">Trafficking in persons.</w:t>
      </w:r>
    </w:p>
    <w:p>
      <w:r>
        <w:br w:type="page"/>
      </w:r>
    </w:p>
    <w:p>
      <w:pPr>
        <w:spacing w:before="360" w:after="120"/>
      </w:pPr>
      <w:r>
        <w:rPr>
          <w:b/>
          <w:bCs/>
          <w:sz w:val="24"/>
          <w:szCs w:val="24"/>
        </w:rPr>
        <w:t xml:space="preserve">SECTION 15. AGENCY-SPECIFIC REQUIREMENTS</w:t>
      </w:r>
    </w:p>
    <w:p>
      <w:pPr>
        <w:spacing w:after="120"/>
      </w:pPr>
      <w:r>
        <w:rPr>
          <w:sz w:val="22"/>
          <w:szCs w:val="22"/>
        </w:rPr>
        <w:t xml:space="preserve">The following agency-specific requirements apply as marked:</w:t>
      </w:r>
    </w:p>
    <w:p>
      <w:pPr>
        <w:spacing w:before="1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  ]</w:t>
            </w:r>
          </w:p>
        </w:tc>
        <w:tc>
          <w:tcPr>
            <w:tcW w:type="dxa" w:w="8560"/>
            <w:tcBorders>
              <w:top w:val="single" w:color="CCCCCC" w:sz="1"/>
              <w:left w:val="single" w:color="CCCCCC" w:sz="1"/>
              <w:bottom w:val="single" w:color="CCCCCC" w:sz="1"/>
              <w:right w:val="single" w:color="CCCCCC" w:sz="1"/>
            </w:tcBorders>
          </w:tcPr>
          <w:p>
            <w:r>
              <w:rPr>
                <w:b/>
                <w:bCs/>
                <w:sz w:val="20"/>
                <w:szCs w:val="20"/>
              </w:rPr>
              <w:t xml:space="preserve">Department of Defense (DoD) — DFARS clauses apply in full</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  ]</w:t>
            </w:r>
          </w:p>
        </w:tc>
        <w:tc>
          <w:tcPr>
            <w:tcW w:type="dxa" w:w="8560"/>
            <w:tcBorders>
              <w:top w:val="single" w:color="CCCCCC" w:sz="1"/>
              <w:left w:val="single" w:color="CCCCCC" w:sz="1"/>
              <w:bottom w:val="single" w:color="CCCCCC" w:sz="1"/>
              <w:right w:val="single" w:color="CCCCCC" w:sz="1"/>
            </w:tcBorders>
          </w:tcPr>
          <w:p>
            <w:r>
              <w:rPr>
                <w:b/>
                <w:bCs/>
                <w:sz w:val="20"/>
                <w:szCs w:val="20"/>
              </w:rPr>
              <w:t xml:space="preserve">Department of Homeland Security (DHS) — HSAR clauses apply</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  ]</w:t>
            </w:r>
          </w:p>
        </w:tc>
        <w:tc>
          <w:tcPr>
            <w:tcW w:type="dxa" w:w="8560"/>
            <w:tcBorders>
              <w:top w:val="single" w:color="CCCCCC" w:sz="1"/>
              <w:left w:val="single" w:color="CCCCCC" w:sz="1"/>
              <w:bottom w:val="single" w:color="CCCCCC" w:sz="1"/>
              <w:right w:val="single" w:color="CCCCCC" w:sz="1"/>
            </w:tcBorders>
          </w:tcPr>
          <w:p>
            <w:r>
              <w:rPr>
                <w:b/>
                <w:bCs/>
                <w:sz w:val="20"/>
                <w:szCs w:val="20"/>
              </w:rPr>
              <w:t xml:space="preserve">Intelligence Community — ICD 503 and IC-specific requirements apply</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  ]</w:t>
            </w:r>
          </w:p>
        </w:tc>
        <w:tc>
          <w:tcPr>
            <w:tcW w:type="dxa" w:w="8560"/>
            <w:tcBorders>
              <w:top w:val="single" w:color="CCCCCC" w:sz="1"/>
              <w:left w:val="single" w:color="CCCCCC" w:sz="1"/>
              <w:bottom w:val="single" w:color="CCCCCC" w:sz="1"/>
              <w:right w:val="single" w:color="CCCCCC" w:sz="1"/>
            </w:tcBorders>
          </w:tcPr>
          <w:p>
            <w:r>
              <w:rPr>
                <w:b/>
                <w:bCs/>
                <w:sz w:val="20"/>
                <w:szCs w:val="20"/>
              </w:rPr>
              <w:t xml:space="preserve">NASA — NFS clauses apply</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  ]</w:t>
            </w:r>
          </w:p>
        </w:tc>
        <w:tc>
          <w:tcPr>
            <w:tcW w:type="dxa" w:w="8560"/>
            <w:tcBorders>
              <w:top w:val="single" w:color="CCCCCC" w:sz="1"/>
              <w:left w:val="single" w:color="CCCCCC" w:sz="1"/>
              <w:bottom w:val="single" w:color="CCCCCC" w:sz="1"/>
              <w:right w:val="single" w:color="CCCCCC" w:sz="1"/>
            </w:tcBorders>
          </w:tcPr>
          <w:p>
            <w:r>
              <w:rPr>
                <w:b/>
                <w:bCs/>
                <w:sz w:val="20"/>
                <w:szCs w:val="20"/>
              </w:rPr>
              <w:t xml:space="preserve">Department of State — DOSAR clauses apply</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  ]</w:t>
            </w:r>
          </w:p>
        </w:tc>
        <w:tc>
          <w:tcPr>
            <w:tcW w:type="dxa" w:w="8560"/>
            <w:tcBorders>
              <w:top w:val="single" w:color="CCCCCC" w:sz="1"/>
              <w:left w:val="single" w:color="CCCCCC" w:sz="1"/>
              <w:bottom w:val="single" w:color="CCCCCC" w:sz="1"/>
              <w:right w:val="single" w:color="CCCCCC" w:sz="1"/>
            </w:tcBorders>
          </w:tcPr>
          <w:p>
            <w:r>
              <w:rPr>
                <w:b/>
                <w:bCs/>
                <w:sz w:val="20"/>
                <w:szCs w:val="20"/>
              </w:rPr>
              <w:t xml:space="preserve">NATO/Allied Nations — NATO security requirements apply</w:t>
            </w:r>
          </w:p>
        </w:tc>
      </w:tr>
      <w:tr>
        <w:tc>
          <w:tcPr>
            <w:tcW w:type="dxa" w:w="800"/>
            <w:tcBorders>
              <w:top w:val="single" w:color="CCCCCC" w:sz="1"/>
              <w:left w:val="single" w:color="CCCCCC" w:sz="1"/>
              <w:bottom w:val="single" w:color="CCCCCC" w:sz="1"/>
              <w:right w:val="single" w:color="CCCCCC" w:sz="1"/>
            </w:tcBorders>
          </w:tcPr>
          <w:p>
            <w:pPr>
              <w:jc w:val="center"/>
            </w:pPr>
            <w:r>
              <w:rPr>
                <w:sz w:val="20"/>
                <w:szCs w:val="20"/>
              </w:rPr>
              <w:t xml:space="preserve">[  ]</w:t>
            </w:r>
          </w:p>
        </w:tc>
        <w:tc>
          <w:tcPr>
            <w:tcW w:type="dxa" w:w="8560"/>
            <w:tcBorders>
              <w:top w:val="single" w:color="CCCCCC" w:sz="1"/>
              <w:left w:val="single" w:color="CCCCCC" w:sz="1"/>
              <w:bottom w:val="single" w:color="CCCCCC" w:sz="1"/>
              <w:right w:val="single" w:color="CCCCCC" w:sz="1"/>
            </w:tcBorders>
          </w:tcPr>
          <w:p>
            <w:r>
              <w:rPr>
                <w:sz w:val="20"/>
                <w:szCs w:val="20"/>
              </w:rPr>
              <w:t xml:space="preserve">Other: _________________________________________________</w:t>
            </w:r>
          </w:p>
        </w:tc>
      </w:tr>
    </w:tbl>
    <w:p>
      <w:pPr>
        <w:spacing w:before="360" w:after="120"/>
      </w:pPr>
      <w:r>
        <w:rPr>
          <w:b/>
          <w:bCs/>
          <w:sz w:val="24"/>
          <w:szCs w:val="24"/>
        </w:rPr>
        <w:t xml:space="preserve">SECTION 16. CONTRACT ADMINISTRATION</w:t>
      </w:r>
    </w:p>
    <w:p>
      <w:pPr>
        <w:pStyle w:val="ListParagraph"/>
        <w:numPr>
          <w:ilvl w:val="0"/>
          <w:numId w:val="15"/>
        </w:numPr>
        <w:spacing w:after="120"/>
      </w:pPr>
      <w:r>
        <w:rPr>
          <w:sz w:val="22"/>
          <w:szCs w:val="22"/>
        </w:rPr>
        <w:t xml:space="preserve">Contracting Officer. The Contracting Officer (CO) for this contract is:</w:t>
      </w:r>
    </w:p>
    <w:p>
      <w:pPr>
        <w:spacing w:after="120"/>
      </w:pPr>
      <w:r>
        <w:rPr>
          <w:sz w:val="22"/>
          <w:szCs w:val="22"/>
        </w:rPr>
        <w:t xml:space="preserve">Name: _________________________________</w:t>
      </w:r>
    </w:p>
    <w:p>
      <w:pPr>
        <w:spacing w:after="120"/>
      </w:pPr>
      <w:r>
        <w:rPr>
          <w:sz w:val="22"/>
          <w:szCs w:val="22"/>
        </w:rPr>
        <w:t xml:space="preserve">Title: _________________________________</w:t>
      </w:r>
    </w:p>
    <w:p>
      <w:pPr>
        <w:spacing w:after="120"/>
      </w:pPr>
      <w:r>
        <w:rPr>
          <w:sz w:val="22"/>
          <w:szCs w:val="22"/>
        </w:rPr>
        <w:t xml:space="preserve">Email: _________________________________</w:t>
      </w:r>
    </w:p>
    <w:p>
      <w:pPr>
        <w:spacing w:after="120"/>
      </w:pPr>
      <w:r>
        <w:rPr>
          <w:sz w:val="22"/>
          <w:szCs w:val="22"/>
        </w:rPr>
        <w:t xml:space="preserve">Phone: _________________________________</w:t>
      </w:r>
    </w:p>
    <w:p>
      <w:pPr>
        <w:pStyle w:val="ListParagraph"/>
        <w:numPr>
          <w:ilvl w:val="0"/>
          <w:numId w:val="15"/>
        </w:numPr>
        <w:spacing w:after="120"/>
      </w:pPr>
      <w:r>
        <w:rPr>
          <w:sz w:val="22"/>
          <w:szCs w:val="22"/>
        </w:rPr>
        <w:t xml:space="preserve">Contracting Officer's Representative (COR). The COR is:</w:t>
      </w:r>
    </w:p>
    <w:p>
      <w:pPr>
        <w:spacing w:after="120"/>
      </w:pPr>
      <w:r>
        <w:rPr>
          <w:sz w:val="22"/>
          <w:szCs w:val="22"/>
        </w:rPr>
        <w:t xml:space="preserve">Name: _________________________________</w:t>
      </w:r>
    </w:p>
    <w:p>
      <w:pPr>
        <w:spacing w:after="120"/>
      </w:pPr>
      <w:r>
        <w:rPr>
          <w:sz w:val="22"/>
          <w:szCs w:val="22"/>
        </w:rPr>
        <w:t xml:space="preserve">Email: _________________________________</w:t>
      </w:r>
    </w:p>
    <w:p>
      <w:pPr>
        <w:pStyle w:val="ListParagraph"/>
        <w:numPr>
          <w:ilvl w:val="0"/>
          <w:numId w:val="15"/>
        </w:numPr>
        <w:spacing w:after="120"/>
      </w:pPr>
      <w:r>
        <w:rPr>
          <w:sz w:val="22"/>
          <w:szCs w:val="22"/>
        </w:rPr>
        <w:t xml:space="preserve">Contractor Representative. The Contractor's authorized representative is:</w:t>
      </w:r>
    </w:p>
    <w:p>
      <w:pPr>
        <w:spacing w:after="120"/>
      </w:pPr>
      <w:r>
        <w:rPr>
          <w:sz w:val="22"/>
          <w:szCs w:val="22"/>
        </w:rPr>
        <w:t xml:space="preserve">Name: _________________________________</w:t>
      </w:r>
    </w:p>
    <w:p>
      <w:pPr>
        <w:spacing w:after="120"/>
      </w:pPr>
      <w:r>
        <w:rPr>
          <w:sz w:val="22"/>
          <w:szCs w:val="22"/>
        </w:rPr>
        <w:t xml:space="preserve">Title: _________________________________</w:t>
      </w:r>
    </w:p>
    <w:p>
      <w:pPr>
        <w:spacing w:after="120"/>
      </w:pPr>
      <w:r>
        <w:rPr>
          <w:sz w:val="22"/>
          <w:szCs w:val="22"/>
        </w:rPr>
        <w:t xml:space="preserve">Email: _________________________________</w:t>
      </w:r>
    </w:p>
    <w:p>
      <w:pPr>
        <w:spacing w:after="120"/>
      </w:pPr>
      <w:r>
        <w:rPr>
          <w:sz w:val="22"/>
          <w:szCs w:val="22"/>
        </w:rPr>
        <w:t xml:space="preserve">Phone: _________________________________</w:t>
      </w:r>
    </w:p>
    <w:p>
      <w:pPr>
        <w:pStyle w:val="ListParagraph"/>
        <w:numPr>
          <w:ilvl w:val="0"/>
          <w:numId w:val="15"/>
        </w:numPr>
        <w:spacing w:after="120"/>
      </w:pPr>
      <w:r>
        <w:rPr>
          <w:sz w:val="22"/>
          <w:szCs w:val="22"/>
        </w:rPr>
        <w:t xml:space="preserve">Authority. Only the Contracting Officer has authority to modify this contract. Changes directed by any other person shall not be binding unless ratified by the CO.</w:t>
      </w:r>
    </w:p>
    <w:p>
      <w:pPr>
        <w:spacing w:before="360"/>
      </w:pPr>
    </w:p>
    <w:p>
      <w:pPr>
        <w:spacing w:after="120"/>
      </w:pPr>
      <w:r>
        <w:rPr>
          <w:b/>
          <w:bCs/>
          <w:sz w:val="22"/>
          <w:szCs w:val="22"/>
        </w:rPr>
        <w:t xml:space="preserve">ACCEPTANCE</w:t>
      </w:r>
    </w:p>
    <w:p>
      <w:pPr>
        <w:spacing w:after="120"/>
      </w:pPr>
      <w:r>
        <w:rPr>
          <w:sz w:val="22"/>
          <w:szCs w:val="22"/>
        </w:rPr>
        <w:t xml:space="preserve">By signing below, the Parties agree to incorporate this Government Contract Annex into the Base Agreement identified above.</w:t>
      </w:r>
    </w:p>
    <w:p>
      <w:pPr>
        <w:spacing w:before="2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c>
          <w:tcPr>
            <w:tcW w:type="dxa" w:w="4500"/>
            <w:tcBorders>
              <w:top w:val="none" w:color="FFFFFF" w:sz="0"/>
              <w:left w:val="none" w:color="FFFFFF" w:sz="0"/>
              <w:bottom w:val="none" w:color="FFFFFF" w:sz="0"/>
              <w:right w:val="none" w:color="FFFFFF" w:sz="0"/>
            </w:tcBorders>
          </w:tcPr>
          <w:p>
            <w:pPr>
              <w:spacing w:after="60"/>
            </w:pPr>
            <w:r>
              <w:rPr>
                <w:b/>
                <w:bCs/>
                <w:sz w:val="22"/>
                <w:szCs w:val="22"/>
              </w:rPr>
              <w:t xml:space="preserve">CONTRACTOR (IVYAR LLC)</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60"/>
            </w:pPr>
            <w:r>
              <w:rPr>
                <w:b/>
                <w:bCs/>
                <w:sz w:val="22"/>
                <w:szCs w:val="22"/>
              </w:rPr>
              <w:t xml:space="preserve">GOVERNMENT</w:t>
            </w:r>
          </w:p>
        </w:tc>
      </w:tr>
      <w:tr>
        <w:tc>
          <w:tcPr>
            <w:tcW w:type="dxa" w:w="4500"/>
            <w:tcBorders>
              <w:top w:val="none" w:color="FFFFFF" w:sz="0"/>
              <w:left w:val="none" w:color="FFFFFF" w:sz="0"/>
              <w:bottom w:val="none" w:color="FFFFFF" w:sz="0"/>
              <w:right w:val="none" w:color="FFFFFF" w:sz="0"/>
            </w:tcBorders>
          </w:tcPr>
          <w:p>
            <w:pPr>
              <w:spacing w:before="30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30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Signature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Contracting Officer Signature</w:t>
            </w:r>
          </w:p>
        </w:tc>
      </w:tr>
      <w:tr>
        <w:tc>
          <w:tcPr>
            <w:tcW w:type="dxa" w:w="4500"/>
            <w:tcBorders>
              <w:top w:val="none" w:color="FFFFFF" w:sz="0"/>
              <w:left w:val="none" w:color="FFFFFF" w:sz="0"/>
              <w:bottom w:val="none" w:color="FFFFFF" w:sz="0"/>
              <w:right w:val="none" w:color="FFFFFF" w:sz="0"/>
            </w:tcBorders>
          </w:tcPr>
          <w:p>
            <w:pPr>
              <w:spacing w:before="16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16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Name and Title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Name and Title</w:t>
            </w:r>
          </w:p>
        </w:tc>
      </w:tr>
      <w:tr>
        <w:tc>
          <w:tcPr>
            <w:tcW w:type="dxa" w:w="4500"/>
            <w:tcBorders>
              <w:top w:val="none" w:color="FFFFFF" w:sz="0"/>
              <w:left w:val="none" w:color="FFFFFF" w:sz="0"/>
              <w:bottom w:val="none" w:color="FFFFFF" w:sz="0"/>
              <w:right w:val="none" w:color="FFFFFF" w:sz="0"/>
            </w:tcBorders>
          </w:tcPr>
          <w:p>
            <w:pPr>
              <w:spacing w:before="160"/>
            </w:pP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before="160"/>
            </w:pPr>
          </w:p>
        </w:tc>
      </w:tr>
      <w:tr>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single" w:color="000000" w:sz="1"/>
              <w:right w:val="none" w:color="FFFFFF" w:sz="0"/>
            </w:tcBorders>
          </w:tcPr>
          <w:p>
            <w:pPr>
              <w:spacing w:after="120"/>
            </w:pPr>
            <w:r>
              <w:rPr>
                <w:sz w:val="22"/>
                <w:szCs w:val="22"/>
              </w:rPr>
              <w:t xml:space="preserve"/>
            </w:r>
          </w:p>
        </w:tc>
      </w:tr>
      <w:tr>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Date</w:t>
            </w:r>
          </w:p>
        </w:tc>
        <w:tc>
          <w:tcPr>
            <w:tcW w:type="dxa" w:w="500"/>
            <w:tcBorders>
              <w:top w:val="none" w:color="FFFFFF" w:sz="0"/>
              <w:left w:val="none" w:color="FFFFFF" w:sz="0"/>
              <w:bottom w:val="none" w:color="FFFFFF" w:sz="0"/>
              <w:right w:val="none" w:color="FFFFFF" w:sz="0"/>
            </w:tcBorders>
          </w:tcPr>
          <w:p>
            <w:pPr>
              <w:spacing w:after="120"/>
            </w:pPr>
            <w:r>
              <w:rPr>
                <w:sz w:val="22"/>
                <w:szCs w:val="22"/>
              </w:rPr>
              <w:t xml:space="preserve"/>
            </w:r>
          </w:p>
        </w:tc>
        <w:tc>
          <w:tcPr>
            <w:tcW w:type="dxa" w:w="4500"/>
            <w:tcBorders>
              <w:top w:val="none" w:color="FFFFFF" w:sz="0"/>
              <w:left w:val="none" w:color="FFFFFF" w:sz="0"/>
              <w:bottom w:val="none" w:color="FFFFFF" w:sz="0"/>
              <w:right w:val="none" w:color="FFFFFF" w:sz="0"/>
            </w:tcBorders>
          </w:tcPr>
          <w:p>
            <w:pPr>
              <w:spacing w:after="120"/>
            </w:pPr>
            <w:r>
              <w:rPr>
                <w:sz w:val="22"/>
                <w:szCs w:val="22"/>
              </w:rPr>
              <w:t xml:space="preserve">Date</w:t>
            </w:r>
          </w:p>
        </w:tc>
      </w:tr>
    </w:tbl>
    <w:p>
      <w:r>
        <w:br w:type="page"/>
      </w:r>
    </w:p>
    <w:p>
      <w:pPr>
        <w:spacing w:after="240"/>
        <w:jc w:val="center"/>
      </w:pPr>
      <w:r>
        <w:rPr>
          <w:b/>
          <w:bCs/>
          <w:sz w:val="28"/>
          <w:szCs w:val="28"/>
        </w:rPr>
        <w:t xml:space="preserve">SCHEDULE A</w:t>
      </w:r>
    </w:p>
    <w:p>
      <w:pPr>
        <w:spacing w:after="360"/>
        <w:jc w:val="center"/>
      </w:pPr>
      <w:r>
        <w:rPr>
          <w:b/>
          <w:bCs/>
          <w:sz w:val="24"/>
          <w:szCs w:val="24"/>
        </w:rPr>
        <w:t xml:space="preserve">SECURITY AND COMPLIANCE REQUIREMENTS</w:t>
      </w:r>
    </w:p>
    <w:p>
      <w:pPr>
        <w:spacing w:after="120"/>
      </w:pPr>
      <w:r>
        <w:rPr>
          <w:b/>
          <w:bCs/>
          <w:sz w:val="22"/>
          <w:szCs w:val="22"/>
        </w:rPr>
        <w:t xml:space="preserve">1. SECURITY CLEARANCE REQUIREMENTS</w:t>
      </w:r>
    </w:p>
    <w:p>
      <w:pPr>
        <w:spacing w:after="120"/>
      </w:pPr>
      <w:r>
        <w:rPr>
          <w:sz w:val="22"/>
          <w:szCs w:val="22"/>
        </w:rPr>
        <w:t xml:space="preserve">Facility Clearance Level Required: [  ] None  [  ] Confidential  [  ] Secret  [  ] Top Secret</w:t>
      </w:r>
    </w:p>
    <w:p>
      <w:pPr>
        <w:spacing w:after="120"/>
      </w:pPr>
      <w:r>
        <w:rPr>
          <w:sz w:val="22"/>
          <w:szCs w:val="22"/>
        </w:rPr>
        <w:t xml:space="preserve">Personnel Clearance Level Required: [  ] None  [  ] Confidential  [  ] Secret  [  ] Top Secret/SCI</w:t>
      </w:r>
    </w:p>
    <w:p>
      <w:pPr>
        <w:spacing w:after="160"/>
      </w:pPr>
    </w:p>
    <w:p>
      <w:pPr>
        <w:spacing w:after="120"/>
      </w:pPr>
      <w:r>
        <w:rPr>
          <w:b/>
          <w:bCs/>
          <w:sz w:val="22"/>
          <w:szCs w:val="22"/>
        </w:rPr>
        <w:t xml:space="preserve">2. CYBERSECURITY REQUIREMENTS</w:t>
      </w:r>
    </w:p>
    <w:p>
      <w:pPr>
        <w:spacing w:after="120"/>
      </w:pPr>
      <w:r>
        <w:rPr>
          <w:sz w:val="22"/>
          <w:szCs w:val="22"/>
        </w:rPr>
        <w:t xml:space="preserve">CMMC Level Required: [  ] Level 1  [  ] Level 2  [  ] Level 3</w:t>
      </w:r>
    </w:p>
    <w:p>
      <w:pPr>
        <w:spacing w:after="120"/>
      </w:pPr>
      <w:r>
        <w:rPr>
          <w:sz w:val="22"/>
          <w:szCs w:val="22"/>
        </w:rPr>
        <w:t xml:space="preserve">FedRAMP Authorization Level: [  ] Low  [  ] Moderate  [  ] High  [  ] N/A</w:t>
      </w:r>
    </w:p>
    <w:p>
      <w:pPr>
        <w:spacing w:after="120"/>
      </w:pPr>
      <w:r>
        <w:rPr>
          <w:sz w:val="22"/>
          <w:szCs w:val="22"/>
        </w:rPr>
        <w:t xml:space="preserve">NIST SP 800-171 Assessment Score: _____________ (if known)</w:t>
      </w:r>
    </w:p>
    <w:p>
      <w:pPr>
        <w:spacing w:after="160"/>
      </w:pPr>
    </w:p>
    <w:p>
      <w:pPr>
        <w:spacing w:after="120"/>
      </w:pPr>
      <w:r>
        <w:rPr>
          <w:b/>
          <w:bCs/>
          <w:sz w:val="22"/>
          <w:szCs w:val="22"/>
        </w:rPr>
        <w:t xml:space="preserve">3. DATA HANDLING REQUIREMENTS</w:t>
      </w:r>
    </w:p>
    <w:p>
      <w:pPr>
        <w:spacing w:after="120"/>
      </w:pPr>
      <w:r>
        <w:rPr>
          <w:sz w:val="22"/>
          <w:szCs w:val="22"/>
        </w:rPr>
        <w:t xml:space="preserve">CUI Categories: _________________________________</w:t>
      </w:r>
    </w:p>
    <w:p>
      <w:pPr>
        <w:spacing w:after="120"/>
      </w:pPr>
      <w:r>
        <w:rPr>
          <w:sz w:val="22"/>
          <w:szCs w:val="22"/>
        </w:rPr>
        <w:t xml:space="preserve">Classified Information: [  ] Yes  [  ] No</w:t>
      </w:r>
    </w:p>
    <w:p>
      <w:pPr>
        <w:spacing w:after="120"/>
      </w:pPr>
      <w:r>
        <w:rPr>
          <w:sz w:val="22"/>
          <w:szCs w:val="22"/>
        </w:rPr>
        <w:t xml:space="preserve">Export Controlled: [  ] ITAR  [  ] EAR  [  ] Neither</w:t>
      </w:r>
    </w:p>
    <w:p>
      <w:pPr>
        <w:spacing w:after="120"/>
      </w:pPr>
      <w:r>
        <w:rPr>
          <w:sz w:val="22"/>
          <w:szCs w:val="22"/>
        </w:rPr>
        <w:t xml:space="preserve">ECCN (if EAR): _________________________________</w:t>
      </w:r>
    </w:p>
    <w:p>
      <w:pPr>
        <w:spacing w:after="160"/>
      </w:pPr>
    </w:p>
    <w:p>
      <w:pPr>
        <w:spacing w:after="120"/>
      </w:pPr>
      <w:r>
        <w:rPr>
          <w:b/>
          <w:bCs/>
          <w:sz w:val="22"/>
          <w:szCs w:val="22"/>
        </w:rPr>
        <w:t xml:space="preserve">4. COMPLIANCE CERTIFICATIONS</w:t>
      </w:r>
    </w:p>
    <w:p>
      <w:pPr>
        <w:spacing w:after="120"/>
      </w:pPr>
      <w:r>
        <w:rPr>
          <w:sz w:val="22"/>
          <w:szCs w:val="22"/>
        </w:rPr>
        <w:t xml:space="preserve">[  ] ISO 27001 Certified</w:t>
      </w:r>
    </w:p>
    <w:p>
      <w:pPr>
        <w:spacing w:after="120"/>
      </w:pPr>
      <w:r>
        <w:rPr>
          <w:sz w:val="22"/>
          <w:szCs w:val="22"/>
        </w:rPr>
        <w:t xml:space="preserve">[  ] SOC 2 Type II</w:t>
      </w:r>
    </w:p>
    <w:p>
      <w:pPr>
        <w:spacing w:after="120"/>
      </w:pPr>
      <w:r>
        <w:rPr>
          <w:sz w:val="22"/>
          <w:szCs w:val="22"/>
        </w:rPr>
        <w:t xml:space="preserve">[  ] FISMA Compliant</w:t>
      </w:r>
    </w:p>
    <w:p>
      <w:pPr>
        <w:spacing w:after="120"/>
      </w:pPr>
      <w:r>
        <w:rPr>
          <w:sz w:val="22"/>
          <w:szCs w:val="22"/>
        </w:rPr>
        <w:t xml:space="preserve">[  ] HIPAA Compliant (if applicable)</w:t>
      </w:r>
    </w:p>
    <w:p>
      <w:pPr>
        <w:spacing w:after="120"/>
      </w:pPr>
      <w:r>
        <w:rPr>
          <w:sz w:val="22"/>
          <w:szCs w:val="22"/>
        </w:rPr>
        <w:t xml:space="preserve">[  ] Other: _________________________________</w:t>
      </w:r>
    </w:p>
    <w:p>
      <w:pPr>
        <w:spacing w:after="160"/>
      </w:pPr>
    </w:p>
    <w:p>
      <w:pPr>
        <w:spacing w:after="120"/>
      </w:pPr>
      <w:r>
        <w:rPr>
          <w:b/>
          <w:bCs/>
          <w:sz w:val="22"/>
          <w:szCs w:val="22"/>
        </w:rPr>
        <w:t xml:space="preserve">5. SPECIAL SECURITY REQUIREMENTS</w:t>
      </w:r>
    </w:p>
    <w:p>
      <w:pPr>
        <w:spacing w:after="120"/>
      </w:pPr>
      <w:r>
        <w:rPr>
          <w:sz w:val="22"/>
          <w:szCs w:val="22"/>
        </w:rPr>
        <w:t xml:space="preserve">_____________________________________________________________</w:t>
      </w:r>
    </w:p>
    <w:p>
      <w:pPr>
        <w:spacing w:after="120"/>
      </w:pPr>
      <w:r>
        <w:rPr>
          <w:sz w:val="22"/>
          <w:szCs w:val="22"/>
        </w:rPr>
        <w:t xml:space="preserve">_____________________________________________________________</w:t>
      </w:r>
    </w:p>
    <w:p>
      <w:pPr>
        <w:spacing w:after="120"/>
      </w:pPr>
      <w:r>
        <w:rPr>
          <w:sz w:val="22"/>
          <w:szCs w:val="22"/>
        </w:rPr>
        <w:t xml:space="preserve">_____________________________________________________________</w:t>
      </w:r>
    </w:p>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2"/>
              <w:bottom w:val="single" w:color="8B0000" w:sz="2"/>
              <w:right w:val="single" w:color="8B0000" w:sz="2"/>
            </w:tcBorders>
            <w:shd w:fill="FFF5F5" w:val="clear"/>
          </w:tcPr>
          <w:p>
            <w:pPr>
              <w:spacing w:before="80" w:after="80"/>
              <w:jc w:val="center"/>
            </w:pPr>
            <w:r>
              <w:rPr>
                <w:b/>
                <w:bCs/>
                <w:color w:val="8B0000"/>
                <w:sz w:val="18"/>
                <w:szCs w:val="18"/>
              </w:rPr>
              <w:t xml:space="preserve">CUI // SP-PROCURE // SP-CTR</w:t>
            </w:r>
          </w:p>
        </w:tc>
      </w:tr>
    </w:tbl>
    <w:p>
      <w:pPr>
        <w:spacing w:before="240"/>
      </w:pPr>
    </w:p>
    <w:p>
      <w:pPr>
        <w:jc w:val="center"/>
      </w:pPr>
      <w:r>
        <w:rPr>
          <w:i/>
          <w:iCs/>
          <w:color w:val="999999"/>
          <w:sz w:val="18"/>
          <w:szCs w:val="18"/>
        </w:rPr>
        <w:t xml:space="preserve">[END OF GOVERNMENT CONTRACT ANNEX]</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CUI // SP-PROCURE // SP-CTR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6"/>
        <w:szCs w:val="16"/>
      </w:rPr>
      <w:t xml:space="preserve">IVYAR Government Contract Annex — CONTROLLED UNCLASSIFIED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1"/>
      <w:lvlJc w:val="left"/>
      <w:pPr>
        <w:ind w:left="720" w:hanging="720"/>
      </w:pPr>
    </w:lvl>
  </w:abstractNum>
  <w:abstractNum w:abstractNumId="3" w15:restartNumberingAfterBreak="0">
    <w:multiLevelType w:val="hybridMultilevel"/>
    <w:lvl w:ilvl="0" w15:tentative="1">
      <w:start w:val="1"/>
      <w:numFmt w:val="decimal"/>
      <w:lvlText w:val="2.%1"/>
      <w:lvlJc w:val="left"/>
      <w:pPr>
        <w:ind w:left="720" w:hanging="720"/>
      </w:pPr>
    </w:lvl>
  </w:abstractNum>
  <w:abstractNum w:abstractNumId="4" w15:restartNumberingAfterBreak="0">
    <w:multiLevelType w:val="hybridMultilevel"/>
    <w:lvl w:ilvl="0" w15:tentative="1">
      <w:start w:val="1"/>
      <w:numFmt w:val="decimal"/>
      <w:lvlText w:val="3.%1"/>
      <w:lvlJc w:val="left"/>
      <w:pPr>
        <w:ind w:left="720" w:hanging="720"/>
      </w:pPr>
    </w:lvl>
  </w:abstractNum>
  <w:abstractNum w:abstractNumId="5" w15:restartNumberingAfterBreak="0">
    <w:multiLevelType w:val="hybridMultilevel"/>
    <w:lvl w:ilvl="0" w15:tentative="1">
      <w:start w:val="1"/>
      <w:numFmt w:val="decimal"/>
      <w:lvlText w:val="4.%1"/>
      <w:lvlJc w:val="left"/>
      <w:pPr>
        <w:ind w:left="720" w:hanging="720"/>
      </w:pPr>
    </w:lvl>
  </w:abstractNum>
  <w:abstractNum w:abstractNumId="6" w15:restartNumberingAfterBreak="0">
    <w:multiLevelType w:val="hybridMultilevel"/>
    <w:lvl w:ilvl="0" w15:tentative="1">
      <w:start w:val="1"/>
      <w:numFmt w:val="decimal"/>
      <w:lvlText w:val="5.%1"/>
      <w:lvlJc w:val="left"/>
      <w:pPr>
        <w:ind w:left="720" w:hanging="720"/>
      </w:pPr>
    </w:lvl>
  </w:abstractNum>
  <w:abstractNum w:abstractNumId="7" w15:restartNumberingAfterBreak="0">
    <w:multiLevelType w:val="hybridMultilevel"/>
    <w:lvl w:ilvl="0" w15:tentative="1">
      <w:start w:val="1"/>
      <w:numFmt w:val="decimal"/>
      <w:lvlText w:val="6.%1"/>
      <w:lvlJc w:val="left"/>
      <w:pPr>
        <w:ind w:left="720" w:hanging="720"/>
      </w:pPr>
    </w:lvl>
  </w:abstractNum>
  <w:abstractNum w:abstractNumId="8" w15:restartNumberingAfterBreak="0">
    <w:multiLevelType w:val="hybridMultilevel"/>
    <w:lvl w:ilvl="0" w15:tentative="1">
      <w:start w:val="1"/>
      <w:numFmt w:val="decimal"/>
      <w:lvlText w:val="7.%1"/>
      <w:lvlJc w:val="left"/>
      <w:pPr>
        <w:ind w:left="720" w:hanging="720"/>
      </w:pPr>
    </w:lvl>
  </w:abstractNum>
  <w:abstractNum w:abstractNumId="9" w15:restartNumberingAfterBreak="0">
    <w:multiLevelType w:val="hybridMultilevel"/>
    <w:lvl w:ilvl="0" w15:tentative="1">
      <w:start w:val="1"/>
      <w:numFmt w:val="decimal"/>
      <w:lvlText w:val="8.%1"/>
      <w:lvlJc w:val="left"/>
      <w:pPr>
        <w:ind w:left="720" w:hanging="720"/>
      </w:pPr>
    </w:lvl>
  </w:abstractNum>
  <w:abstractNum w:abstractNumId="10" w15:restartNumberingAfterBreak="0">
    <w:multiLevelType w:val="hybridMultilevel"/>
    <w:lvl w:ilvl="0" w15:tentative="1">
      <w:start w:val="1"/>
      <w:numFmt w:val="decimal"/>
      <w:lvlText w:val="9.%1"/>
      <w:lvlJc w:val="left"/>
      <w:pPr>
        <w:ind w:left="720" w:hanging="720"/>
      </w:pPr>
    </w:lvl>
  </w:abstractNum>
  <w:abstractNum w:abstractNumId="11" w15:restartNumberingAfterBreak="0">
    <w:multiLevelType w:val="hybridMultilevel"/>
    <w:lvl w:ilvl="0" w15:tentative="1">
      <w:start w:val="1"/>
      <w:numFmt w:val="decimal"/>
      <w:lvlText w:val="10.%1"/>
      <w:lvlJc w:val="left"/>
      <w:pPr>
        <w:ind w:left="720" w:hanging="720"/>
      </w:pPr>
    </w:lvl>
  </w:abstractNum>
  <w:abstractNum w:abstractNumId="12" w15:restartNumberingAfterBreak="0">
    <w:multiLevelType w:val="hybridMultilevel"/>
    <w:lvl w:ilvl="0" w15:tentative="1">
      <w:start w:val="1"/>
      <w:numFmt w:val="decimal"/>
      <w:lvlText w:val="11.%1"/>
      <w:lvlJc w:val="left"/>
      <w:pPr>
        <w:ind w:left="720" w:hanging="720"/>
      </w:pPr>
    </w:lvl>
  </w:abstractNum>
  <w:abstractNum w:abstractNumId="13" w15:restartNumberingAfterBreak="0">
    <w:multiLevelType w:val="hybridMultilevel"/>
    <w:lvl w:ilvl="0" w15:tentative="1">
      <w:start w:val="1"/>
      <w:numFmt w:val="decimal"/>
      <w:lvlText w:val="12.%1"/>
      <w:lvlJc w:val="left"/>
      <w:pPr>
        <w:ind w:left="720" w:hanging="720"/>
      </w:pPr>
    </w:lvl>
  </w:abstractNum>
  <w:abstractNum w:abstractNumId="14" w15:restartNumberingAfterBreak="0">
    <w:multiLevelType w:val="hybridMultilevel"/>
    <w:lvl w:ilvl="0" w15:tentative="1">
      <w:start w:val="1"/>
      <w:numFmt w:val="decimal"/>
      <w:lvlText w:val="13.%1"/>
      <w:lvlJc w:val="left"/>
      <w:pPr>
        <w:ind w:left="720" w:hanging="720"/>
      </w:pPr>
    </w:lvl>
  </w:abstractNum>
  <w:abstractNum w:abstractNumId="15" w15:restartNumberingAfterBreak="0">
    <w:multiLevelType w:val="hybridMultilevel"/>
    <w:lvl w:ilvl="0" w15:tentative="1">
      <w:start w:val="1"/>
      <w:numFmt w:val="decimal"/>
      <w:lvlText w:val="14.%1"/>
      <w:lvlJc w:val="left"/>
      <w:pPr>
        <w:ind w:left="720" w:hanging="720"/>
      </w:pPr>
    </w:lvl>
  </w:abstractNum>
  <w:abstractNum w:abstractNumId="16" w15:restartNumberingAfterBreak="0">
    <w:multiLevelType w:val="hybridMultilevel"/>
    <w:lvl w:ilvl="0" w15:tentative="1">
      <w:start w:val="1"/>
      <w:numFmt w:val="decimal"/>
      <w:lvlText w:val="15.%1"/>
      <w:lvlJc w:val="left"/>
      <w:pPr>
        <w:ind w:left="720" w:hanging="720"/>
      </w:pPr>
    </w:lvl>
  </w:abstractNum>
  <w:abstractNum w:abstractNumId="17" w15:restartNumberingAfterBreak="0">
    <w:multiLevelType w:val="hybridMultilevel"/>
    <w:lvl w:ilvl="0" w15:tentative="1">
      <w:start w:val="1"/>
      <w:numFmt w:val="decimal"/>
      <w:lvlText w:val="16.%1"/>
      <w:lvlJc w:val="left"/>
      <w:pPr>
        <w:ind w:left="720" w:hanging="720"/>
      </w:pPr>
    </w:lvl>
  </w:abstractNum>
  <w:abstractNum w:abstractNumId="18" w15:restartNumberingAfterBreak="0">
    <w:multiLevelType w:val="hybridMultilevel"/>
    <w:lvl w:ilvl="0" w15:tentative="1">
      <w:start w:val="1"/>
      <w:numFmt w:val="decimal"/>
      <w:lvlText w:val="17.%1"/>
      <w:lvlJc w:val="left"/>
      <w:pPr>
        <w:ind w:left="720" w:hanging="720"/>
      </w:pPr>
    </w:lvl>
  </w:abstractNum>
  <w:abstractNum w:abstractNumId="19" w15:restartNumberingAfterBreak="0">
    <w:multiLevelType w:val="hybridMultilevel"/>
    <w:lvl w:ilvl="0" w15:tentative="1">
      <w:start w:val="1"/>
      <w:numFmt w:val="decimal"/>
      <w:lvlText w:val="18.%1"/>
      <w:lvlJc w:val="left"/>
      <w:pPr>
        <w:ind w:left="720" w:hanging="720"/>
      </w:pPr>
    </w:lvl>
  </w:abstractNum>
  <w:abstractNum w:abstractNumId="20" w15:restartNumberingAfterBreak="0">
    <w:multiLevelType w:val="hybridMultilevel"/>
    <w:lvl w:ilvl="0" w15:tentative="1">
      <w:start w:val="1"/>
      <w:numFmt w:val="decimal"/>
      <w:lvlText w:val="19.%1"/>
      <w:lvlJc w:val="left"/>
      <w:pPr>
        <w:ind w:left="720" w:hanging="720"/>
      </w:pPr>
    </w:lvl>
  </w:abstractNum>
  <w:abstractNum w:abstractNumId="21" w15:restartNumberingAfterBreak="0">
    <w:multiLevelType w:val="hybridMultilevel"/>
    <w:lvl w:ilvl="0" w15:tentative="1">
      <w:start w:val="1"/>
      <w:numFmt w:val="decimal"/>
      <w:lvlText w:val="20.%1"/>
      <w:lvlJc w:val="left"/>
      <w:pPr>
        <w:ind w:left="720" w:hanging="720"/>
      </w:pPr>
    </w:lvl>
  </w:abstractNum>
  <w:abstractNum w:abstractNumId="22" w15:restartNumberingAfterBreak="0">
    <w:multiLevelType w:val="hybridMultilevel"/>
    <w:lvl w:ilvl="0" w15:tentative="1">
      <w:start w:val="1"/>
      <w:numFmt w:val="lowerLetter"/>
      <w:lvlText w:val="(%1)"/>
      <w:lvlJc w:val="left"/>
      <w:pPr>
        <w:ind w:left="108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2025-12-29T23:59:20.145Z</dcterms:created>
  <dcterms:modified xsi:type="dcterms:W3CDTF">2025-12-29T23:59:20.145Z</dcterms:modified>
</cp:coreProperties>
</file>

<file path=docProps/custom.xml><?xml version="1.0" encoding="utf-8"?>
<Properties xmlns="http://schemas.openxmlformats.org/officeDocument/2006/custom-properties" xmlns:vt="http://schemas.openxmlformats.org/officeDocument/2006/docPropsVTypes"/>
</file>