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IVYAR</w:t>
      </w:r>
    </w:p>
    <w:p>
      <w:pPr>
        <w:spacing w:after="400"/>
        <w:jc w:val="center"/>
      </w:pPr>
      <w:r>
        <w:rPr>
          <w:color w:val="4A7C9B"/>
          <w:sz w:val="28"/>
          <w:szCs w:val="28"/>
        </w:rPr>
        <w:t xml:space="preserve">Institutional Governance, Security &amp; Defense Platform</w:t>
      </w:r>
    </w:p>
    <w:p>
      <w:pPr>
        <w:spacing w:after="200"/>
        <w:jc w:val="center"/>
      </w:pPr>
      <w:r>
        <w:rPr>
          <w:b/>
          <w:bCs/>
          <w:sz w:val="24"/>
          <w:szCs w:val="24"/>
        </w:rPr>
        <w:t xml:space="preserve">Full Business Plan</w:t>
      </w:r>
    </w:p>
    <w:p>
      <w:pPr>
        <w:spacing w:after="600"/>
        <w:jc w:val="center"/>
      </w:pPr>
      <w:r>
        <w:rPr>
          <w:color w:val="666666"/>
          <w:sz w:val="20"/>
          <w:szCs w:val="20"/>
        </w:rPr>
        <w:t xml:space="preserve">Version 2.0 | December 2024</w:t>
      </w:r>
    </w:p>
    <w:p>
      <w:pPr>
        <w:spacing w:before="1000"/>
        <w:jc w:val="center"/>
      </w:pPr>
      <w:r>
        <w:rPr>
          <w:b/>
          <w:bCs/>
          <w:color w:val="1B365D"/>
          <w:sz w:val="20"/>
          <w:szCs w:val="20"/>
        </w:rPr>
        <w:t xml:space="preserve">NATO/DoD Standards Compliant</w:t>
      </w:r>
    </w:p>
    <w:p>
      <w:pPr>
        <w:jc w:val="center"/>
      </w:pPr>
      <w:r>
        <w:rPr>
          <w:color w:val="1B365D"/>
          <w:sz w:val="20"/>
          <w:szCs w:val="20"/>
        </w:rPr>
        <w:t xml:space="preserve">Zero-Trust Architecture | Ethical AI Core</w:t>
      </w:r>
    </w:p>
    <w:p>
      <w:r>
        <w:br w:type="page"/>
      </w:r>
    </w:p>
    <w:p>
      <w:pPr>
        <w:pStyle w:val="Heading1"/>
      </w:pPr>
      <w:r>
        <w:t xml:space="preserve">1. Executive Summary</w:t>
      </w:r>
    </w:p>
    <w:p>
      <w:pPr>
        <w:spacing w:after="200"/>
      </w:pPr>
      <w:r>
        <w:t xml:space="preserve">IVYAR is an institutional-grade governance, security, and defense platform designed for governments, defense ministries, international partners, and OEM manufacturers. The platform delivers transparency, auditability, secure procurement, compliance management, training, simulation, and ethical AI governance.</w:t>
      </w:r>
    </w:p>
    <w:p>
      <w:pPr>
        <w:pStyle w:val="Heading2"/>
      </w:pPr>
      <w:r>
        <w:t xml:space="preserve">Core Value Proposition</w:t>
      </w:r>
    </w:p>
    <w:p>
      <w:pPr>
        <w:pStyle w:val="ListParagraph"/>
        <w:numPr>
          <w:ilvl w:val="0"/>
          <w:numId w:val="2"/>
        </w:numPr>
      </w:pPr>
      <w:r>
        <w:t xml:space="preserve">Single unified platform replacing 7-12 fragmented legacy systems</w:t>
      </w:r>
    </w:p>
    <w:p>
      <w:pPr>
        <w:pStyle w:val="ListParagraph"/>
        <w:numPr>
          <w:ilvl w:val="0"/>
          <w:numId w:val="2"/>
        </w:numPr>
      </w:pPr>
      <w:r>
        <w:t xml:space="preserve">NATO/DoD standards alignment out-of-the-box</w:t>
      </w:r>
    </w:p>
    <w:p>
      <w:pPr>
        <w:pStyle w:val="ListParagraph"/>
        <w:numPr>
          <w:ilvl w:val="0"/>
          <w:numId w:val="2"/>
        </w:numPr>
      </w:pPr>
      <w:r>
        <w:t xml:space="preserve">Complete audit trail with immutable logging</w:t>
      </w:r>
    </w:p>
    <w:p>
      <w:pPr>
        <w:pStyle w:val="ListParagraph"/>
        <w:numPr>
          <w:ilvl w:val="0"/>
          <w:numId w:val="2"/>
        </w:numPr>
      </w:pPr>
      <w:r>
        <w:t xml:space="preserve">Ethical AI governance layer with human oversight</w:t>
      </w:r>
    </w:p>
    <w:p>
      <w:pPr>
        <w:pStyle w:val="ListParagraph"/>
        <w:numPr>
          <w:ilvl w:val="0"/>
          <w:numId w:val="2"/>
        </w:numPr>
      </w:pPr>
      <w:r>
        <w:t xml:space="preserve">Integrated training academy and crisis simulation</w:t>
      </w:r>
    </w:p>
    <w:p>
      <w:pPr>
        <w:pStyle w:val="Heading2"/>
      </w:pPr>
      <w:r>
        <w:t xml:space="preserve">Key Metrics Target (Year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Metric</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Target</w:t>
            </w:r>
          </w:p>
        </w:tc>
      </w:tr>
      <w:tr>
        <w:tc>
          <w:tcPr>
            <w:tcBorders>
              <w:top w:val="single" w:color="CCCCCC" w:sz="1"/>
              <w:left w:val="single" w:color="CCCCCC" w:sz="1"/>
              <w:bottom w:val="single" w:color="CCCCCC" w:sz="1"/>
              <w:right w:val="single" w:color="CCCCCC" w:sz="1"/>
            </w:tcBorders>
          </w:tcPr>
          <w:p>
            <w:r>
              <w:t xml:space="preserve">Annual Recurring Revenue (ARR)</w:t>
            </w:r>
          </w:p>
        </w:tc>
        <w:tc>
          <w:tcPr>
            <w:tcBorders>
              <w:top w:val="single" w:color="CCCCCC" w:sz="1"/>
              <w:left w:val="single" w:color="CCCCCC" w:sz="1"/>
              <w:bottom w:val="single" w:color="CCCCCC" w:sz="1"/>
              <w:right w:val="single" w:color="CCCCCC" w:sz="1"/>
            </w:tcBorders>
          </w:tcPr>
          <w:p>
            <w:r>
              <w:t xml:space="preserve">$2.5M - $5M</w:t>
            </w:r>
          </w:p>
        </w:tc>
      </w:tr>
      <w:tr>
        <w:tc>
          <w:tcPr>
            <w:tcBorders>
              <w:top w:val="single" w:color="CCCCCC" w:sz="1"/>
              <w:left w:val="single" w:color="CCCCCC" w:sz="1"/>
              <w:bottom w:val="single" w:color="CCCCCC" w:sz="1"/>
              <w:right w:val="single" w:color="CCCCCC" w:sz="1"/>
            </w:tcBorders>
            <w:shd w:fill="F5F7FA" w:val="clear"/>
          </w:tcPr>
          <w:p>
            <w:r>
              <w:t xml:space="preserve">Institutional Clients</w:t>
            </w:r>
          </w:p>
        </w:tc>
        <w:tc>
          <w:tcPr>
            <w:tcBorders>
              <w:top w:val="single" w:color="CCCCCC" w:sz="1"/>
              <w:left w:val="single" w:color="CCCCCC" w:sz="1"/>
              <w:bottom w:val="single" w:color="CCCCCC" w:sz="1"/>
              <w:right w:val="single" w:color="CCCCCC" w:sz="1"/>
            </w:tcBorders>
            <w:shd w:fill="F5F7FA" w:val="clear"/>
          </w:tcPr>
          <w:p>
            <w:r>
              <w:t xml:space="preserve">8-15 deployments</w:t>
            </w:r>
          </w:p>
        </w:tc>
      </w:tr>
      <w:tr>
        <w:tc>
          <w:tcPr>
            <w:tcBorders>
              <w:top w:val="single" w:color="CCCCCC" w:sz="1"/>
              <w:left w:val="single" w:color="CCCCCC" w:sz="1"/>
              <w:bottom w:val="single" w:color="CCCCCC" w:sz="1"/>
              <w:right w:val="single" w:color="CCCCCC" w:sz="1"/>
            </w:tcBorders>
          </w:tcPr>
          <w:p>
            <w:r>
              <w:t xml:space="preserve">Gross Margin</w:t>
            </w:r>
          </w:p>
        </w:tc>
        <w:tc>
          <w:tcPr>
            <w:tcBorders>
              <w:top w:val="single" w:color="CCCCCC" w:sz="1"/>
              <w:left w:val="single" w:color="CCCCCC" w:sz="1"/>
              <w:bottom w:val="single" w:color="CCCCCC" w:sz="1"/>
              <w:right w:val="single" w:color="CCCCCC" w:sz="1"/>
            </w:tcBorders>
          </w:tcPr>
          <w:p>
            <w:r>
              <w:t xml:space="preserve">70-80%</w:t>
            </w:r>
          </w:p>
        </w:tc>
      </w:tr>
      <w:tr>
        <w:tc>
          <w:tcPr>
            <w:tcBorders>
              <w:top w:val="single" w:color="CCCCCC" w:sz="1"/>
              <w:left w:val="single" w:color="CCCCCC" w:sz="1"/>
              <w:bottom w:val="single" w:color="CCCCCC" w:sz="1"/>
              <w:right w:val="single" w:color="CCCCCC" w:sz="1"/>
            </w:tcBorders>
            <w:shd w:fill="F5F7FA" w:val="clear"/>
          </w:tcPr>
          <w:p>
            <w:r>
              <w:t xml:space="preserve">User Retention Rate</w:t>
            </w:r>
          </w:p>
        </w:tc>
        <w:tc>
          <w:tcPr>
            <w:tcBorders>
              <w:top w:val="single" w:color="CCCCCC" w:sz="1"/>
              <w:left w:val="single" w:color="CCCCCC" w:sz="1"/>
              <w:bottom w:val="single" w:color="CCCCCC" w:sz="1"/>
              <w:right w:val="single" w:color="CCCCCC" w:sz="1"/>
            </w:tcBorders>
            <w:shd w:fill="F5F7FA" w:val="clear"/>
          </w:tcPr>
          <w:p>
            <w:r>
              <w:t xml:space="preserve">&gt;95%</w:t>
            </w:r>
          </w:p>
        </w:tc>
      </w:tr>
    </w:tbl>
    <w:p>
      <w:r>
        <w:br w:type="page"/>
      </w:r>
    </w:p>
    <w:p>
      <w:pPr>
        <w:pStyle w:val="Heading1"/>
      </w:pPr>
      <w:r>
        <w:t xml:space="preserve">2. Problem Statement</w:t>
      </w:r>
    </w:p>
    <w:p>
      <w:pPr>
        <w:spacing w:after="200"/>
      </w:pPr>
      <w:r>
        <w:t xml:space="preserve">Governments and defense institutions worldwide face systemic challenges that result in inefficiency, security vulnerabilities, corruption risks, and erosion of public trust.</w:t>
      </w:r>
    </w:p>
    <w:p>
      <w:pPr>
        <w:pStyle w:val="Heading2"/>
      </w:pPr>
      <w:r>
        <w:t xml:space="preserve">Critical Pain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Problem</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Impact</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Cost</w:t>
            </w:r>
          </w:p>
        </w:tc>
      </w:tr>
      <w:tr>
        <w:tc>
          <w:tcPr>
            <w:tcBorders>
              <w:top w:val="single" w:color="CCCCCC" w:sz="1"/>
              <w:left w:val="single" w:color="CCCCCC" w:sz="1"/>
              <w:bottom w:val="single" w:color="CCCCCC" w:sz="1"/>
              <w:right w:val="single" w:color="CCCCCC" w:sz="1"/>
            </w:tcBorders>
          </w:tcPr>
          <w:p>
            <w:r>
              <w:t xml:space="preserve">Opaque Procurement</w:t>
            </w:r>
          </w:p>
        </w:tc>
        <w:tc>
          <w:tcPr>
            <w:tcBorders>
              <w:top w:val="single" w:color="CCCCCC" w:sz="1"/>
              <w:left w:val="single" w:color="CCCCCC" w:sz="1"/>
              <w:bottom w:val="single" w:color="CCCCCC" w:sz="1"/>
              <w:right w:val="single" w:color="CCCCCC" w:sz="1"/>
            </w:tcBorders>
          </w:tcPr>
          <w:p>
            <w:r>
              <w:t xml:space="preserve">Corruption, inflated costs</w:t>
            </w:r>
          </w:p>
        </w:tc>
        <w:tc>
          <w:tcPr>
            <w:tcBorders>
              <w:top w:val="single" w:color="CCCCCC" w:sz="1"/>
              <w:left w:val="single" w:color="CCCCCC" w:sz="1"/>
              <w:bottom w:val="single" w:color="CCCCCC" w:sz="1"/>
              <w:right w:val="single" w:color="CCCCCC" w:sz="1"/>
            </w:tcBorders>
          </w:tcPr>
          <w:p>
            <w:r>
              <w:t xml:space="preserve">15-30% budget loss</w:t>
            </w:r>
          </w:p>
        </w:tc>
      </w:tr>
      <w:tr>
        <w:tc>
          <w:tcPr>
            <w:tcBorders>
              <w:top w:val="single" w:color="CCCCCC" w:sz="1"/>
              <w:left w:val="single" w:color="CCCCCC" w:sz="1"/>
              <w:bottom w:val="single" w:color="CCCCCC" w:sz="1"/>
              <w:right w:val="single" w:color="CCCCCC" w:sz="1"/>
            </w:tcBorders>
            <w:shd w:fill="F5F7FA" w:val="clear"/>
          </w:tcPr>
          <w:p>
            <w:r>
              <w:t xml:space="preserve">Fragmented Systems</w:t>
            </w:r>
          </w:p>
        </w:tc>
        <w:tc>
          <w:tcPr>
            <w:tcBorders>
              <w:top w:val="single" w:color="CCCCCC" w:sz="1"/>
              <w:left w:val="single" w:color="CCCCCC" w:sz="1"/>
              <w:bottom w:val="single" w:color="CCCCCC" w:sz="1"/>
              <w:right w:val="single" w:color="CCCCCC" w:sz="1"/>
            </w:tcBorders>
            <w:shd w:fill="F5F7FA" w:val="clear"/>
          </w:tcPr>
          <w:p>
            <w:r>
              <w:t xml:space="preserve">Data silos, delays</w:t>
            </w:r>
          </w:p>
        </w:tc>
        <w:tc>
          <w:tcPr>
            <w:tcBorders>
              <w:top w:val="single" w:color="CCCCCC" w:sz="1"/>
              <w:left w:val="single" w:color="CCCCCC" w:sz="1"/>
              <w:bottom w:val="single" w:color="CCCCCC" w:sz="1"/>
              <w:right w:val="single" w:color="CCCCCC" w:sz="1"/>
            </w:tcBorders>
            <w:shd w:fill="F5F7FA" w:val="clear"/>
          </w:tcPr>
          <w:p>
            <w:r>
              <w:t xml:space="preserve">40% efficiency loss</w:t>
            </w:r>
          </w:p>
        </w:tc>
      </w:tr>
      <w:tr>
        <w:tc>
          <w:tcPr>
            <w:tcBorders>
              <w:top w:val="single" w:color="CCCCCC" w:sz="1"/>
              <w:left w:val="single" w:color="CCCCCC" w:sz="1"/>
              <w:bottom w:val="single" w:color="CCCCCC" w:sz="1"/>
              <w:right w:val="single" w:color="CCCCCC" w:sz="1"/>
            </w:tcBorders>
          </w:tcPr>
          <w:p>
            <w:r>
              <w:t xml:space="preserve">Weak Audit Trails</w:t>
            </w:r>
          </w:p>
        </w:tc>
        <w:tc>
          <w:tcPr>
            <w:tcBorders>
              <w:top w:val="single" w:color="CCCCCC" w:sz="1"/>
              <w:left w:val="single" w:color="CCCCCC" w:sz="1"/>
              <w:bottom w:val="single" w:color="CCCCCC" w:sz="1"/>
              <w:right w:val="single" w:color="CCCCCC" w:sz="1"/>
            </w:tcBorders>
          </w:tcPr>
          <w:p>
            <w:r>
              <w:t xml:space="preserve">Accountability gaps</w:t>
            </w:r>
          </w:p>
        </w:tc>
        <w:tc>
          <w:tcPr>
            <w:tcBorders>
              <w:top w:val="single" w:color="CCCCCC" w:sz="1"/>
              <w:left w:val="single" w:color="CCCCCC" w:sz="1"/>
              <w:bottom w:val="single" w:color="CCCCCC" w:sz="1"/>
              <w:right w:val="single" w:color="CCCCCC" w:sz="1"/>
            </w:tcBorders>
          </w:tcPr>
          <w:p>
            <w:r>
              <w:t xml:space="preserve">Trust erosion</w:t>
            </w:r>
          </w:p>
        </w:tc>
      </w:tr>
      <w:tr>
        <w:tc>
          <w:tcPr>
            <w:tcBorders>
              <w:top w:val="single" w:color="CCCCCC" w:sz="1"/>
              <w:left w:val="single" w:color="CCCCCC" w:sz="1"/>
              <w:bottom w:val="single" w:color="CCCCCC" w:sz="1"/>
              <w:right w:val="single" w:color="CCCCCC" w:sz="1"/>
            </w:tcBorders>
            <w:shd w:fill="F5F7FA" w:val="clear"/>
          </w:tcPr>
          <w:p>
            <w:r>
              <w:t xml:space="preserve">No Training Platform</w:t>
            </w:r>
          </w:p>
        </w:tc>
        <w:tc>
          <w:tcPr>
            <w:tcBorders>
              <w:top w:val="single" w:color="CCCCCC" w:sz="1"/>
              <w:left w:val="single" w:color="CCCCCC" w:sz="1"/>
              <w:bottom w:val="single" w:color="CCCCCC" w:sz="1"/>
              <w:right w:val="single" w:color="CCCCCC" w:sz="1"/>
            </w:tcBorders>
            <w:shd w:fill="F5F7FA" w:val="clear"/>
          </w:tcPr>
          <w:p>
            <w:r>
              <w:t xml:space="preserve">Unprepared personnel</w:t>
            </w:r>
          </w:p>
        </w:tc>
        <w:tc>
          <w:tcPr>
            <w:tcBorders>
              <w:top w:val="single" w:color="CCCCCC" w:sz="1"/>
              <w:left w:val="single" w:color="CCCCCC" w:sz="1"/>
              <w:bottom w:val="single" w:color="CCCCCC" w:sz="1"/>
              <w:right w:val="single" w:color="CCCCCC" w:sz="1"/>
            </w:tcBorders>
            <w:shd w:fill="F5F7FA" w:val="clear"/>
          </w:tcPr>
          <w:p>
            <w:r>
              <w:t xml:space="preserve">Critical failures</w:t>
            </w:r>
          </w:p>
        </w:tc>
      </w:tr>
      <w:tr>
        <w:tc>
          <w:tcPr>
            <w:tcBorders>
              <w:top w:val="single" w:color="CCCCCC" w:sz="1"/>
              <w:left w:val="single" w:color="CCCCCC" w:sz="1"/>
              <w:bottom w:val="single" w:color="CCCCCC" w:sz="1"/>
              <w:right w:val="single" w:color="CCCCCC" w:sz="1"/>
            </w:tcBorders>
          </w:tcPr>
          <w:p>
            <w:r>
              <w:t xml:space="preserve">Security Vulnerabilities</w:t>
            </w:r>
          </w:p>
        </w:tc>
        <w:tc>
          <w:tcPr>
            <w:tcBorders>
              <w:top w:val="single" w:color="CCCCCC" w:sz="1"/>
              <w:left w:val="single" w:color="CCCCCC" w:sz="1"/>
              <w:bottom w:val="single" w:color="CCCCCC" w:sz="1"/>
              <w:right w:val="single" w:color="CCCCCC" w:sz="1"/>
            </w:tcBorders>
          </w:tcPr>
          <w:p>
            <w:r>
              <w:t xml:space="preserve">Data breaches, espionage</w:t>
            </w:r>
          </w:p>
        </w:tc>
        <w:tc>
          <w:tcPr>
            <w:tcBorders>
              <w:top w:val="single" w:color="CCCCCC" w:sz="1"/>
              <w:left w:val="single" w:color="CCCCCC" w:sz="1"/>
              <w:bottom w:val="single" w:color="CCCCCC" w:sz="1"/>
              <w:right w:val="single" w:color="CCCCCC" w:sz="1"/>
            </w:tcBorders>
          </w:tcPr>
          <w:p>
            <w:r>
              <w:t xml:space="preserve">National security risk</w:t>
            </w:r>
          </w:p>
        </w:tc>
      </w:tr>
      <w:tr>
        <w:tc>
          <w:tcPr>
            <w:tcBorders>
              <w:top w:val="single" w:color="CCCCCC" w:sz="1"/>
              <w:left w:val="single" w:color="CCCCCC" w:sz="1"/>
              <w:bottom w:val="single" w:color="CCCCCC" w:sz="1"/>
              <w:right w:val="single" w:color="CCCCCC" w:sz="1"/>
            </w:tcBorders>
            <w:shd w:fill="F5F7FA" w:val="clear"/>
          </w:tcPr>
          <w:p>
            <w:r>
              <w:t xml:space="preserve">No Ethical AI Layer</w:t>
            </w:r>
          </w:p>
        </w:tc>
        <w:tc>
          <w:tcPr>
            <w:tcBorders>
              <w:top w:val="single" w:color="CCCCCC" w:sz="1"/>
              <w:left w:val="single" w:color="CCCCCC" w:sz="1"/>
              <w:bottom w:val="single" w:color="CCCCCC" w:sz="1"/>
              <w:right w:val="single" w:color="CCCCCC" w:sz="1"/>
            </w:tcBorders>
            <w:shd w:fill="F5F7FA" w:val="clear"/>
          </w:tcPr>
          <w:p>
            <w:r>
              <w:t xml:space="preserve">Bias, uncontrolled automation</w:t>
            </w:r>
          </w:p>
        </w:tc>
        <w:tc>
          <w:tcPr>
            <w:tcBorders>
              <w:top w:val="single" w:color="CCCCCC" w:sz="1"/>
              <w:left w:val="single" w:color="CCCCCC" w:sz="1"/>
              <w:bottom w:val="single" w:color="CCCCCC" w:sz="1"/>
              <w:right w:val="single" w:color="CCCCCC" w:sz="1"/>
            </w:tcBorders>
            <w:shd w:fill="F5F7FA" w:val="clear"/>
          </w:tcPr>
          <w:p>
            <w:r>
              <w:t xml:space="preserve">Reputational damage</w:t>
            </w:r>
          </w:p>
        </w:tc>
      </w:tr>
    </w:tbl>
    <w:p>
      <w:pPr>
        <w:pStyle w:val="Heading1"/>
      </w:pPr>
      <w:r>
        <w:t xml:space="preserve">3. Solution: IVYAR Platform</w:t>
      </w:r>
    </w:p>
    <w:p>
      <w:pPr>
        <w:spacing w:after="200"/>
      </w:pPr>
      <w:r>
        <w:t xml:space="preserve">IVYAR delivers a unified institutional platform that integrates all critical governance, security, and operational capabilities into a single, secure, auditable ecosystem.</w:t>
      </w:r>
    </w:p>
    <w:p>
      <w:pPr>
        <w:pStyle w:val="Heading2"/>
      </w:pPr>
      <w:r>
        <w:t xml:space="preserve">Platform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Module</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Capabilities</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Standards</w:t>
            </w:r>
          </w:p>
        </w:tc>
      </w:tr>
      <w:tr>
        <w:tc>
          <w:tcPr>
            <w:tcBorders>
              <w:top w:val="single" w:color="CCCCCC" w:sz="1"/>
              <w:left w:val="single" w:color="CCCCCC" w:sz="1"/>
              <w:bottom w:val="single" w:color="CCCCCC" w:sz="1"/>
              <w:right w:val="single" w:color="CCCCCC" w:sz="1"/>
            </w:tcBorders>
          </w:tcPr>
          <w:p>
            <w:r>
              <w:rPr>
                <w:b/>
                <w:bCs/>
              </w:rPr>
              <w:t xml:space="preserve">Governance Portal</w:t>
            </w:r>
          </w:p>
        </w:tc>
        <w:tc>
          <w:tcPr>
            <w:tcBorders>
              <w:top w:val="single" w:color="CCCCCC" w:sz="1"/>
              <w:left w:val="single" w:color="CCCCCC" w:sz="1"/>
              <w:bottom w:val="single" w:color="CCCCCC" w:sz="1"/>
              <w:right w:val="single" w:color="CCCCCC" w:sz="1"/>
            </w:tcBorders>
          </w:tcPr>
          <w:p>
            <w:r>
              <w:t xml:space="preserve">Role-based access, workflows, approvals, dashboards</w:t>
            </w:r>
          </w:p>
        </w:tc>
        <w:tc>
          <w:tcPr>
            <w:tcBorders>
              <w:top w:val="single" w:color="CCCCCC" w:sz="1"/>
              <w:left w:val="single" w:color="CCCCCC" w:sz="1"/>
              <w:bottom w:val="single" w:color="CCCCCC" w:sz="1"/>
              <w:right w:val="single" w:color="CCCCCC" w:sz="1"/>
            </w:tcBorders>
          </w:tcPr>
          <w:p>
            <w:r>
              <w:t xml:space="preserve">ISO 27001, NIST CSF</w:t>
            </w:r>
          </w:p>
        </w:tc>
      </w:tr>
      <w:tr>
        <w:tc>
          <w:tcPr>
            <w:tcBorders>
              <w:top w:val="single" w:color="CCCCCC" w:sz="1"/>
              <w:left w:val="single" w:color="CCCCCC" w:sz="1"/>
              <w:bottom w:val="single" w:color="CCCCCC" w:sz="1"/>
              <w:right w:val="single" w:color="CCCCCC" w:sz="1"/>
            </w:tcBorders>
            <w:shd w:fill="F5F7FA" w:val="clear"/>
          </w:tcPr>
          <w:p>
            <w:r>
              <w:rPr>
                <w:b/>
                <w:bCs/>
              </w:rPr>
              <w:t xml:space="preserve">Security Framework</w:t>
            </w:r>
          </w:p>
        </w:tc>
        <w:tc>
          <w:tcPr>
            <w:tcBorders>
              <w:top w:val="single" w:color="CCCCCC" w:sz="1"/>
              <w:left w:val="single" w:color="CCCCCC" w:sz="1"/>
              <w:bottom w:val="single" w:color="CCCCCC" w:sz="1"/>
              <w:right w:val="single" w:color="CCCCCC" w:sz="1"/>
            </w:tcBorders>
            <w:shd w:fill="F5F7FA" w:val="clear"/>
          </w:tcPr>
          <w:p>
            <w:r>
              <w:t xml:space="preserve">8 security layers, threat heatmap, zero-trust</w:t>
            </w:r>
          </w:p>
        </w:tc>
        <w:tc>
          <w:tcPr>
            <w:tcBorders>
              <w:top w:val="single" w:color="CCCCCC" w:sz="1"/>
              <w:left w:val="single" w:color="CCCCCC" w:sz="1"/>
              <w:bottom w:val="single" w:color="CCCCCC" w:sz="1"/>
              <w:right w:val="single" w:color="CCCCCC" w:sz="1"/>
            </w:tcBorders>
            <w:shd w:fill="F5F7FA" w:val="clear"/>
          </w:tcPr>
          <w:p>
            <w:r>
              <w:t xml:space="preserve">NATO STANAG, DoD RMF</w:t>
            </w:r>
          </w:p>
        </w:tc>
      </w:tr>
      <w:tr>
        <w:tc>
          <w:tcPr>
            <w:tcBorders>
              <w:top w:val="single" w:color="CCCCCC" w:sz="1"/>
              <w:left w:val="single" w:color="CCCCCC" w:sz="1"/>
              <w:bottom w:val="single" w:color="CCCCCC" w:sz="1"/>
              <w:right w:val="single" w:color="CCCCCC" w:sz="1"/>
            </w:tcBorders>
          </w:tcPr>
          <w:p>
            <w:r>
              <w:rPr>
                <w:b/>
                <w:bCs/>
              </w:rPr>
              <w:t xml:space="preserve">Compliance Engine</w:t>
            </w:r>
          </w:p>
        </w:tc>
        <w:tc>
          <w:tcPr>
            <w:tcBorders>
              <w:top w:val="single" w:color="CCCCCC" w:sz="1"/>
              <w:left w:val="single" w:color="CCCCCC" w:sz="1"/>
              <w:bottom w:val="single" w:color="CCCCCC" w:sz="1"/>
              <w:right w:val="single" w:color="CCCCCC" w:sz="1"/>
            </w:tcBorders>
          </w:tcPr>
          <w:p>
            <w:r>
              <w:t xml:space="preserve">Automated audits, policy enforcement, reporting</w:t>
            </w:r>
          </w:p>
        </w:tc>
        <w:tc>
          <w:tcPr>
            <w:tcBorders>
              <w:top w:val="single" w:color="CCCCCC" w:sz="1"/>
              <w:left w:val="single" w:color="CCCCCC" w:sz="1"/>
              <w:bottom w:val="single" w:color="CCCCCC" w:sz="1"/>
              <w:right w:val="single" w:color="CCCCCC" w:sz="1"/>
            </w:tcBorders>
          </w:tcPr>
          <w:p>
            <w:r>
              <w:t xml:space="preserve">SOC 2, GDPR, ITAR</w:t>
            </w:r>
          </w:p>
        </w:tc>
      </w:tr>
      <w:tr>
        <w:tc>
          <w:tcPr>
            <w:tcBorders>
              <w:top w:val="single" w:color="CCCCCC" w:sz="1"/>
              <w:left w:val="single" w:color="CCCCCC" w:sz="1"/>
              <w:bottom w:val="single" w:color="CCCCCC" w:sz="1"/>
              <w:right w:val="single" w:color="CCCCCC" w:sz="1"/>
            </w:tcBorders>
            <w:shd w:fill="F5F7FA" w:val="clear"/>
          </w:tcPr>
          <w:p>
            <w:r>
              <w:rPr>
                <w:b/>
                <w:bCs/>
              </w:rPr>
              <w:t xml:space="preserve">Procurement &amp; Finance</w:t>
            </w:r>
          </w:p>
        </w:tc>
        <w:tc>
          <w:tcPr>
            <w:tcBorders>
              <w:top w:val="single" w:color="CCCCCC" w:sz="1"/>
              <w:left w:val="single" w:color="CCCCCC" w:sz="1"/>
              <w:bottom w:val="single" w:color="CCCCCC" w:sz="1"/>
              <w:right w:val="single" w:color="CCCCCC" w:sz="1"/>
            </w:tcBorders>
            <w:shd w:fill="F5F7FA" w:val="clear"/>
          </w:tcPr>
          <w:p>
            <w:r>
              <w:t xml:space="preserve">Transparent bidding, contracts, payments</w:t>
            </w:r>
          </w:p>
        </w:tc>
        <w:tc>
          <w:tcPr>
            <w:tcBorders>
              <w:top w:val="single" w:color="CCCCCC" w:sz="1"/>
              <w:left w:val="single" w:color="CCCCCC" w:sz="1"/>
              <w:bottom w:val="single" w:color="CCCCCC" w:sz="1"/>
              <w:right w:val="single" w:color="CCCCCC" w:sz="1"/>
            </w:tcBorders>
            <w:shd w:fill="F5F7FA" w:val="clear"/>
          </w:tcPr>
          <w:p>
            <w:r>
              <w:t xml:space="preserve">DCAA, FAR/DFARS</w:t>
            </w:r>
          </w:p>
        </w:tc>
      </w:tr>
      <w:tr>
        <w:tc>
          <w:tcPr>
            <w:tcBorders>
              <w:top w:val="single" w:color="CCCCCC" w:sz="1"/>
              <w:left w:val="single" w:color="CCCCCC" w:sz="1"/>
              <w:bottom w:val="single" w:color="CCCCCC" w:sz="1"/>
              <w:right w:val="single" w:color="CCCCCC" w:sz="1"/>
            </w:tcBorders>
          </w:tcPr>
          <w:p>
            <w:r>
              <w:rPr>
                <w:b/>
                <w:bCs/>
              </w:rPr>
              <w:t xml:space="preserve">Academy</w:t>
            </w:r>
          </w:p>
        </w:tc>
        <w:tc>
          <w:tcPr>
            <w:tcBorders>
              <w:top w:val="single" w:color="CCCCCC" w:sz="1"/>
              <w:left w:val="single" w:color="CCCCCC" w:sz="1"/>
              <w:bottom w:val="single" w:color="CCCCCC" w:sz="1"/>
              <w:right w:val="single" w:color="CCCCCC" w:sz="1"/>
            </w:tcBorders>
          </w:tcPr>
          <w:p>
            <w:r>
              <w:t xml:space="preserve">Training modules, certifications, assessments</w:t>
            </w:r>
          </w:p>
        </w:tc>
        <w:tc>
          <w:tcPr>
            <w:tcBorders>
              <w:top w:val="single" w:color="CCCCCC" w:sz="1"/>
              <w:left w:val="single" w:color="CCCCCC" w:sz="1"/>
              <w:bottom w:val="single" w:color="CCCCCC" w:sz="1"/>
              <w:right w:val="single" w:color="CCCCCC" w:sz="1"/>
            </w:tcBorders>
          </w:tcPr>
          <w:p>
            <w:r>
              <w:t xml:space="preserve">SCORM, xAPI</w:t>
            </w:r>
          </w:p>
        </w:tc>
      </w:tr>
      <w:tr>
        <w:tc>
          <w:tcPr>
            <w:tcBorders>
              <w:top w:val="single" w:color="CCCCCC" w:sz="1"/>
              <w:left w:val="single" w:color="CCCCCC" w:sz="1"/>
              <w:bottom w:val="single" w:color="CCCCCC" w:sz="1"/>
              <w:right w:val="single" w:color="CCCCCC" w:sz="1"/>
            </w:tcBorders>
            <w:shd w:fill="F5F7FA" w:val="clear"/>
          </w:tcPr>
          <w:p>
            <w:r>
              <w:rPr>
                <w:b/>
                <w:bCs/>
              </w:rPr>
              <w:t xml:space="preserve">Simulation Engine</w:t>
            </w:r>
          </w:p>
        </w:tc>
        <w:tc>
          <w:tcPr>
            <w:tcBorders>
              <w:top w:val="single" w:color="CCCCCC" w:sz="1"/>
              <w:left w:val="single" w:color="CCCCCC" w:sz="1"/>
              <w:bottom w:val="single" w:color="CCCCCC" w:sz="1"/>
              <w:right w:val="single" w:color="CCCCCC" w:sz="1"/>
            </w:tcBorders>
            <w:shd w:fill="F5F7FA" w:val="clear"/>
          </w:tcPr>
          <w:p>
            <w:r>
              <w:t xml:space="preserve">Crisis scenarios, war games, decision support</w:t>
            </w:r>
          </w:p>
        </w:tc>
        <w:tc>
          <w:tcPr>
            <w:tcBorders>
              <w:top w:val="single" w:color="CCCCCC" w:sz="1"/>
              <w:left w:val="single" w:color="CCCCCC" w:sz="1"/>
              <w:bottom w:val="single" w:color="CCCCCC" w:sz="1"/>
              <w:right w:val="single" w:color="CCCCCC" w:sz="1"/>
            </w:tcBorders>
            <w:shd w:fill="F5F7FA" w:val="clear"/>
          </w:tcPr>
          <w:p>
            <w:r>
              <w:t xml:space="preserve">NATO ATP standards</w:t>
            </w:r>
          </w:p>
        </w:tc>
      </w:tr>
      <w:tr>
        <w:tc>
          <w:tcPr>
            <w:tcBorders>
              <w:top w:val="single" w:color="CCCCCC" w:sz="1"/>
              <w:left w:val="single" w:color="CCCCCC" w:sz="1"/>
              <w:bottom w:val="single" w:color="CCCCCC" w:sz="1"/>
              <w:right w:val="single" w:color="CCCCCC" w:sz="1"/>
            </w:tcBorders>
          </w:tcPr>
          <w:p>
            <w:r>
              <w:rPr>
                <w:b/>
                <w:bCs/>
              </w:rPr>
              <w:t xml:space="preserve">Ethical AI Engine</w:t>
            </w:r>
          </w:p>
        </w:tc>
        <w:tc>
          <w:tcPr>
            <w:tcBorders>
              <w:top w:val="single" w:color="CCCCCC" w:sz="1"/>
              <w:left w:val="single" w:color="CCCCCC" w:sz="1"/>
              <w:bottom w:val="single" w:color="CCCCCC" w:sz="1"/>
              <w:right w:val="single" w:color="CCCCCC" w:sz="1"/>
            </w:tcBorders>
          </w:tcPr>
          <w:p>
            <w:r>
              <w:t xml:space="preserve">Bias detection, human oversight, explainability</w:t>
            </w:r>
          </w:p>
        </w:tc>
        <w:tc>
          <w:tcPr>
            <w:tcBorders>
              <w:top w:val="single" w:color="CCCCCC" w:sz="1"/>
              <w:left w:val="single" w:color="CCCCCC" w:sz="1"/>
              <w:bottom w:val="single" w:color="CCCCCC" w:sz="1"/>
              <w:right w:val="single" w:color="CCCCCC" w:sz="1"/>
            </w:tcBorders>
          </w:tcPr>
          <w:p>
            <w:r>
              <w:t xml:space="preserve">EU AI Act, OECD AI Principles</w:t>
            </w:r>
          </w:p>
        </w:tc>
      </w:tr>
      <w:tr>
        <w:tc>
          <w:tcPr>
            <w:tcBorders>
              <w:top w:val="single" w:color="CCCCCC" w:sz="1"/>
              <w:left w:val="single" w:color="CCCCCC" w:sz="1"/>
              <w:bottom w:val="single" w:color="CCCCCC" w:sz="1"/>
              <w:right w:val="single" w:color="CCCCCC" w:sz="1"/>
            </w:tcBorders>
            <w:shd w:fill="F5F7FA" w:val="clear"/>
          </w:tcPr>
          <w:p>
            <w:r>
              <w:rPr>
                <w:b/>
                <w:bCs/>
              </w:rPr>
              <w:t xml:space="preserve">Multi-Agent AI</w:t>
            </w:r>
          </w:p>
        </w:tc>
        <w:tc>
          <w:tcPr>
            <w:tcBorders>
              <w:top w:val="single" w:color="CCCCCC" w:sz="1"/>
              <w:left w:val="single" w:color="CCCCCC" w:sz="1"/>
              <w:bottom w:val="single" w:color="CCCCCC" w:sz="1"/>
              <w:right w:val="single" w:color="CCCCCC" w:sz="1"/>
            </w:tcBorders>
            <w:shd w:fill="F5F7FA" w:val="clear"/>
          </w:tcPr>
          <w:p>
            <w:r>
              <w:t xml:space="preserve">Autonomous task orchestration, intelligent routing</w:t>
            </w:r>
          </w:p>
        </w:tc>
        <w:tc>
          <w:tcPr>
            <w:tcBorders>
              <w:top w:val="single" w:color="CCCCCC" w:sz="1"/>
              <w:left w:val="single" w:color="CCCCCC" w:sz="1"/>
              <w:bottom w:val="single" w:color="CCCCCC" w:sz="1"/>
              <w:right w:val="single" w:color="CCCCCC" w:sz="1"/>
            </w:tcBorders>
            <w:shd w:fill="F5F7FA" w:val="clear"/>
          </w:tcPr>
          <w:p>
            <w:r>
              <w:t xml:space="preserve">Custom governance layer</w:t>
            </w:r>
          </w:p>
        </w:tc>
      </w:tr>
    </w:tbl>
    <w:p>
      <w:r>
        <w:br w:type="page"/>
      </w:r>
    </w:p>
    <w:p>
      <w:pPr>
        <w:pStyle w:val="Heading1"/>
      </w:pPr>
      <w:r>
        <w:t xml:space="preserve">4. Market Analysis</w:t>
      </w:r>
    </w:p>
    <w:p>
      <w:pPr>
        <w:pStyle w:val="Heading2"/>
      </w:pPr>
      <w:r>
        <w:t xml:space="preserve">Market Size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Segment</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Size (2024)</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CAGR</w:t>
            </w:r>
          </w:p>
        </w:tc>
      </w:tr>
      <w:tr>
        <w:tc>
          <w:tcPr>
            <w:tcBorders>
              <w:top w:val="single" w:color="CCCCCC" w:sz="1"/>
              <w:left w:val="single" w:color="CCCCCC" w:sz="1"/>
              <w:bottom w:val="single" w:color="CCCCCC" w:sz="1"/>
              <w:right w:val="single" w:color="CCCCCC" w:sz="1"/>
            </w:tcBorders>
          </w:tcPr>
          <w:p>
            <w:r>
              <w:t xml:space="preserve">Total Addressable Market (TAM)</w:t>
            </w:r>
          </w:p>
        </w:tc>
        <w:tc>
          <w:tcPr>
            <w:tcBorders>
              <w:top w:val="single" w:color="CCCCCC" w:sz="1"/>
              <w:left w:val="single" w:color="CCCCCC" w:sz="1"/>
              <w:bottom w:val="single" w:color="CCCCCC" w:sz="1"/>
              <w:right w:val="single" w:color="CCCCCC" w:sz="1"/>
            </w:tcBorders>
          </w:tcPr>
          <w:p>
            <w:r>
              <w:t xml:space="preserve">$35-45 Billion</w:t>
            </w:r>
          </w:p>
        </w:tc>
        <w:tc>
          <w:tcPr>
            <w:tcBorders>
              <w:top w:val="single" w:color="CCCCCC" w:sz="1"/>
              <w:left w:val="single" w:color="CCCCCC" w:sz="1"/>
              <w:bottom w:val="single" w:color="CCCCCC" w:sz="1"/>
              <w:right w:val="single" w:color="CCCCCC" w:sz="1"/>
            </w:tcBorders>
          </w:tcPr>
          <w:p>
            <w:r>
              <w:t xml:space="preserve">12-15%</w:t>
            </w:r>
          </w:p>
        </w:tc>
      </w:tr>
      <w:tr>
        <w:tc>
          <w:tcPr>
            <w:tcBorders>
              <w:top w:val="single" w:color="CCCCCC" w:sz="1"/>
              <w:left w:val="single" w:color="CCCCCC" w:sz="1"/>
              <w:bottom w:val="single" w:color="CCCCCC" w:sz="1"/>
              <w:right w:val="single" w:color="CCCCCC" w:sz="1"/>
            </w:tcBorders>
            <w:shd w:fill="F5F7FA" w:val="clear"/>
          </w:tcPr>
          <w:p>
            <w:r>
              <w:t xml:space="preserve">Serviceable Available Market (SAM)</w:t>
            </w:r>
          </w:p>
        </w:tc>
        <w:tc>
          <w:tcPr>
            <w:tcBorders>
              <w:top w:val="single" w:color="CCCCCC" w:sz="1"/>
              <w:left w:val="single" w:color="CCCCCC" w:sz="1"/>
              <w:bottom w:val="single" w:color="CCCCCC" w:sz="1"/>
              <w:right w:val="single" w:color="CCCCCC" w:sz="1"/>
            </w:tcBorders>
            <w:shd w:fill="F5F7FA" w:val="clear"/>
          </w:tcPr>
          <w:p>
            <w:r>
              <w:t xml:space="preserve">$8-12 Billion</w:t>
            </w:r>
          </w:p>
        </w:tc>
        <w:tc>
          <w:tcPr>
            <w:tcBorders>
              <w:top w:val="single" w:color="CCCCCC" w:sz="1"/>
              <w:left w:val="single" w:color="CCCCCC" w:sz="1"/>
              <w:bottom w:val="single" w:color="CCCCCC" w:sz="1"/>
              <w:right w:val="single" w:color="CCCCCC" w:sz="1"/>
            </w:tcBorders>
            <w:shd w:fill="F5F7FA" w:val="clear"/>
          </w:tcPr>
          <w:p>
            <w:r>
              <w:t xml:space="preserve">18-22%</w:t>
            </w:r>
          </w:p>
        </w:tc>
      </w:tr>
      <w:tr>
        <w:tc>
          <w:tcPr>
            <w:tcBorders>
              <w:top w:val="single" w:color="CCCCCC" w:sz="1"/>
              <w:left w:val="single" w:color="CCCCCC" w:sz="1"/>
              <w:bottom w:val="single" w:color="CCCCCC" w:sz="1"/>
              <w:right w:val="single" w:color="CCCCCC" w:sz="1"/>
            </w:tcBorders>
          </w:tcPr>
          <w:p>
            <w:r>
              <w:t xml:space="preserve">Serviceable Obtainable Market (SOM)</w:t>
            </w:r>
          </w:p>
        </w:tc>
        <w:tc>
          <w:tcPr>
            <w:tcBorders>
              <w:top w:val="single" w:color="CCCCCC" w:sz="1"/>
              <w:left w:val="single" w:color="CCCCCC" w:sz="1"/>
              <w:bottom w:val="single" w:color="CCCCCC" w:sz="1"/>
              <w:right w:val="single" w:color="CCCCCC" w:sz="1"/>
            </w:tcBorders>
          </w:tcPr>
          <w:p>
            <w:r>
              <w:t xml:space="preserve">$200-500 Million</w:t>
            </w:r>
          </w:p>
        </w:tc>
        <w:tc>
          <w:tcPr>
            <w:tcBorders>
              <w:top w:val="single" w:color="CCCCCC" w:sz="1"/>
              <w:left w:val="single" w:color="CCCCCC" w:sz="1"/>
              <w:bottom w:val="single" w:color="CCCCCC" w:sz="1"/>
              <w:right w:val="single" w:color="CCCCCC" w:sz="1"/>
            </w:tcBorders>
          </w:tcPr>
          <w:p>
            <w:r>
              <w:t xml:space="preserve">Target: 0.5-2%</w:t>
            </w:r>
          </w:p>
        </w:tc>
      </w:tr>
    </w:tbl>
    <w:p>
      <w:pPr>
        <w:pStyle w:val="Heading2"/>
      </w:pPr>
      <w:r>
        <w:t xml:space="preserve">Target Customer Segments</w:t>
      </w:r>
    </w:p>
    <w:p>
      <w:pPr>
        <w:pStyle w:val="ListParagraph"/>
        <w:numPr>
          <w:ilvl w:val="0"/>
          <w:numId w:val="3"/>
        </w:numPr>
      </w:pPr>
      <w:r>
        <w:rPr>
          <w:b/>
          <w:bCs/>
        </w:rPr>
        <w:t xml:space="preserve">Primary: </w:t>
      </w:r>
      <w:r>
        <w:t xml:space="preserve">Ministries of Defense (NATO members, partners)</w:t>
      </w:r>
    </w:p>
    <w:p>
      <w:pPr>
        <w:pStyle w:val="ListParagraph"/>
        <w:numPr>
          <w:ilvl w:val="0"/>
          <w:numId w:val="3"/>
        </w:numPr>
      </w:pPr>
      <w:r>
        <w:rPr>
          <w:b/>
          <w:bCs/>
        </w:rPr>
        <w:t xml:space="preserve">Secondary: </w:t>
      </w:r>
      <w:r>
        <w:t xml:space="preserve">International donor organizations (USAID, EU, World Bank)</w:t>
      </w:r>
    </w:p>
    <w:p>
      <w:pPr>
        <w:pStyle w:val="ListParagraph"/>
        <w:numPr>
          <w:ilvl w:val="0"/>
          <w:numId w:val="3"/>
        </w:numPr>
      </w:pPr>
      <w:r>
        <w:rPr>
          <w:b/>
          <w:bCs/>
        </w:rPr>
        <w:t xml:space="preserve">Tertiary: </w:t>
      </w:r>
      <w:r>
        <w:t xml:space="preserve">OEM defense manufacturers, humanitarian organizations</w:t>
      </w:r>
    </w:p>
    <w:p>
      <w:pPr>
        <w:pStyle w:val="ListParagraph"/>
        <w:numPr>
          <w:ilvl w:val="0"/>
          <w:numId w:val="3"/>
        </w:numPr>
      </w:pPr>
      <w:r>
        <w:rPr>
          <w:b/>
          <w:bCs/>
        </w:rPr>
        <w:t xml:space="preserve">Emerging: </w:t>
      </w:r>
      <w:r>
        <w:t xml:space="preserve">Government digitalization programs (Ukraine, Poland, Baltics)</w:t>
      </w:r>
    </w:p>
    <w:p>
      <w:pPr>
        <w:pStyle w:val="Heading2"/>
      </w:pPr>
      <w:r>
        <w:t xml:space="preserve">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Competitor</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Strength</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Weakness</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IVYAR Advantage</w:t>
            </w:r>
          </w:p>
        </w:tc>
      </w:tr>
      <w:tr>
        <w:tc>
          <w:tcPr>
            <w:tcBorders>
              <w:top w:val="single" w:color="CCCCCC" w:sz="1"/>
              <w:left w:val="single" w:color="CCCCCC" w:sz="1"/>
              <w:bottom w:val="single" w:color="CCCCCC" w:sz="1"/>
              <w:right w:val="single" w:color="CCCCCC" w:sz="1"/>
            </w:tcBorders>
          </w:tcPr>
          <w:p>
            <w:r>
              <w:t xml:space="preserve">Palantir</w:t>
            </w:r>
          </w:p>
        </w:tc>
        <w:tc>
          <w:tcPr>
            <w:tcBorders>
              <w:top w:val="single" w:color="CCCCCC" w:sz="1"/>
              <w:left w:val="single" w:color="CCCCCC" w:sz="1"/>
              <w:bottom w:val="single" w:color="CCCCCC" w:sz="1"/>
              <w:right w:val="single" w:color="CCCCCC" w:sz="1"/>
            </w:tcBorders>
          </w:tcPr>
          <w:p>
            <w:r>
              <w:t xml:space="preserve">Data analytics</w:t>
            </w:r>
          </w:p>
        </w:tc>
        <w:tc>
          <w:tcPr>
            <w:tcBorders>
              <w:top w:val="single" w:color="CCCCCC" w:sz="1"/>
              <w:left w:val="single" w:color="CCCCCC" w:sz="1"/>
              <w:bottom w:val="single" w:color="CCCCCC" w:sz="1"/>
              <w:right w:val="single" w:color="CCCCCC" w:sz="1"/>
            </w:tcBorders>
          </w:tcPr>
          <w:p>
            <w:r>
              <w:t xml:space="preserve">High cost, complex</w:t>
            </w:r>
          </w:p>
        </w:tc>
        <w:tc>
          <w:tcPr>
            <w:tcBorders>
              <w:top w:val="single" w:color="CCCCCC" w:sz="1"/>
              <w:left w:val="single" w:color="CCCCCC" w:sz="1"/>
              <w:bottom w:val="single" w:color="CCCCCC" w:sz="1"/>
              <w:right w:val="single" w:color="CCCCCC" w:sz="1"/>
            </w:tcBorders>
          </w:tcPr>
          <w:p>
            <w:r>
              <w:t xml:space="preserve">Integrated governance + ethics</w:t>
            </w:r>
          </w:p>
        </w:tc>
      </w:tr>
      <w:tr>
        <w:tc>
          <w:tcPr>
            <w:tcBorders>
              <w:top w:val="single" w:color="CCCCCC" w:sz="1"/>
              <w:left w:val="single" w:color="CCCCCC" w:sz="1"/>
              <w:bottom w:val="single" w:color="CCCCCC" w:sz="1"/>
              <w:right w:val="single" w:color="CCCCCC" w:sz="1"/>
            </w:tcBorders>
            <w:shd w:fill="F5F7FA" w:val="clear"/>
          </w:tcPr>
          <w:p>
            <w:r>
              <w:t xml:space="preserve">SAP GRC</w:t>
            </w:r>
          </w:p>
        </w:tc>
        <w:tc>
          <w:tcPr>
            <w:tcBorders>
              <w:top w:val="single" w:color="CCCCCC" w:sz="1"/>
              <w:left w:val="single" w:color="CCCCCC" w:sz="1"/>
              <w:bottom w:val="single" w:color="CCCCCC" w:sz="1"/>
              <w:right w:val="single" w:color="CCCCCC" w:sz="1"/>
            </w:tcBorders>
            <w:shd w:fill="F5F7FA" w:val="clear"/>
          </w:tcPr>
          <w:p>
            <w:r>
              <w:t xml:space="preserve">Enterprise scale</w:t>
            </w:r>
          </w:p>
        </w:tc>
        <w:tc>
          <w:tcPr>
            <w:tcBorders>
              <w:top w:val="single" w:color="CCCCCC" w:sz="1"/>
              <w:left w:val="single" w:color="CCCCCC" w:sz="1"/>
              <w:bottom w:val="single" w:color="CCCCCC" w:sz="1"/>
              <w:right w:val="single" w:color="CCCCCC" w:sz="1"/>
            </w:tcBorders>
            <w:shd w:fill="F5F7FA" w:val="clear"/>
          </w:tcPr>
          <w:p>
            <w:r>
              <w:t xml:space="preserve">Not defense-focused</w:t>
            </w:r>
          </w:p>
        </w:tc>
        <w:tc>
          <w:tcPr>
            <w:tcBorders>
              <w:top w:val="single" w:color="CCCCCC" w:sz="1"/>
              <w:left w:val="single" w:color="CCCCCC" w:sz="1"/>
              <w:bottom w:val="single" w:color="CCCCCC" w:sz="1"/>
              <w:right w:val="single" w:color="CCCCCC" w:sz="1"/>
            </w:tcBorders>
            <w:shd w:fill="F5F7FA" w:val="clear"/>
          </w:tcPr>
          <w:p>
            <w:r>
              <w:t xml:space="preserve">Defense-native design</w:t>
            </w:r>
          </w:p>
        </w:tc>
      </w:tr>
      <w:tr>
        <w:tc>
          <w:tcPr>
            <w:tcBorders>
              <w:top w:val="single" w:color="CCCCCC" w:sz="1"/>
              <w:left w:val="single" w:color="CCCCCC" w:sz="1"/>
              <w:bottom w:val="single" w:color="CCCCCC" w:sz="1"/>
              <w:right w:val="single" w:color="CCCCCC" w:sz="1"/>
            </w:tcBorders>
          </w:tcPr>
          <w:p>
            <w:r>
              <w:t xml:space="preserve">ServiceNow GRC</w:t>
            </w:r>
          </w:p>
        </w:tc>
        <w:tc>
          <w:tcPr>
            <w:tcBorders>
              <w:top w:val="single" w:color="CCCCCC" w:sz="1"/>
              <w:left w:val="single" w:color="CCCCCC" w:sz="1"/>
              <w:bottom w:val="single" w:color="CCCCCC" w:sz="1"/>
              <w:right w:val="single" w:color="CCCCCC" w:sz="1"/>
            </w:tcBorders>
          </w:tcPr>
          <w:p>
            <w:r>
              <w:t xml:space="preserve">Workflow automation</w:t>
            </w:r>
          </w:p>
        </w:tc>
        <w:tc>
          <w:tcPr>
            <w:tcBorders>
              <w:top w:val="single" w:color="CCCCCC" w:sz="1"/>
              <w:left w:val="single" w:color="CCCCCC" w:sz="1"/>
              <w:bottom w:val="single" w:color="CCCCCC" w:sz="1"/>
              <w:right w:val="single" w:color="CCCCCC" w:sz="1"/>
            </w:tcBorders>
          </w:tcPr>
          <w:p>
            <w:r>
              <w:t xml:space="preserve">No simulation/training</w:t>
            </w:r>
          </w:p>
        </w:tc>
        <w:tc>
          <w:tcPr>
            <w:tcBorders>
              <w:top w:val="single" w:color="CCCCCC" w:sz="1"/>
              <w:left w:val="single" w:color="CCCCCC" w:sz="1"/>
              <w:bottom w:val="single" w:color="CCCCCC" w:sz="1"/>
              <w:right w:val="single" w:color="CCCCCC" w:sz="1"/>
            </w:tcBorders>
          </w:tcPr>
          <w:p>
            <w:r>
              <w:t xml:space="preserve">Full academy + simulation</w:t>
            </w:r>
          </w:p>
        </w:tc>
      </w:tr>
      <w:tr>
        <w:tc>
          <w:tcPr>
            <w:tcBorders>
              <w:top w:val="single" w:color="CCCCCC" w:sz="1"/>
              <w:left w:val="single" w:color="CCCCCC" w:sz="1"/>
              <w:bottom w:val="single" w:color="CCCCCC" w:sz="1"/>
              <w:right w:val="single" w:color="CCCCCC" w:sz="1"/>
            </w:tcBorders>
            <w:shd w:fill="F5F7FA" w:val="clear"/>
          </w:tcPr>
          <w:p>
            <w:r>
              <w:t xml:space="preserve">Legacy Systems</w:t>
            </w:r>
          </w:p>
        </w:tc>
        <w:tc>
          <w:tcPr>
            <w:tcBorders>
              <w:top w:val="single" w:color="CCCCCC" w:sz="1"/>
              <w:left w:val="single" w:color="CCCCCC" w:sz="1"/>
              <w:bottom w:val="single" w:color="CCCCCC" w:sz="1"/>
              <w:right w:val="single" w:color="CCCCCC" w:sz="1"/>
            </w:tcBorders>
            <w:shd w:fill="F5F7FA" w:val="clear"/>
          </w:tcPr>
          <w:p>
            <w:r>
              <w:t xml:space="preserve">Existing contracts</w:t>
            </w:r>
          </w:p>
        </w:tc>
        <w:tc>
          <w:tcPr>
            <w:tcBorders>
              <w:top w:val="single" w:color="CCCCCC" w:sz="1"/>
              <w:left w:val="single" w:color="CCCCCC" w:sz="1"/>
              <w:bottom w:val="single" w:color="CCCCCC" w:sz="1"/>
              <w:right w:val="single" w:color="CCCCCC" w:sz="1"/>
            </w:tcBorders>
            <w:shd w:fill="F5F7FA" w:val="clear"/>
          </w:tcPr>
          <w:p>
            <w:r>
              <w:t xml:space="preserve">Fragmented, outdated</w:t>
            </w:r>
          </w:p>
        </w:tc>
        <w:tc>
          <w:tcPr>
            <w:tcBorders>
              <w:top w:val="single" w:color="CCCCCC" w:sz="1"/>
              <w:left w:val="single" w:color="CCCCCC" w:sz="1"/>
              <w:bottom w:val="single" w:color="CCCCCC" w:sz="1"/>
              <w:right w:val="single" w:color="CCCCCC" w:sz="1"/>
            </w:tcBorders>
            <w:shd w:fill="F5F7FA" w:val="clear"/>
          </w:tcPr>
          <w:p>
            <w:r>
              <w:t xml:space="preserve">Unified platform</w:t>
            </w:r>
          </w:p>
        </w:tc>
      </w:tr>
    </w:tbl>
    <w:p>
      <w:r>
        <w:br w:type="page"/>
      </w:r>
    </w:p>
    <w:p>
      <w:pPr>
        <w:pStyle w:val="Heading1"/>
      </w:pPr>
      <w:r>
        <w:t xml:space="preserve">5. Business Model</w:t>
      </w:r>
    </w:p>
    <w:p>
      <w:pPr>
        <w:pStyle w:val="Heading2"/>
      </w:pPr>
      <w:r>
        <w:t xml:space="preserve">Revenue Streams</w:t>
      </w:r>
    </w:p>
    <w:p>
      <w:pPr>
        <w:pStyle w:val="ListParagraph"/>
        <w:numPr>
          <w:ilvl w:val="0"/>
          <w:numId w:val="4"/>
        </w:numPr>
      </w:pPr>
      <w:r>
        <w:rPr>
          <w:b/>
          <w:bCs/>
        </w:rPr>
        <w:t xml:space="preserve">SaaS Subscriptions (60%): </w:t>
      </w:r>
      <w:r>
        <w:t xml:space="preserve">Annual platform licenses with tiered pricing</w:t>
      </w:r>
    </w:p>
    <w:p>
      <w:pPr>
        <w:pStyle w:val="ListParagraph"/>
        <w:numPr>
          <w:ilvl w:val="0"/>
          <w:numId w:val="4"/>
        </w:numPr>
      </w:pPr>
      <w:r>
        <w:rPr>
          <w:b/>
          <w:bCs/>
        </w:rPr>
        <w:t xml:space="preserve">Modular Add-ons (20%): </w:t>
      </w:r>
      <w:r>
        <w:t xml:space="preserve">Security, Academy, Simulation, Finance modules</w:t>
      </w:r>
    </w:p>
    <w:p>
      <w:pPr>
        <w:pStyle w:val="ListParagraph"/>
        <w:numPr>
          <w:ilvl w:val="0"/>
          <w:numId w:val="4"/>
        </w:numPr>
      </w:pPr>
      <w:r>
        <w:rPr>
          <w:b/>
          <w:bCs/>
        </w:rPr>
        <w:t xml:space="preserve">Transaction Fees (10%): </w:t>
      </w:r>
      <w:r>
        <w:t xml:space="preserve">1-3% on procurement transactions</w:t>
      </w:r>
    </w:p>
    <w:p>
      <w:pPr>
        <w:pStyle w:val="ListParagraph"/>
        <w:numPr>
          <w:ilvl w:val="0"/>
          <w:numId w:val="4"/>
        </w:numPr>
      </w:pPr>
      <w:r>
        <w:rPr>
          <w:b/>
          <w:bCs/>
        </w:rPr>
        <w:t xml:space="preserve">Professional Services (10%): </w:t>
      </w:r>
      <w:r>
        <w:t xml:space="preserve">Implementation, training, customization</w:t>
      </w:r>
    </w:p>
    <w:p>
      <w:pPr>
        <w:pStyle w:val="Heading2"/>
      </w:pPr>
      <w:r>
        <w:t xml:space="preserve">Pricing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Tier</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Annual Fee</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Users</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Includes</w:t>
            </w:r>
          </w:p>
        </w:tc>
      </w:tr>
      <w:tr>
        <w:tc>
          <w:tcPr>
            <w:tcBorders>
              <w:top w:val="single" w:color="CCCCCC" w:sz="1"/>
              <w:left w:val="single" w:color="CCCCCC" w:sz="1"/>
              <w:bottom w:val="single" w:color="CCCCCC" w:sz="1"/>
              <w:right w:val="single" w:color="CCCCCC" w:sz="1"/>
            </w:tcBorders>
          </w:tcPr>
          <w:p>
            <w:r>
              <w:rPr>
                <w:b/>
                <w:bCs/>
              </w:rPr>
              <w:t xml:space="preserve">Starter</w:t>
            </w:r>
          </w:p>
        </w:tc>
        <w:tc>
          <w:tcPr>
            <w:tcBorders>
              <w:top w:val="single" w:color="CCCCCC" w:sz="1"/>
              <w:left w:val="single" w:color="CCCCCC" w:sz="1"/>
              <w:bottom w:val="single" w:color="CCCCCC" w:sz="1"/>
              <w:right w:val="single" w:color="CCCCCC" w:sz="1"/>
            </w:tcBorders>
          </w:tcPr>
          <w:p>
            <w:r>
              <w:t xml:space="preserve">$75,000</w:t>
            </w:r>
          </w:p>
        </w:tc>
        <w:tc>
          <w:tcPr>
            <w:tcBorders>
              <w:top w:val="single" w:color="CCCCCC" w:sz="1"/>
              <w:left w:val="single" w:color="CCCCCC" w:sz="1"/>
              <w:bottom w:val="single" w:color="CCCCCC" w:sz="1"/>
              <w:right w:val="single" w:color="CCCCCC" w:sz="1"/>
            </w:tcBorders>
          </w:tcPr>
          <w:p>
            <w:r>
              <w:t xml:space="preserve">Up to 50</w:t>
            </w:r>
          </w:p>
        </w:tc>
        <w:tc>
          <w:tcPr>
            <w:tcBorders>
              <w:top w:val="single" w:color="CCCCCC" w:sz="1"/>
              <w:left w:val="single" w:color="CCCCCC" w:sz="1"/>
              <w:bottom w:val="single" w:color="CCCCCC" w:sz="1"/>
              <w:right w:val="single" w:color="CCCCCC" w:sz="1"/>
            </w:tcBorders>
          </w:tcPr>
          <w:p>
            <w:r>
              <w:t xml:space="preserve">Governance + Compliance</w:t>
            </w:r>
          </w:p>
        </w:tc>
      </w:tr>
      <w:tr>
        <w:tc>
          <w:tcPr>
            <w:tcBorders>
              <w:top w:val="single" w:color="CCCCCC" w:sz="1"/>
              <w:left w:val="single" w:color="CCCCCC" w:sz="1"/>
              <w:bottom w:val="single" w:color="CCCCCC" w:sz="1"/>
              <w:right w:val="single" w:color="CCCCCC" w:sz="1"/>
            </w:tcBorders>
            <w:shd w:fill="F5F7FA" w:val="clear"/>
          </w:tcPr>
          <w:p>
            <w:r>
              <w:rPr>
                <w:b/>
                <w:bCs/>
              </w:rPr>
              <w:t xml:space="preserve">Professional</w:t>
            </w:r>
          </w:p>
        </w:tc>
        <w:tc>
          <w:tcPr>
            <w:tcBorders>
              <w:top w:val="single" w:color="CCCCCC" w:sz="1"/>
              <w:left w:val="single" w:color="CCCCCC" w:sz="1"/>
              <w:bottom w:val="single" w:color="CCCCCC" w:sz="1"/>
              <w:right w:val="single" w:color="CCCCCC" w:sz="1"/>
            </w:tcBorders>
            <w:shd w:fill="F5F7FA" w:val="clear"/>
          </w:tcPr>
          <w:p>
            <w:r>
              <w:t xml:space="preserve">$150,000</w:t>
            </w:r>
          </w:p>
        </w:tc>
        <w:tc>
          <w:tcPr>
            <w:tcBorders>
              <w:top w:val="single" w:color="CCCCCC" w:sz="1"/>
              <w:left w:val="single" w:color="CCCCCC" w:sz="1"/>
              <w:bottom w:val="single" w:color="CCCCCC" w:sz="1"/>
              <w:right w:val="single" w:color="CCCCCC" w:sz="1"/>
            </w:tcBorders>
            <w:shd w:fill="F5F7FA" w:val="clear"/>
          </w:tcPr>
          <w:p>
            <w:r>
              <w:t xml:space="preserve">Up to 200</w:t>
            </w:r>
          </w:p>
        </w:tc>
        <w:tc>
          <w:tcPr>
            <w:tcBorders>
              <w:top w:val="single" w:color="CCCCCC" w:sz="1"/>
              <w:left w:val="single" w:color="CCCCCC" w:sz="1"/>
              <w:bottom w:val="single" w:color="CCCCCC" w:sz="1"/>
              <w:right w:val="single" w:color="CCCCCC" w:sz="1"/>
            </w:tcBorders>
            <w:shd w:fill="F5F7FA" w:val="clear"/>
          </w:tcPr>
          <w:p>
            <w:r>
              <w:t xml:space="preserve">+ Security + Procurement</w:t>
            </w:r>
          </w:p>
        </w:tc>
      </w:tr>
      <w:tr>
        <w:tc>
          <w:tcPr>
            <w:tcBorders>
              <w:top w:val="single" w:color="CCCCCC" w:sz="1"/>
              <w:left w:val="single" w:color="CCCCCC" w:sz="1"/>
              <w:bottom w:val="single" w:color="CCCCCC" w:sz="1"/>
              <w:right w:val="single" w:color="CCCCCC" w:sz="1"/>
            </w:tcBorders>
          </w:tcPr>
          <w:p>
            <w:r>
              <w:rPr>
                <w:b/>
                <w:bCs/>
              </w:rPr>
              <w:t xml:space="preserve">Enterprise</w:t>
            </w:r>
          </w:p>
        </w:tc>
        <w:tc>
          <w:tcPr>
            <w:tcBorders>
              <w:top w:val="single" w:color="CCCCCC" w:sz="1"/>
              <w:left w:val="single" w:color="CCCCCC" w:sz="1"/>
              <w:bottom w:val="single" w:color="CCCCCC" w:sz="1"/>
              <w:right w:val="single" w:color="CCCCCC" w:sz="1"/>
            </w:tcBorders>
          </w:tcPr>
          <w:p>
            <w:r>
              <w:t xml:space="preserve">$250,000</w:t>
            </w:r>
          </w:p>
        </w:tc>
        <w:tc>
          <w:tcPr>
            <w:tcBorders>
              <w:top w:val="single" w:color="CCCCCC" w:sz="1"/>
              <w:left w:val="single" w:color="CCCCCC" w:sz="1"/>
              <w:bottom w:val="single" w:color="CCCCCC" w:sz="1"/>
              <w:right w:val="single" w:color="CCCCCC" w:sz="1"/>
            </w:tcBorders>
          </w:tcPr>
          <w:p>
            <w:r>
              <w:t xml:space="preserve">Up to 500</w:t>
            </w:r>
          </w:p>
        </w:tc>
        <w:tc>
          <w:tcPr>
            <w:tcBorders>
              <w:top w:val="single" w:color="CCCCCC" w:sz="1"/>
              <w:left w:val="single" w:color="CCCCCC" w:sz="1"/>
              <w:bottom w:val="single" w:color="CCCCCC" w:sz="1"/>
              <w:right w:val="single" w:color="CCCCCC" w:sz="1"/>
            </w:tcBorders>
          </w:tcPr>
          <w:p>
            <w:r>
              <w:t xml:space="preserve">+ Academy + Simulation</w:t>
            </w:r>
          </w:p>
        </w:tc>
      </w:tr>
      <w:tr>
        <w:tc>
          <w:tcPr>
            <w:tcBorders>
              <w:top w:val="single" w:color="CCCCCC" w:sz="1"/>
              <w:left w:val="single" w:color="CCCCCC" w:sz="1"/>
              <w:bottom w:val="single" w:color="CCCCCC" w:sz="1"/>
              <w:right w:val="single" w:color="CCCCCC" w:sz="1"/>
            </w:tcBorders>
            <w:shd w:fill="F5F7FA" w:val="clear"/>
          </w:tcPr>
          <w:p>
            <w:r>
              <w:rPr>
                <w:b/>
                <w:bCs/>
              </w:rPr>
              <w:t xml:space="preserve">National</w:t>
            </w:r>
          </w:p>
        </w:tc>
        <w:tc>
          <w:tcPr>
            <w:tcBorders>
              <w:top w:val="single" w:color="CCCCCC" w:sz="1"/>
              <w:left w:val="single" w:color="CCCCCC" w:sz="1"/>
              <w:bottom w:val="single" w:color="CCCCCC" w:sz="1"/>
              <w:right w:val="single" w:color="CCCCCC" w:sz="1"/>
            </w:tcBorders>
            <w:shd w:fill="F5F7FA" w:val="clear"/>
          </w:tcPr>
          <w:p>
            <w:r>
              <w:t xml:space="preserve">$500,000+</w:t>
            </w:r>
          </w:p>
        </w:tc>
        <w:tc>
          <w:tcPr>
            <w:tcBorders>
              <w:top w:val="single" w:color="CCCCCC" w:sz="1"/>
              <w:left w:val="single" w:color="CCCCCC" w:sz="1"/>
              <w:bottom w:val="single" w:color="CCCCCC" w:sz="1"/>
              <w:right w:val="single" w:color="CCCCCC" w:sz="1"/>
            </w:tcBorders>
            <w:shd w:fill="F5F7FA" w:val="clear"/>
          </w:tcPr>
          <w:p>
            <w:r>
              <w:t xml:space="preserve">Unlimited</w:t>
            </w:r>
          </w:p>
        </w:tc>
        <w:tc>
          <w:tcPr>
            <w:tcBorders>
              <w:top w:val="single" w:color="CCCCCC" w:sz="1"/>
              <w:left w:val="single" w:color="CCCCCC" w:sz="1"/>
              <w:bottom w:val="single" w:color="CCCCCC" w:sz="1"/>
              <w:right w:val="single" w:color="CCCCCC" w:sz="1"/>
            </w:tcBorders>
            <w:shd w:fill="F5F7FA" w:val="clear"/>
          </w:tcPr>
          <w:p>
            <w:r>
              <w:t xml:space="preserve">Full platform + custom</w:t>
            </w:r>
          </w:p>
        </w:tc>
      </w:tr>
    </w:tbl>
    <w:p>
      <w:pPr>
        <w:pStyle w:val="Heading3"/>
      </w:pPr>
      <w:r>
        <w:t xml:space="preserve">Add-on Modules</w:t>
      </w:r>
    </w:p>
    <w:p>
      <w:pPr>
        <w:pStyle w:val="ListParagraph"/>
        <w:numPr>
          <w:ilvl w:val="0"/>
          <w:numId w:val="2"/>
        </w:numPr>
      </w:pPr>
      <w:r>
        <w:t xml:space="preserve">Security Suite: $50,000-$100,000/year</w:t>
      </w:r>
    </w:p>
    <w:p>
      <w:pPr>
        <w:pStyle w:val="ListParagraph"/>
        <w:numPr>
          <w:ilvl w:val="0"/>
          <w:numId w:val="2"/>
        </w:numPr>
      </w:pPr>
      <w:r>
        <w:t xml:space="preserve">Compliance Engine: $40,000/year</w:t>
      </w:r>
    </w:p>
    <w:p>
      <w:pPr>
        <w:pStyle w:val="ListParagraph"/>
        <w:numPr>
          <w:ilvl w:val="0"/>
          <w:numId w:val="2"/>
        </w:numPr>
      </w:pPr>
      <w:r>
        <w:t xml:space="preserve">Simulation Engine: $50,000/year</w:t>
      </w:r>
    </w:p>
    <w:p>
      <w:pPr>
        <w:pStyle w:val="ListParagraph"/>
        <w:numPr>
          <w:ilvl w:val="0"/>
          <w:numId w:val="2"/>
        </w:numPr>
      </w:pPr>
      <w:r>
        <w:t xml:space="preserve">Academy Module: $20,000/year</w:t>
      </w:r>
    </w:p>
    <w:p>
      <w:pPr>
        <w:pStyle w:val="ListParagraph"/>
        <w:numPr>
          <w:ilvl w:val="0"/>
          <w:numId w:val="2"/>
        </w:numPr>
      </w:pPr>
      <w:r>
        <w:t xml:space="preserve">Multi-Agent AI: $75,000/year</w:t>
      </w:r>
    </w:p>
    <w:p>
      <w:pPr>
        <w:pStyle w:val="ListParagraph"/>
        <w:numPr>
          <w:ilvl w:val="0"/>
          <w:numId w:val="2"/>
        </w:numPr>
      </w:pPr>
      <w:r>
        <w:t xml:space="preserve">International Deployment: $500,000 setup + $250,000/year</w:t>
      </w:r>
    </w:p>
    <w:p>
      <w:r>
        <w:br w:type="page"/>
      </w:r>
    </w:p>
    <w:p>
      <w:pPr>
        <w:pStyle w:val="Heading1"/>
      </w:pPr>
      <w:r>
        <w:t xml:space="preserve">6. Financial Projections</w:t>
      </w:r>
    </w:p>
    <w:p>
      <w:pPr>
        <w:pStyle w:val="Heading2"/>
      </w:pPr>
      <w:r>
        <w:t xml:space="preserve">Revenue Scenarios (3-Year)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Scenario</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Year 1</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Year 2</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Year 3</w:t>
            </w:r>
          </w:p>
        </w:tc>
      </w:tr>
      <w:tr>
        <w:tc>
          <w:tcPr>
            <w:tcBorders>
              <w:top w:val="single" w:color="CCCCCC" w:sz="1"/>
              <w:left w:val="single" w:color="CCCCCC" w:sz="1"/>
              <w:bottom w:val="single" w:color="CCCCCC" w:sz="1"/>
              <w:right w:val="single" w:color="CCCCCC" w:sz="1"/>
            </w:tcBorders>
          </w:tcPr>
          <w:p>
            <w:r>
              <w:rPr>
                <w:b/>
                <w:bCs/>
              </w:rPr>
              <w:t xml:space="preserve">Conservative</w:t>
            </w:r>
            <w:r>
              <w:t xml:space="preserve"> (3 clients)</w:t>
            </w:r>
          </w:p>
        </w:tc>
        <w:tc>
          <w:tcPr>
            <w:tcBorders>
              <w:top w:val="single" w:color="CCCCCC" w:sz="1"/>
              <w:left w:val="single" w:color="CCCCCC" w:sz="1"/>
              <w:bottom w:val="single" w:color="CCCCCC" w:sz="1"/>
              <w:right w:val="single" w:color="CCCCCC" w:sz="1"/>
            </w:tcBorders>
          </w:tcPr>
          <w:p>
            <w:r>
              <w:t xml:space="preserve">$500K</w:t>
            </w:r>
          </w:p>
        </w:tc>
        <w:tc>
          <w:tcPr>
            <w:tcBorders>
              <w:top w:val="single" w:color="CCCCCC" w:sz="1"/>
              <w:left w:val="single" w:color="CCCCCC" w:sz="1"/>
              <w:bottom w:val="single" w:color="CCCCCC" w:sz="1"/>
              <w:right w:val="single" w:color="CCCCCC" w:sz="1"/>
            </w:tcBorders>
          </w:tcPr>
          <w:p>
            <w:r>
              <w:t xml:space="preserve">$990K</w:t>
            </w:r>
          </w:p>
        </w:tc>
        <w:tc>
          <w:tcPr>
            <w:tcBorders>
              <w:top w:val="single" w:color="CCCCCC" w:sz="1"/>
              <w:left w:val="single" w:color="CCCCCC" w:sz="1"/>
              <w:bottom w:val="single" w:color="CCCCCC" w:sz="1"/>
              <w:right w:val="single" w:color="CCCCCC" w:sz="1"/>
            </w:tcBorders>
          </w:tcPr>
          <w:p>
            <w:r>
              <w:t xml:space="preserve">$1.5M</w:t>
            </w:r>
          </w:p>
        </w:tc>
      </w:tr>
      <w:tr>
        <w:tc>
          <w:tcPr>
            <w:tcBorders>
              <w:top w:val="single" w:color="CCCCCC" w:sz="1"/>
              <w:left w:val="single" w:color="CCCCCC" w:sz="1"/>
              <w:bottom w:val="single" w:color="CCCCCC" w:sz="1"/>
              <w:right w:val="single" w:color="CCCCCC" w:sz="1"/>
            </w:tcBorders>
            <w:shd w:fill="F5F7FA" w:val="clear"/>
          </w:tcPr>
          <w:p>
            <w:r>
              <w:rPr>
                <w:b/>
                <w:bCs/>
              </w:rPr>
              <w:t xml:space="preserve">Base Case</w:t>
            </w:r>
            <w:r>
              <w:t xml:space="preserve"> (5 clients)</w:t>
            </w:r>
          </w:p>
        </w:tc>
        <w:tc>
          <w:tcPr>
            <w:tcBorders>
              <w:top w:val="single" w:color="CCCCCC" w:sz="1"/>
              <w:left w:val="single" w:color="CCCCCC" w:sz="1"/>
              <w:bottom w:val="single" w:color="CCCCCC" w:sz="1"/>
              <w:right w:val="single" w:color="CCCCCC" w:sz="1"/>
            </w:tcBorders>
            <w:shd w:fill="F5F7FA" w:val="clear"/>
          </w:tcPr>
          <w:p>
            <w:r>
              <w:t xml:space="preserve">$750K</w:t>
            </w:r>
          </w:p>
        </w:tc>
        <w:tc>
          <w:tcPr>
            <w:tcBorders>
              <w:top w:val="single" w:color="CCCCCC" w:sz="1"/>
              <w:left w:val="single" w:color="CCCCCC" w:sz="1"/>
              <w:bottom w:val="single" w:color="CCCCCC" w:sz="1"/>
              <w:right w:val="single" w:color="CCCCCC" w:sz="1"/>
            </w:tcBorders>
            <w:shd w:fill="F5F7FA" w:val="clear"/>
          </w:tcPr>
          <w:p>
            <w:r>
              <w:t xml:space="preserve">$1.83M</w:t>
            </w:r>
          </w:p>
        </w:tc>
        <w:tc>
          <w:tcPr>
            <w:tcBorders>
              <w:top w:val="single" w:color="CCCCCC" w:sz="1"/>
              <w:left w:val="single" w:color="CCCCCC" w:sz="1"/>
              <w:bottom w:val="single" w:color="CCCCCC" w:sz="1"/>
              <w:right w:val="single" w:color="CCCCCC" w:sz="1"/>
            </w:tcBorders>
            <w:shd w:fill="F5F7FA" w:val="clear"/>
          </w:tcPr>
          <w:p>
            <w:r>
              <w:t xml:space="preserve">$2.8M</w:t>
            </w:r>
          </w:p>
        </w:tc>
      </w:tr>
      <w:tr>
        <w:tc>
          <w:tcPr>
            <w:tcBorders>
              <w:top w:val="single" w:color="CCCCCC" w:sz="1"/>
              <w:left w:val="single" w:color="CCCCCC" w:sz="1"/>
              <w:bottom w:val="single" w:color="CCCCCC" w:sz="1"/>
              <w:right w:val="single" w:color="CCCCCC" w:sz="1"/>
            </w:tcBorders>
          </w:tcPr>
          <w:p>
            <w:r>
              <w:rPr>
                <w:b/>
                <w:bCs/>
              </w:rPr>
              <w:t xml:space="preserve">Optimistic</w:t>
            </w:r>
            <w:r>
              <w:t xml:space="preserve"> (10 clients)</w:t>
            </w:r>
          </w:p>
        </w:tc>
        <w:tc>
          <w:tcPr>
            <w:tcBorders>
              <w:top w:val="single" w:color="CCCCCC" w:sz="1"/>
              <w:left w:val="single" w:color="CCCCCC" w:sz="1"/>
              <w:bottom w:val="single" w:color="CCCCCC" w:sz="1"/>
              <w:right w:val="single" w:color="CCCCCC" w:sz="1"/>
            </w:tcBorders>
          </w:tcPr>
          <w:p>
            <w:r>
              <w:t xml:space="preserve">$1.2M</w:t>
            </w:r>
          </w:p>
        </w:tc>
        <w:tc>
          <w:tcPr>
            <w:tcBorders>
              <w:top w:val="single" w:color="CCCCCC" w:sz="1"/>
              <w:left w:val="single" w:color="CCCCCC" w:sz="1"/>
              <w:bottom w:val="single" w:color="CCCCCC" w:sz="1"/>
              <w:right w:val="single" w:color="CCCCCC" w:sz="1"/>
            </w:tcBorders>
          </w:tcPr>
          <w:p>
            <w:r>
              <w:t xml:space="preserve">$2.5M</w:t>
            </w:r>
          </w:p>
        </w:tc>
        <w:tc>
          <w:tcPr>
            <w:tcBorders>
              <w:top w:val="single" w:color="CCCCCC" w:sz="1"/>
              <w:left w:val="single" w:color="CCCCCC" w:sz="1"/>
              <w:bottom w:val="single" w:color="CCCCCC" w:sz="1"/>
              <w:right w:val="single" w:color="CCCCCC" w:sz="1"/>
            </w:tcBorders>
          </w:tcPr>
          <w:p>
            <w:r>
              <w:t xml:space="preserve">$5M+</w:t>
            </w:r>
          </w:p>
        </w:tc>
      </w:tr>
    </w:tbl>
    <w:p>
      <w:pPr>
        <w:pStyle w:val="Heading2"/>
      </w:pPr>
      <w:r>
        <w:t xml:space="preserve">Unit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Metric</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Target</w:t>
            </w:r>
          </w:p>
        </w:tc>
      </w:tr>
      <w:tr>
        <w:tc>
          <w:tcPr>
            <w:tcBorders>
              <w:top w:val="single" w:color="CCCCCC" w:sz="1"/>
              <w:left w:val="single" w:color="CCCCCC" w:sz="1"/>
              <w:bottom w:val="single" w:color="CCCCCC" w:sz="1"/>
              <w:right w:val="single" w:color="CCCCCC" w:sz="1"/>
            </w:tcBorders>
          </w:tcPr>
          <w:p>
            <w:r>
              <w:t xml:space="preserve">Customer Acquisition Cost (CAC)</w:t>
            </w:r>
          </w:p>
        </w:tc>
        <w:tc>
          <w:tcPr>
            <w:tcBorders>
              <w:top w:val="single" w:color="CCCCCC" w:sz="1"/>
              <w:left w:val="single" w:color="CCCCCC" w:sz="1"/>
              <w:bottom w:val="single" w:color="CCCCCC" w:sz="1"/>
              <w:right w:val="single" w:color="CCCCCC" w:sz="1"/>
            </w:tcBorders>
          </w:tcPr>
          <w:p>
            <w:r>
              <w:t xml:space="preserve">$50,000 - $100,000</w:t>
            </w:r>
          </w:p>
        </w:tc>
      </w:tr>
      <w:tr>
        <w:tc>
          <w:tcPr>
            <w:tcBorders>
              <w:top w:val="single" w:color="CCCCCC" w:sz="1"/>
              <w:left w:val="single" w:color="CCCCCC" w:sz="1"/>
              <w:bottom w:val="single" w:color="CCCCCC" w:sz="1"/>
              <w:right w:val="single" w:color="CCCCCC" w:sz="1"/>
            </w:tcBorders>
            <w:shd w:fill="F5F7FA" w:val="clear"/>
          </w:tcPr>
          <w:p>
            <w:r>
              <w:t xml:space="preserve">Average Contract Value (ACV)</w:t>
            </w:r>
          </w:p>
        </w:tc>
        <w:tc>
          <w:tcPr>
            <w:tcBorders>
              <w:top w:val="single" w:color="CCCCCC" w:sz="1"/>
              <w:left w:val="single" w:color="CCCCCC" w:sz="1"/>
              <w:bottom w:val="single" w:color="CCCCCC" w:sz="1"/>
              <w:right w:val="single" w:color="CCCCCC" w:sz="1"/>
            </w:tcBorders>
            <w:shd w:fill="F5F7FA" w:val="clear"/>
          </w:tcPr>
          <w:p>
            <w:r>
              <w:t xml:space="preserve">$200,000 - $350,000</w:t>
            </w:r>
          </w:p>
        </w:tc>
      </w:tr>
      <w:tr>
        <w:tc>
          <w:tcPr>
            <w:tcBorders>
              <w:top w:val="single" w:color="CCCCCC" w:sz="1"/>
              <w:left w:val="single" w:color="CCCCCC" w:sz="1"/>
              <w:bottom w:val="single" w:color="CCCCCC" w:sz="1"/>
              <w:right w:val="single" w:color="CCCCCC" w:sz="1"/>
            </w:tcBorders>
          </w:tcPr>
          <w:p>
            <w:r>
              <w:t xml:space="preserve">Customer Lifetime Value (LTV)</w:t>
            </w:r>
          </w:p>
        </w:tc>
        <w:tc>
          <w:tcPr>
            <w:tcBorders>
              <w:top w:val="single" w:color="CCCCCC" w:sz="1"/>
              <w:left w:val="single" w:color="CCCCCC" w:sz="1"/>
              <w:bottom w:val="single" w:color="CCCCCC" w:sz="1"/>
              <w:right w:val="single" w:color="CCCCCC" w:sz="1"/>
            </w:tcBorders>
          </w:tcPr>
          <w:p>
            <w:r>
              <w:t xml:space="preserve">$800,000 - $1,500,000</w:t>
            </w:r>
          </w:p>
        </w:tc>
      </w:tr>
      <w:tr>
        <w:tc>
          <w:tcPr>
            <w:tcBorders>
              <w:top w:val="single" w:color="CCCCCC" w:sz="1"/>
              <w:left w:val="single" w:color="CCCCCC" w:sz="1"/>
              <w:bottom w:val="single" w:color="CCCCCC" w:sz="1"/>
              <w:right w:val="single" w:color="CCCCCC" w:sz="1"/>
            </w:tcBorders>
            <w:shd w:fill="F5F7FA" w:val="clear"/>
          </w:tcPr>
          <w:p>
            <w:r>
              <w:t xml:space="preserve">LTV:CAC Ratio</w:t>
            </w:r>
          </w:p>
        </w:tc>
        <w:tc>
          <w:tcPr>
            <w:tcBorders>
              <w:top w:val="single" w:color="CCCCCC" w:sz="1"/>
              <w:left w:val="single" w:color="CCCCCC" w:sz="1"/>
              <w:bottom w:val="single" w:color="CCCCCC" w:sz="1"/>
              <w:right w:val="single" w:color="CCCCCC" w:sz="1"/>
            </w:tcBorders>
            <w:shd w:fill="F5F7FA" w:val="clear"/>
          </w:tcPr>
          <w:p>
            <w:r>
              <w:t xml:space="preserve">10:1 - 15:1</w:t>
            </w:r>
          </w:p>
        </w:tc>
      </w:tr>
      <w:tr>
        <w:tc>
          <w:tcPr>
            <w:tcBorders>
              <w:top w:val="single" w:color="CCCCCC" w:sz="1"/>
              <w:left w:val="single" w:color="CCCCCC" w:sz="1"/>
              <w:bottom w:val="single" w:color="CCCCCC" w:sz="1"/>
              <w:right w:val="single" w:color="CCCCCC" w:sz="1"/>
            </w:tcBorders>
          </w:tcPr>
          <w:p>
            <w:r>
              <w:t xml:space="preserve">Gross Margin</w:t>
            </w:r>
          </w:p>
        </w:tc>
        <w:tc>
          <w:tcPr>
            <w:tcBorders>
              <w:top w:val="single" w:color="CCCCCC" w:sz="1"/>
              <w:left w:val="single" w:color="CCCCCC" w:sz="1"/>
              <w:bottom w:val="single" w:color="CCCCCC" w:sz="1"/>
              <w:right w:val="single" w:color="CCCCCC" w:sz="1"/>
            </w:tcBorders>
          </w:tcPr>
          <w:p>
            <w:r>
              <w:t xml:space="preserve">70-80%</w:t>
            </w:r>
          </w:p>
        </w:tc>
      </w:tr>
      <w:tr>
        <w:tc>
          <w:tcPr>
            <w:tcBorders>
              <w:top w:val="single" w:color="CCCCCC" w:sz="1"/>
              <w:left w:val="single" w:color="CCCCCC" w:sz="1"/>
              <w:bottom w:val="single" w:color="CCCCCC" w:sz="1"/>
              <w:right w:val="single" w:color="CCCCCC" w:sz="1"/>
            </w:tcBorders>
            <w:shd w:fill="F5F7FA" w:val="clear"/>
          </w:tcPr>
          <w:p>
            <w:r>
              <w:t xml:space="preserve">Payback Period</w:t>
            </w:r>
          </w:p>
        </w:tc>
        <w:tc>
          <w:tcPr>
            <w:tcBorders>
              <w:top w:val="single" w:color="CCCCCC" w:sz="1"/>
              <w:left w:val="single" w:color="CCCCCC" w:sz="1"/>
              <w:bottom w:val="single" w:color="CCCCCC" w:sz="1"/>
              <w:right w:val="single" w:color="CCCCCC" w:sz="1"/>
            </w:tcBorders>
            <w:shd w:fill="F5F7FA" w:val="clear"/>
          </w:tcPr>
          <w:p>
            <w:r>
              <w:t xml:space="preserve">6-12 months</w:t>
            </w:r>
          </w:p>
        </w:tc>
      </w:tr>
    </w:tbl>
    <w:p>
      <w:r>
        <w:br w:type="page"/>
      </w:r>
    </w:p>
    <w:p>
      <w:pPr>
        <w:pStyle w:val="Heading1"/>
      </w:pPr>
      <w:r>
        <w:t xml:space="preserve">7. Go-to-Market Strategy</w:t>
      </w:r>
    </w:p>
    <w:p>
      <w:pPr>
        <w:pStyle w:val="Heading2"/>
      </w:pPr>
      <w:r>
        <w:t xml:space="preserve">Phase 1: Foundation (Year 1)</w:t>
      </w:r>
    </w:p>
    <w:p>
      <w:pPr>
        <w:pStyle w:val="ListParagraph"/>
        <w:numPr>
          <w:ilvl w:val="0"/>
          <w:numId w:val="2"/>
        </w:numPr>
      </w:pPr>
      <w:r>
        <w:t xml:space="preserve">Secure 2-3 pilot deployments with Ukrainian defense institutions</w:t>
      </w:r>
    </w:p>
    <w:p>
      <w:pPr>
        <w:pStyle w:val="ListParagraph"/>
        <w:numPr>
          <w:ilvl w:val="0"/>
          <w:numId w:val="2"/>
        </w:numPr>
      </w:pPr>
      <w:r>
        <w:t xml:space="preserve">Establish reference cases and testimonials</w:t>
      </w:r>
    </w:p>
    <w:p>
      <w:pPr>
        <w:pStyle w:val="ListParagraph"/>
        <w:numPr>
          <w:ilvl w:val="0"/>
          <w:numId w:val="2"/>
        </w:numPr>
      </w:pPr>
      <w:r>
        <w:t xml:space="preserve">Complete NATO compliance certification</w:t>
      </w:r>
    </w:p>
    <w:p>
      <w:pPr>
        <w:pStyle w:val="ListParagraph"/>
        <w:numPr>
          <w:ilvl w:val="0"/>
          <w:numId w:val="2"/>
        </w:numPr>
      </w:pPr>
      <w:r>
        <w:t xml:space="preserve">Build partner network (system integrators, consultants)</w:t>
      </w:r>
    </w:p>
    <w:p>
      <w:pPr>
        <w:pStyle w:val="Heading2"/>
      </w:pPr>
      <w:r>
        <w:t xml:space="preserve">Phase 2: Expansion (Year 2)</w:t>
      </w:r>
    </w:p>
    <w:p>
      <w:pPr>
        <w:pStyle w:val="ListParagraph"/>
        <w:numPr>
          <w:ilvl w:val="0"/>
          <w:numId w:val="2"/>
        </w:numPr>
      </w:pPr>
      <w:r>
        <w:t xml:space="preserve">Expand to 3-5 NATO partner countries (Poland, Baltics, Nordic)</w:t>
      </w:r>
    </w:p>
    <w:p>
      <w:pPr>
        <w:pStyle w:val="ListParagraph"/>
        <w:numPr>
          <w:ilvl w:val="0"/>
          <w:numId w:val="2"/>
        </w:numPr>
      </w:pPr>
      <w:r>
        <w:t xml:space="preserve">Engage international donor organizations</w:t>
      </w:r>
    </w:p>
    <w:p>
      <w:pPr>
        <w:pStyle w:val="ListParagraph"/>
        <w:numPr>
          <w:ilvl w:val="0"/>
          <w:numId w:val="2"/>
        </w:numPr>
      </w:pPr>
      <w:r>
        <w:t xml:space="preserve">Launch OEM partnership program</w:t>
      </w:r>
    </w:p>
    <w:p>
      <w:pPr>
        <w:pStyle w:val="ListParagraph"/>
        <w:numPr>
          <w:ilvl w:val="0"/>
          <w:numId w:val="2"/>
        </w:numPr>
      </w:pPr>
      <w:r>
        <w:t xml:space="preserve">Participate in major defense conferences (DSEI, Eurosatory)</w:t>
      </w:r>
    </w:p>
    <w:p>
      <w:pPr>
        <w:pStyle w:val="Heading2"/>
      </w:pPr>
      <w:r>
        <w:t xml:space="preserve">Phase 3: Scale (Year 3)</w:t>
      </w:r>
    </w:p>
    <w:p>
      <w:pPr>
        <w:pStyle w:val="ListParagraph"/>
        <w:numPr>
          <w:ilvl w:val="0"/>
          <w:numId w:val="2"/>
        </w:numPr>
      </w:pPr>
      <w:r>
        <w:t xml:space="preserve">Target 10+ institutional deployments</w:t>
      </w:r>
    </w:p>
    <w:p>
      <w:pPr>
        <w:pStyle w:val="ListParagraph"/>
        <w:numPr>
          <w:ilvl w:val="0"/>
          <w:numId w:val="2"/>
        </w:numPr>
      </w:pPr>
      <w:r>
        <w:t xml:space="preserve">Establish regional presence in EU and North America</w:t>
      </w:r>
    </w:p>
    <w:p>
      <w:pPr>
        <w:pStyle w:val="ListParagraph"/>
        <w:numPr>
          <w:ilvl w:val="0"/>
          <w:numId w:val="2"/>
        </w:numPr>
      </w:pPr>
      <w:r>
        <w:t xml:space="preserve">Launch government digitalization package</w:t>
      </w:r>
    </w:p>
    <w:p>
      <w:pPr>
        <w:pStyle w:val="ListParagraph"/>
        <w:numPr>
          <w:ilvl w:val="0"/>
          <w:numId w:val="2"/>
        </w:numPr>
      </w:pPr>
      <w:r>
        <w:t xml:space="preserve">Explore humanitarian logistics vertical</w:t>
      </w:r>
    </w:p>
    <w:p>
      <w:pPr>
        <w:pStyle w:val="Heading2"/>
      </w:pPr>
      <w:r>
        <w:t xml:space="preserve">Sales Channels</w:t>
      </w:r>
    </w:p>
    <w:p>
      <w:pPr>
        <w:pStyle w:val="ListParagraph"/>
        <w:numPr>
          <w:ilvl w:val="0"/>
          <w:numId w:val="5"/>
        </w:numPr>
      </w:pPr>
      <w:r>
        <w:rPr>
          <w:b/>
          <w:bCs/>
        </w:rPr>
        <w:t xml:space="preserve">Direct Sales (60%): </w:t>
      </w:r>
      <w:r>
        <w:t xml:space="preserve">Enterprise sales team targeting ministries and defense agencies</w:t>
      </w:r>
    </w:p>
    <w:p>
      <w:pPr>
        <w:pStyle w:val="ListParagraph"/>
        <w:numPr>
          <w:ilvl w:val="0"/>
          <w:numId w:val="5"/>
        </w:numPr>
      </w:pPr>
      <w:r>
        <w:rPr>
          <w:b/>
          <w:bCs/>
        </w:rPr>
        <w:t xml:space="preserve">Partner Channel (30%): </w:t>
      </w:r>
      <w:r>
        <w:t xml:space="preserve">System integrators, defense consultants, NATO programs</w:t>
      </w:r>
    </w:p>
    <w:p>
      <w:pPr>
        <w:pStyle w:val="ListParagraph"/>
        <w:numPr>
          <w:ilvl w:val="0"/>
          <w:numId w:val="5"/>
        </w:numPr>
      </w:pPr>
      <w:r>
        <w:rPr>
          <w:b/>
          <w:bCs/>
        </w:rPr>
        <w:t xml:space="preserve">Inbound/RFP (10%): </w:t>
      </w:r>
      <w:r>
        <w:t xml:space="preserve">Government procurement portals, tender responses</w:t>
      </w:r>
    </w:p>
    <w:p>
      <w:pPr>
        <w:pStyle w:val="Heading1"/>
      </w:pPr>
      <w:r>
        <w:t xml:space="preserve">8. Team &amp; Operations</w:t>
      </w:r>
    </w:p>
    <w:p>
      <w:pPr>
        <w:pStyle w:val="Heading2"/>
      </w:pPr>
      <w:r>
        <w:t xml:space="preserve">Core Team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Role</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Year 1</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Year 3</w:t>
            </w:r>
          </w:p>
        </w:tc>
      </w:tr>
      <w:tr>
        <w:tc>
          <w:tcPr>
            <w:tcBorders>
              <w:top w:val="single" w:color="CCCCCC" w:sz="1"/>
              <w:left w:val="single" w:color="CCCCCC" w:sz="1"/>
              <w:bottom w:val="single" w:color="CCCCCC" w:sz="1"/>
              <w:right w:val="single" w:color="CCCCCC" w:sz="1"/>
            </w:tcBorders>
          </w:tcPr>
          <w:p>
            <w:r>
              <w:t xml:space="preserve">Leadership (CEO, CTO, CISO)</w:t>
            </w:r>
          </w:p>
        </w:tc>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4</w:t>
            </w:r>
          </w:p>
        </w:tc>
      </w:tr>
      <w:tr>
        <w:tc>
          <w:tcPr>
            <w:tcBorders>
              <w:top w:val="single" w:color="CCCCCC" w:sz="1"/>
              <w:left w:val="single" w:color="CCCCCC" w:sz="1"/>
              <w:bottom w:val="single" w:color="CCCCCC" w:sz="1"/>
              <w:right w:val="single" w:color="CCCCCC" w:sz="1"/>
            </w:tcBorders>
            <w:shd w:fill="F5F7FA" w:val="clear"/>
          </w:tcPr>
          <w:p>
            <w:r>
              <w:t xml:space="preserve">Engineering &amp; Product</w:t>
            </w:r>
          </w:p>
        </w:tc>
        <w:tc>
          <w:tcPr>
            <w:tcBorders>
              <w:top w:val="single" w:color="CCCCCC" w:sz="1"/>
              <w:left w:val="single" w:color="CCCCCC" w:sz="1"/>
              <w:bottom w:val="single" w:color="CCCCCC" w:sz="1"/>
              <w:right w:val="single" w:color="CCCCCC" w:sz="1"/>
            </w:tcBorders>
            <w:shd w:fill="F5F7FA" w:val="clear"/>
          </w:tcPr>
          <w:p>
            <w:r>
              <w:t xml:space="preserve">5</w:t>
            </w:r>
          </w:p>
        </w:tc>
        <w:tc>
          <w:tcPr>
            <w:tcBorders>
              <w:top w:val="single" w:color="CCCCCC" w:sz="1"/>
              <w:left w:val="single" w:color="CCCCCC" w:sz="1"/>
              <w:bottom w:val="single" w:color="CCCCCC" w:sz="1"/>
              <w:right w:val="single" w:color="CCCCCC" w:sz="1"/>
            </w:tcBorders>
            <w:shd w:fill="F5F7FA" w:val="clear"/>
          </w:tcPr>
          <w:p>
            <w:r>
              <w:t xml:space="preserve">15</w:t>
            </w:r>
          </w:p>
        </w:tc>
      </w:tr>
      <w:tr>
        <w:tc>
          <w:tcPr>
            <w:tcBorders>
              <w:top w:val="single" w:color="CCCCCC" w:sz="1"/>
              <w:left w:val="single" w:color="CCCCCC" w:sz="1"/>
              <w:bottom w:val="single" w:color="CCCCCC" w:sz="1"/>
              <w:right w:val="single" w:color="CCCCCC" w:sz="1"/>
            </w:tcBorders>
          </w:tcPr>
          <w:p>
            <w:r>
              <w:t xml:space="preserve">Security &amp; Compliance</w:t>
            </w:r>
          </w:p>
        </w:tc>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5</w:t>
            </w:r>
          </w:p>
        </w:tc>
      </w:tr>
      <w:tr>
        <w:tc>
          <w:tcPr>
            <w:tcBorders>
              <w:top w:val="single" w:color="CCCCCC" w:sz="1"/>
              <w:left w:val="single" w:color="CCCCCC" w:sz="1"/>
              <w:bottom w:val="single" w:color="CCCCCC" w:sz="1"/>
              <w:right w:val="single" w:color="CCCCCC" w:sz="1"/>
            </w:tcBorders>
            <w:shd w:fill="F5F7FA" w:val="clear"/>
          </w:tcPr>
          <w:p>
            <w:r>
              <w:t xml:space="preserve">Sales &amp; Business Development</w:t>
            </w:r>
          </w:p>
        </w:tc>
        <w:tc>
          <w:tcPr>
            <w:tcBorders>
              <w:top w:val="single" w:color="CCCCCC" w:sz="1"/>
              <w:left w:val="single" w:color="CCCCCC" w:sz="1"/>
              <w:bottom w:val="single" w:color="CCCCCC" w:sz="1"/>
              <w:right w:val="single" w:color="CCCCCC" w:sz="1"/>
            </w:tcBorders>
            <w:shd w:fill="F5F7FA" w:val="clear"/>
          </w:tcPr>
          <w:p>
            <w:r>
              <w:t xml:space="preserve">2</w:t>
            </w:r>
          </w:p>
        </w:tc>
        <w:tc>
          <w:tcPr>
            <w:tcBorders>
              <w:top w:val="single" w:color="CCCCCC" w:sz="1"/>
              <w:left w:val="single" w:color="CCCCCC" w:sz="1"/>
              <w:bottom w:val="single" w:color="CCCCCC" w:sz="1"/>
              <w:right w:val="single" w:color="CCCCCC" w:sz="1"/>
            </w:tcBorders>
            <w:shd w:fill="F5F7FA" w:val="clear"/>
          </w:tcPr>
          <w:p>
            <w:r>
              <w:t xml:space="preserve">8</w:t>
            </w:r>
          </w:p>
        </w:tc>
      </w:tr>
      <w:tr>
        <w:tc>
          <w:tcPr>
            <w:tcBorders>
              <w:top w:val="single" w:color="CCCCCC" w:sz="1"/>
              <w:left w:val="single" w:color="CCCCCC" w:sz="1"/>
              <w:bottom w:val="single" w:color="CCCCCC" w:sz="1"/>
              <w:right w:val="single" w:color="CCCCCC" w:sz="1"/>
            </w:tcBorders>
          </w:tcPr>
          <w:p>
            <w:r>
              <w:t xml:space="preserve">Customer Success &amp; Training</w:t>
            </w:r>
          </w:p>
        </w:tc>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6</w:t>
            </w:r>
          </w:p>
        </w:tc>
      </w:tr>
      <w:tr>
        <w:tc>
          <w:tcPr>
            <w:tcBorders>
              <w:top w:val="single" w:color="CCCCCC" w:sz="1"/>
              <w:left w:val="single" w:color="CCCCCC" w:sz="1"/>
              <w:bottom w:val="single" w:color="CCCCCC" w:sz="1"/>
              <w:right w:val="single" w:color="CCCCCC" w:sz="1"/>
            </w:tcBorders>
            <w:shd w:fill="F5F7FA" w:val="clear"/>
          </w:tcPr>
          <w:p>
            <w:r>
              <w:rPr>
                <w:b/>
                <w:bCs/>
              </w:rPr>
              <w:t xml:space="preserve">Total Headcount</w:t>
            </w:r>
          </w:p>
        </w:tc>
        <w:tc>
          <w:tcPr>
            <w:tcBorders>
              <w:top w:val="single" w:color="CCCCCC" w:sz="1"/>
              <w:left w:val="single" w:color="CCCCCC" w:sz="1"/>
              <w:bottom w:val="single" w:color="CCCCCC" w:sz="1"/>
              <w:right w:val="single" w:color="CCCCCC" w:sz="1"/>
            </w:tcBorders>
            <w:shd w:fill="F5F7FA" w:val="clear"/>
          </w:tcPr>
          <w:p>
            <w:r>
              <w:rPr>
                <w:b/>
                <w:bCs/>
              </w:rPr>
              <w:t xml:space="preserve">13</w:t>
            </w:r>
          </w:p>
        </w:tc>
        <w:tc>
          <w:tcPr>
            <w:tcBorders>
              <w:top w:val="single" w:color="CCCCCC" w:sz="1"/>
              <w:left w:val="single" w:color="CCCCCC" w:sz="1"/>
              <w:bottom w:val="single" w:color="CCCCCC" w:sz="1"/>
              <w:right w:val="single" w:color="CCCCCC" w:sz="1"/>
            </w:tcBorders>
            <w:shd w:fill="F5F7FA" w:val="clear"/>
          </w:tcPr>
          <w:p>
            <w:r>
              <w:rPr>
                <w:b/>
                <w:bCs/>
              </w:rPr>
              <w:t xml:space="preserve">38</w:t>
            </w:r>
          </w:p>
        </w:tc>
      </w:tr>
    </w:tbl>
    <w:p>
      <w:r>
        <w:br w:type="page"/>
      </w:r>
    </w:p>
    <w:p>
      <w:pPr>
        <w:pStyle w:val="Heading1"/>
      </w:pPr>
      <w:r>
        <w:t xml:space="preserve">9. Product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Timeline</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Deliverables</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Milestones</w:t>
            </w:r>
          </w:p>
        </w:tc>
      </w:tr>
      <w:tr>
        <w:tc>
          <w:tcPr>
            <w:tcBorders>
              <w:top w:val="single" w:color="CCCCCC" w:sz="1"/>
              <w:left w:val="single" w:color="CCCCCC" w:sz="1"/>
              <w:bottom w:val="single" w:color="CCCCCC" w:sz="1"/>
              <w:right w:val="single" w:color="CCCCCC" w:sz="1"/>
            </w:tcBorders>
          </w:tcPr>
          <w:p>
            <w:r>
              <w:rPr>
                <w:b/>
                <w:bCs/>
              </w:rPr>
              <w:t xml:space="preserve">Q1 2025</w:t>
            </w:r>
          </w:p>
        </w:tc>
        <w:tc>
          <w:tcPr>
            <w:tcBorders>
              <w:top w:val="single" w:color="CCCCCC" w:sz="1"/>
              <w:left w:val="single" w:color="CCCCCC" w:sz="1"/>
              <w:bottom w:val="single" w:color="CCCCCC" w:sz="1"/>
              <w:right w:val="single" w:color="CCCCCC" w:sz="1"/>
            </w:tcBorders>
          </w:tcPr>
          <w:p>
            <w:r>
              <w:t xml:space="preserve">Governance Portal MVP, Security Framework</w:t>
            </w:r>
          </w:p>
        </w:tc>
        <w:tc>
          <w:tcPr>
            <w:tcBorders>
              <w:top w:val="single" w:color="CCCCCC" w:sz="1"/>
              <w:left w:val="single" w:color="CCCCCC" w:sz="1"/>
              <w:bottom w:val="single" w:color="CCCCCC" w:sz="1"/>
              <w:right w:val="single" w:color="CCCCCC" w:sz="1"/>
            </w:tcBorders>
          </w:tcPr>
          <w:p>
            <w:r>
              <w:t xml:space="preserve">First pilot deployment</w:t>
            </w:r>
          </w:p>
        </w:tc>
      </w:tr>
      <w:tr>
        <w:tc>
          <w:tcPr>
            <w:tcBorders>
              <w:top w:val="single" w:color="CCCCCC" w:sz="1"/>
              <w:left w:val="single" w:color="CCCCCC" w:sz="1"/>
              <w:bottom w:val="single" w:color="CCCCCC" w:sz="1"/>
              <w:right w:val="single" w:color="CCCCCC" w:sz="1"/>
            </w:tcBorders>
            <w:shd w:fill="F5F7FA" w:val="clear"/>
          </w:tcPr>
          <w:p>
            <w:r>
              <w:rPr>
                <w:b/>
                <w:bCs/>
              </w:rPr>
              <w:t xml:space="preserve">Q2 2025</w:t>
            </w:r>
          </w:p>
        </w:tc>
        <w:tc>
          <w:tcPr>
            <w:tcBorders>
              <w:top w:val="single" w:color="CCCCCC" w:sz="1"/>
              <w:left w:val="single" w:color="CCCCCC" w:sz="1"/>
              <w:bottom w:val="single" w:color="CCCCCC" w:sz="1"/>
              <w:right w:val="single" w:color="CCCCCC" w:sz="1"/>
            </w:tcBorders>
            <w:shd w:fill="F5F7FA" w:val="clear"/>
          </w:tcPr>
          <w:p>
            <w:r>
              <w:t xml:space="preserve">Compliance Engine, Academy v1</w:t>
            </w:r>
          </w:p>
        </w:tc>
        <w:tc>
          <w:tcPr>
            <w:tcBorders>
              <w:top w:val="single" w:color="CCCCCC" w:sz="1"/>
              <w:left w:val="single" w:color="CCCCCC" w:sz="1"/>
              <w:bottom w:val="single" w:color="CCCCCC" w:sz="1"/>
              <w:right w:val="single" w:color="CCCCCC" w:sz="1"/>
            </w:tcBorders>
            <w:shd w:fill="F5F7FA" w:val="clear"/>
          </w:tcPr>
          <w:p>
            <w:r>
              <w:t xml:space="preserve">NATO compliance certification</w:t>
            </w:r>
          </w:p>
        </w:tc>
      </w:tr>
      <w:tr>
        <w:tc>
          <w:tcPr>
            <w:tcBorders>
              <w:top w:val="single" w:color="CCCCCC" w:sz="1"/>
              <w:left w:val="single" w:color="CCCCCC" w:sz="1"/>
              <w:bottom w:val="single" w:color="CCCCCC" w:sz="1"/>
              <w:right w:val="single" w:color="CCCCCC" w:sz="1"/>
            </w:tcBorders>
          </w:tcPr>
          <w:p>
            <w:r>
              <w:rPr>
                <w:b/>
                <w:bCs/>
              </w:rPr>
              <w:t xml:space="preserve">Q3-Q4 2025</w:t>
            </w:r>
          </w:p>
        </w:tc>
        <w:tc>
          <w:tcPr>
            <w:tcBorders>
              <w:top w:val="single" w:color="CCCCCC" w:sz="1"/>
              <w:left w:val="single" w:color="CCCCCC" w:sz="1"/>
              <w:bottom w:val="single" w:color="CCCCCC" w:sz="1"/>
              <w:right w:val="single" w:color="CCCCCC" w:sz="1"/>
            </w:tcBorders>
          </w:tcPr>
          <w:p>
            <w:r>
              <w:t xml:space="preserve">Procurement module, Ethical AI layer</w:t>
            </w:r>
          </w:p>
        </w:tc>
        <w:tc>
          <w:tcPr>
            <w:tcBorders>
              <w:top w:val="single" w:color="CCCCCC" w:sz="1"/>
              <w:left w:val="single" w:color="CCCCCC" w:sz="1"/>
              <w:bottom w:val="single" w:color="CCCCCC" w:sz="1"/>
              <w:right w:val="single" w:color="CCCCCC" w:sz="1"/>
            </w:tcBorders>
          </w:tcPr>
          <w:p>
            <w:r>
              <w:t xml:space="preserve">3 paying customers</w:t>
            </w:r>
          </w:p>
        </w:tc>
      </w:tr>
      <w:tr>
        <w:tc>
          <w:tcPr>
            <w:tcBorders>
              <w:top w:val="single" w:color="CCCCCC" w:sz="1"/>
              <w:left w:val="single" w:color="CCCCCC" w:sz="1"/>
              <w:bottom w:val="single" w:color="CCCCCC" w:sz="1"/>
              <w:right w:val="single" w:color="CCCCCC" w:sz="1"/>
            </w:tcBorders>
            <w:shd w:fill="F5F7FA" w:val="clear"/>
          </w:tcPr>
          <w:p>
            <w:r>
              <w:rPr>
                <w:b/>
                <w:bCs/>
              </w:rPr>
              <w:t xml:space="preserve">2026</w:t>
            </w:r>
          </w:p>
        </w:tc>
        <w:tc>
          <w:tcPr>
            <w:tcBorders>
              <w:top w:val="single" w:color="CCCCCC" w:sz="1"/>
              <w:left w:val="single" w:color="CCCCCC" w:sz="1"/>
              <w:bottom w:val="single" w:color="CCCCCC" w:sz="1"/>
              <w:right w:val="single" w:color="CCCCCC" w:sz="1"/>
            </w:tcBorders>
            <w:shd w:fill="F5F7FA" w:val="clear"/>
          </w:tcPr>
          <w:p>
            <w:r>
              <w:t xml:space="preserve">Simulation Engine, Finance module, Multi-Agent AI</w:t>
            </w:r>
          </w:p>
        </w:tc>
        <w:tc>
          <w:tcPr>
            <w:tcBorders>
              <w:top w:val="single" w:color="CCCCCC" w:sz="1"/>
              <w:left w:val="single" w:color="CCCCCC" w:sz="1"/>
              <w:bottom w:val="single" w:color="CCCCCC" w:sz="1"/>
              <w:right w:val="single" w:color="CCCCCC" w:sz="1"/>
            </w:tcBorders>
            <w:shd w:fill="F5F7FA" w:val="clear"/>
          </w:tcPr>
          <w:p>
            <w:r>
              <w:t xml:space="preserve">International expansion (NATO partners)</w:t>
            </w:r>
          </w:p>
        </w:tc>
      </w:tr>
      <w:tr>
        <w:tc>
          <w:tcPr>
            <w:tcBorders>
              <w:top w:val="single" w:color="CCCCCC" w:sz="1"/>
              <w:left w:val="single" w:color="CCCCCC" w:sz="1"/>
              <w:bottom w:val="single" w:color="CCCCCC" w:sz="1"/>
              <w:right w:val="single" w:color="CCCCCC" w:sz="1"/>
            </w:tcBorders>
          </w:tcPr>
          <w:p>
            <w:r>
              <w:rPr>
                <w:b/>
                <w:bCs/>
              </w:rPr>
              <w:t xml:space="preserve">2027</w:t>
            </w:r>
          </w:p>
        </w:tc>
        <w:tc>
          <w:tcPr>
            <w:tcBorders>
              <w:top w:val="single" w:color="CCCCCC" w:sz="1"/>
              <w:left w:val="single" w:color="CCCCCC" w:sz="1"/>
              <w:bottom w:val="single" w:color="CCCCCC" w:sz="1"/>
              <w:right w:val="single" w:color="CCCCCC" w:sz="1"/>
            </w:tcBorders>
          </w:tcPr>
          <w:p>
            <w:r>
              <w:t xml:space="preserve">Advanced analytics, Humanitarian logistics</w:t>
            </w:r>
          </w:p>
        </w:tc>
        <w:tc>
          <w:tcPr>
            <w:tcBorders>
              <w:top w:val="single" w:color="CCCCCC" w:sz="1"/>
              <w:left w:val="single" w:color="CCCCCC" w:sz="1"/>
              <w:bottom w:val="single" w:color="CCCCCC" w:sz="1"/>
              <w:right w:val="single" w:color="CCCCCC" w:sz="1"/>
            </w:tcBorders>
          </w:tcPr>
          <w:p>
            <w:r>
              <w:t xml:space="preserve">10+ deployments, $2.5M+ ARR</w:t>
            </w:r>
          </w:p>
        </w:tc>
      </w:tr>
    </w:tbl>
    <w:p>
      <w:pPr>
        <w:pStyle w:val="Heading1"/>
      </w:pPr>
      <w:r>
        <w:t xml:space="preserve">10. Risk Analysis &amp;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Risk</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Severity</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Probability</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Mitigation</w:t>
            </w:r>
          </w:p>
        </w:tc>
      </w:tr>
      <w:tr>
        <w:tc>
          <w:tcPr>
            <w:tcBorders>
              <w:top w:val="single" w:color="CCCCCC" w:sz="1"/>
              <w:left w:val="single" w:color="CCCCCC" w:sz="1"/>
              <w:bottom w:val="single" w:color="CCCCCC" w:sz="1"/>
              <w:right w:val="single" w:color="CCCCCC" w:sz="1"/>
            </w:tcBorders>
          </w:tcPr>
          <w:p>
            <w:r>
              <w:t xml:space="preserve">Political instability</w:t>
            </w:r>
          </w:p>
        </w:tc>
        <w:tc>
          <w:tcPr>
            <w:tcBorders>
              <w:top w:val="single" w:color="CCCCCC" w:sz="1"/>
              <w:left w:val="single" w:color="CCCCCC" w:sz="1"/>
              <w:bottom w:val="single" w:color="CCCCCC" w:sz="1"/>
              <w:right w:val="single" w:color="CCCCCC" w:sz="1"/>
            </w:tcBorders>
          </w:tcPr>
          <w:p>
            <w:r>
              <w:t xml:space="preserve">High</w:t>
            </w:r>
          </w:p>
        </w:tc>
        <w:tc>
          <w:tcPr>
            <w:tcBorders>
              <w:top w:val="single" w:color="CCCCCC" w:sz="1"/>
              <w:left w:val="single" w:color="CCCCCC" w:sz="1"/>
              <w:bottom w:val="single" w:color="CCCCCC" w:sz="1"/>
              <w:right w:val="single" w:color="CCCCCC" w:sz="1"/>
            </w:tcBorders>
          </w:tcPr>
          <w:p>
            <w:r>
              <w:t xml:space="preserve">Medium</w:t>
            </w:r>
          </w:p>
        </w:tc>
        <w:tc>
          <w:tcPr>
            <w:tcBorders>
              <w:top w:val="single" w:color="CCCCCC" w:sz="1"/>
              <w:left w:val="single" w:color="CCCCCC" w:sz="1"/>
              <w:bottom w:val="single" w:color="CCCCCC" w:sz="1"/>
              <w:right w:val="single" w:color="CCCCCC" w:sz="1"/>
            </w:tcBorders>
          </w:tcPr>
          <w:p>
            <w:r>
              <w:t xml:space="preserve">Geographic diversification</w:t>
            </w:r>
          </w:p>
        </w:tc>
      </w:tr>
      <w:tr>
        <w:tc>
          <w:tcPr>
            <w:tcBorders>
              <w:top w:val="single" w:color="CCCCCC" w:sz="1"/>
              <w:left w:val="single" w:color="CCCCCC" w:sz="1"/>
              <w:bottom w:val="single" w:color="CCCCCC" w:sz="1"/>
              <w:right w:val="single" w:color="CCCCCC" w:sz="1"/>
            </w:tcBorders>
            <w:shd w:fill="F5F7FA" w:val="clear"/>
          </w:tcPr>
          <w:p>
            <w:r>
              <w:t xml:space="preserve">Regulatory changes</w:t>
            </w:r>
          </w:p>
        </w:tc>
        <w:tc>
          <w:tcPr>
            <w:tcBorders>
              <w:top w:val="single" w:color="CCCCCC" w:sz="1"/>
              <w:left w:val="single" w:color="CCCCCC" w:sz="1"/>
              <w:bottom w:val="single" w:color="CCCCCC" w:sz="1"/>
              <w:right w:val="single" w:color="CCCCCC" w:sz="1"/>
            </w:tcBorders>
            <w:shd w:fill="F5F7FA" w:val="clear"/>
          </w:tcPr>
          <w:p>
            <w:r>
              <w:t xml:space="preserve">Medium</w:t>
            </w:r>
          </w:p>
        </w:tc>
        <w:tc>
          <w:tcPr>
            <w:tcBorders>
              <w:top w:val="single" w:color="CCCCCC" w:sz="1"/>
              <w:left w:val="single" w:color="CCCCCC" w:sz="1"/>
              <w:bottom w:val="single" w:color="CCCCCC" w:sz="1"/>
              <w:right w:val="single" w:color="CCCCCC" w:sz="1"/>
            </w:tcBorders>
            <w:shd w:fill="F5F7FA" w:val="clear"/>
          </w:tcPr>
          <w:p>
            <w:r>
              <w:t xml:space="preserve">Medium</w:t>
            </w:r>
          </w:p>
        </w:tc>
        <w:tc>
          <w:tcPr>
            <w:tcBorders>
              <w:top w:val="single" w:color="CCCCCC" w:sz="1"/>
              <w:left w:val="single" w:color="CCCCCC" w:sz="1"/>
              <w:bottom w:val="single" w:color="CCCCCC" w:sz="1"/>
              <w:right w:val="single" w:color="CCCCCC" w:sz="1"/>
            </w:tcBorders>
            <w:shd w:fill="F5F7FA" w:val="clear"/>
          </w:tcPr>
          <w:p>
            <w:r>
              <w:t xml:space="preserve">Proactive compliance monitoring</w:t>
            </w:r>
          </w:p>
        </w:tc>
      </w:tr>
      <w:tr>
        <w:tc>
          <w:tcPr>
            <w:tcBorders>
              <w:top w:val="single" w:color="CCCCCC" w:sz="1"/>
              <w:left w:val="single" w:color="CCCCCC" w:sz="1"/>
              <w:bottom w:val="single" w:color="CCCCCC" w:sz="1"/>
              <w:right w:val="single" w:color="CCCCCC" w:sz="1"/>
            </w:tcBorders>
          </w:tcPr>
          <w:p>
            <w:r>
              <w:t xml:space="preserve">Cybersecurity breach</w:t>
            </w:r>
          </w:p>
        </w:tc>
        <w:tc>
          <w:tcPr>
            <w:tcBorders>
              <w:top w:val="single" w:color="CCCCCC" w:sz="1"/>
              <w:left w:val="single" w:color="CCCCCC" w:sz="1"/>
              <w:bottom w:val="single" w:color="CCCCCC" w:sz="1"/>
              <w:right w:val="single" w:color="CCCCCC" w:sz="1"/>
            </w:tcBorders>
          </w:tcPr>
          <w:p>
            <w:r>
              <w:t xml:space="preserve">Critical</w:t>
            </w:r>
          </w:p>
        </w:tc>
        <w:tc>
          <w:tcPr>
            <w:tcBorders>
              <w:top w:val="single" w:color="CCCCCC" w:sz="1"/>
              <w:left w:val="single" w:color="CCCCCC" w:sz="1"/>
              <w:bottom w:val="single" w:color="CCCCCC" w:sz="1"/>
              <w:right w:val="single" w:color="CCCCCC" w:sz="1"/>
            </w:tcBorders>
          </w:tcPr>
          <w:p>
            <w:r>
              <w:t xml:space="preserve">Low</w:t>
            </w:r>
          </w:p>
        </w:tc>
        <w:tc>
          <w:tcPr>
            <w:tcBorders>
              <w:top w:val="single" w:color="CCCCCC" w:sz="1"/>
              <w:left w:val="single" w:color="CCCCCC" w:sz="1"/>
              <w:bottom w:val="single" w:color="CCCCCC" w:sz="1"/>
              <w:right w:val="single" w:color="CCCCCC" w:sz="1"/>
            </w:tcBorders>
          </w:tcPr>
          <w:p>
            <w:r>
              <w:t xml:space="preserve">8-layer security, continuous testing</w:t>
            </w:r>
          </w:p>
        </w:tc>
      </w:tr>
      <w:tr>
        <w:tc>
          <w:tcPr>
            <w:tcBorders>
              <w:top w:val="single" w:color="CCCCCC" w:sz="1"/>
              <w:left w:val="single" w:color="CCCCCC" w:sz="1"/>
              <w:bottom w:val="single" w:color="CCCCCC" w:sz="1"/>
              <w:right w:val="single" w:color="CCCCCC" w:sz="1"/>
            </w:tcBorders>
            <w:shd w:fill="F5F7FA" w:val="clear"/>
          </w:tcPr>
          <w:p>
            <w:r>
              <w:t xml:space="preserve">Slow sales cycles</w:t>
            </w:r>
          </w:p>
        </w:tc>
        <w:tc>
          <w:tcPr>
            <w:tcBorders>
              <w:top w:val="single" w:color="CCCCCC" w:sz="1"/>
              <w:left w:val="single" w:color="CCCCCC" w:sz="1"/>
              <w:bottom w:val="single" w:color="CCCCCC" w:sz="1"/>
              <w:right w:val="single" w:color="CCCCCC" w:sz="1"/>
            </w:tcBorders>
            <w:shd w:fill="F5F7FA" w:val="clear"/>
          </w:tcPr>
          <w:p>
            <w:r>
              <w:t xml:space="preserve">High</w:t>
            </w:r>
          </w:p>
        </w:tc>
        <w:tc>
          <w:tcPr>
            <w:tcBorders>
              <w:top w:val="single" w:color="CCCCCC" w:sz="1"/>
              <w:left w:val="single" w:color="CCCCCC" w:sz="1"/>
              <w:bottom w:val="single" w:color="CCCCCC" w:sz="1"/>
              <w:right w:val="single" w:color="CCCCCC" w:sz="1"/>
            </w:tcBorders>
            <w:shd w:fill="F5F7FA" w:val="clear"/>
          </w:tcPr>
          <w:p>
            <w:r>
              <w:t xml:space="preserve">High</w:t>
            </w:r>
          </w:p>
        </w:tc>
        <w:tc>
          <w:tcPr>
            <w:tcBorders>
              <w:top w:val="single" w:color="CCCCCC" w:sz="1"/>
              <w:left w:val="single" w:color="CCCCCC" w:sz="1"/>
              <w:bottom w:val="single" w:color="CCCCCC" w:sz="1"/>
              <w:right w:val="single" w:color="CCCCCC" w:sz="1"/>
            </w:tcBorders>
            <w:shd w:fill="F5F7FA" w:val="clear"/>
          </w:tcPr>
          <w:p>
            <w:r>
              <w:t xml:space="preserve">Pilot programs, partner channels</w:t>
            </w:r>
          </w:p>
        </w:tc>
      </w:tr>
      <w:tr>
        <w:tc>
          <w:tcPr>
            <w:tcBorders>
              <w:top w:val="single" w:color="CCCCCC" w:sz="1"/>
              <w:left w:val="single" w:color="CCCCCC" w:sz="1"/>
              <w:bottom w:val="single" w:color="CCCCCC" w:sz="1"/>
              <w:right w:val="single" w:color="CCCCCC" w:sz="1"/>
            </w:tcBorders>
          </w:tcPr>
          <w:p>
            <w:r>
              <w:t xml:space="preserve">Integration challenges</w:t>
            </w:r>
          </w:p>
        </w:tc>
        <w:tc>
          <w:tcPr>
            <w:tcBorders>
              <w:top w:val="single" w:color="CCCCCC" w:sz="1"/>
              <w:left w:val="single" w:color="CCCCCC" w:sz="1"/>
              <w:bottom w:val="single" w:color="CCCCCC" w:sz="1"/>
              <w:right w:val="single" w:color="CCCCCC" w:sz="1"/>
            </w:tcBorders>
          </w:tcPr>
          <w:p>
            <w:r>
              <w:t xml:space="preserve">Medium</w:t>
            </w:r>
          </w:p>
        </w:tc>
        <w:tc>
          <w:tcPr>
            <w:tcBorders>
              <w:top w:val="single" w:color="CCCCCC" w:sz="1"/>
              <w:left w:val="single" w:color="CCCCCC" w:sz="1"/>
              <w:bottom w:val="single" w:color="CCCCCC" w:sz="1"/>
              <w:right w:val="single" w:color="CCCCCC" w:sz="1"/>
            </w:tcBorders>
          </w:tcPr>
          <w:p>
            <w:r>
              <w:t xml:space="preserve">Medium</w:t>
            </w:r>
          </w:p>
        </w:tc>
        <w:tc>
          <w:tcPr>
            <w:tcBorders>
              <w:top w:val="single" w:color="CCCCCC" w:sz="1"/>
              <w:left w:val="single" w:color="CCCCCC" w:sz="1"/>
              <w:bottom w:val="single" w:color="CCCCCC" w:sz="1"/>
              <w:right w:val="single" w:color="CCCCCC" w:sz="1"/>
            </w:tcBorders>
          </w:tcPr>
          <w:p>
            <w:r>
              <w:t xml:space="preserve">Modular architecture, open APIs</w:t>
            </w:r>
          </w:p>
        </w:tc>
      </w:tr>
      <w:tr>
        <w:tc>
          <w:tcPr>
            <w:tcBorders>
              <w:top w:val="single" w:color="CCCCCC" w:sz="1"/>
              <w:left w:val="single" w:color="CCCCCC" w:sz="1"/>
              <w:bottom w:val="single" w:color="CCCCCC" w:sz="1"/>
              <w:right w:val="single" w:color="CCCCCC" w:sz="1"/>
            </w:tcBorders>
            <w:shd w:fill="F5F7FA" w:val="clear"/>
          </w:tcPr>
          <w:p>
            <w:r>
              <w:t xml:space="preserve">Talent acquisition</w:t>
            </w:r>
          </w:p>
        </w:tc>
        <w:tc>
          <w:tcPr>
            <w:tcBorders>
              <w:top w:val="single" w:color="CCCCCC" w:sz="1"/>
              <w:left w:val="single" w:color="CCCCCC" w:sz="1"/>
              <w:bottom w:val="single" w:color="CCCCCC" w:sz="1"/>
              <w:right w:val="single" w:color="CCCCCC" w:sz="1"/>
            </w:tcBorders>
            <w:shd w:fill="F5F7FA" w:val="clear"/>
          </w:tcPr>
          <w:p>
            <w:r>
              <w:t xml:space="preserve">Medium</w:t>
            </w:r>
          </w:p>
        </w:tc>
        <w:tc>
          <w:tcPr>
            <w:tcBorders>
              <w:top w:val="single" w:color="CCCCCC" w:sz="1"/>
              <w:left w:val="single" w:color="CCCCCC" w:sz="1"/>
              <w:bottom w:val="single" w:color="CCCCCC" w:sz="1"/>
              <w:right w:val="single" w:color="CCCCCC" w:sz="1"/>
            </w:tcBorders>
            <w:shd w:fill="F5F7FA" w:val="clear"/>
          </w:tcPr>
          <w:p>
            <w:r>
              <w:t xml:space="preserve">Medium</w:t>
            </w:r>
          </w:p>
        </w:tc>
        <w:tc>
          <w:tcPr>
            <w:tcBorders>
              <w:top w:val="single" w:color="CCCCCC" w:sz="1"/>
              <w:left w:val="single" w:color="CCCCCC" w:sz="1"/>
              <w:bottom w:val="single" w:color="CCCCCC" w:sz="1"/>
              <w:right w:val="single" w:color="CCCCCC" w:sz="1"/>
            </w:tcBorders>
            <w:shd w:fill="F5F7FA" w:val="clear"/>
          </w:tcPr>
          <w:p>
            <w:r>
              <w:t xml:space="preserve">Competitive compensation, remote-first</w:t>
            </w:r>
          </w:p>
        </w:tc>
      </w:tr>
    </w:tbl>
    <w:p>
      <w:pPr>
        <w:pStyle w:val="Heading1"/>
      </w:pPr>
      <w:r>
        <w:t xml:space="preserve">11. Ethics &amp; Governance Framework</w:t>
      </w:r>
    </w:p>
    <w:p>
      <w:pPr>
        <w:spacing w:after="200"/>
      </w:pPr>
      <w:r>
        <w:t xml:space="preserve">IVYAR is built on a foundation of ethical principles that guide all platform decisions, AI implementations, and business operations.</w:t>
      </w:r>
    </w:p>
    <w:p>
      <w:pPr>
        <w:pStyle w:val="Heading2"/>
      </w:pPr>
      <w:r>
        <w:t xml:space="preserve">Core Principles</w:t>
      </w:r>
    </w:p>
    <w:p>
      <w:pPr>
        <w:pStyle w:val="ListParagraph"/>
        <w:numPr>
          <w:ilvl w:val="0"/>
          <w:numId w:val="6"/>
        </w:numPr>
      </w:pPr>
      <w:r>
        <w:rPr>
          <w:b/>
          <w:bCs/>
        </w:rPr>
        <w:t xml:space="preserve">Transparency: </w:t>
      </w:r>
      <w:r>
        <w:t xml:space="preserve">All decisions are traceable and auditable</w:t>
      </w:r>
    </w:p>
    <w:p>
      <w:pPr>
        <w:pStyle w:val="ListParagraph"/>
        <w:numPr>
          <w:ilvl w:val="0"/>
          <w:numId w:val="6"/>
        </w:numPr>
      </w:pPr>
      <w:r>
        <w:rPr>
          <w:b/>
          <w:bCs/>
        </w:rPr>
        <w:t xml:space="preserve">Human Oversight: </w:t>
      </w:r>
      <w:r>
        <w:t xml:space="preserve">AI recommendations require human approval</w:t>
      </w:r>
    </w:p>
    <w:p>
      <w:pPr>
        <w:pStyle w:val="ListParagraph"/>
        <w:numPr>
          <w:ilvl w:val="0"/>
          <w:numId w:val="6"/>
        </w:numPr>
      </w:pPr>
      <w:r>
        <w:rPr>
          <w:b/>
          <w:bCs/>
        </w:rPr>
        <w:t xml:space="preserve">Bias Detection: </w:t>
      </w:r>
      <w:r>
        <w:t xml:space="preserve">Continuous monitoring for algorithmic bias</w:t>
      </w:r>
    </w:p>
    <w:p>
      <w:pPr>
        <w:pStyle w:val="ListParagraph"/>
        <w:numPr>
          <w:ilvl w:val="0"/>
          <w:numId w:val="6"/>
        </w:numPr>
      </w:pPr>
      <w:r>
        <w:rPr>
          <w:b/>
          <w:bCs/>
        </w:rPr>
        <w:t xml:space="preserve">Explainability: </w:t>
      </w:r>
      <w:r>
        <w:t xml:space="preserve">AI decisions include clear reasoning</w:t>
      </w:r>
    </w:p>
    <w:p>
      <w:pPr>
        <w:pStyle w:val="ListParagraph"/>
        <w:numPr>
          <w:ilvl w:val="0"/>
          <w:numId w:val="6"/>
        </w:numPr>
      </w:pPr>
      <w:r>
        <w:rPr>
          <w:b/>
          <w:bCs/>
        </w:rPr>
        <w:t xml:space="preserve">Accountability: </w:t>
      </w:r>
      <w:r>
        <w:t xml:space="preserve">Clear responsibility chains for all actions</w:t>
      </w:r>
    </w:p>
    <w:p>
      <w:pPr>
        <w:pStyle w:val="Heading2"/>
      </w:pPr>
      <w:r>
        <w:t xml:space="preserve">Compliance Standards</w:t>
      </w:r>
    </w:p>
    <w:p>
      <w:pPr>
        <w:pStyle w:val="ListParagraph"/>
        <w:numPr>
          <w:ilvl w:val="0"/>
          <w:numId w:val="2"/>
        </w:numPr>
      </w:pPr>
      <w:r>
        <w:t xml:space="preserve">EU AI Act compliance</w:t>
      </w:r>
    </w:p>
    <w:p>
      <w:pPr>
        <w:pStyle w:val="ListParagraph"/>
        <w:numPr>
          <w:ilvl w:val="0"/>
          <w:numId w:val="2"/>
        </w:numPr>
      </w:pPr>
      <w:r>
        <w:t xml:space="preserve">OECD AI Principles</w:t>
      </w:r>
    </w:p>
    <w:p>
      <w:pPr>
        <w:pStyle w:val="ListParagraph"/>
        <w:numPr>
          <w:ilvl w:val="0"/>
          <w:numId w:val="2"/>
        </w:numPr>
      </w:pPr>
      <w:r>
        <w:t xml:space="preserve">NATO AI Strategy alignment</w:t>
      </w:r>
    </w:p>
    <w:p>
      <w:pPr>
        <w:pStyle w:val="ListParagraph"/>
        <w:numPr>
          <w:ilvl w:val="0"/>
          <w:numId w:val="2"/>
        </w:numPr>
      </w:pPr>
      <w:r>
        <w:t xml:space="preserve">DoD Responsible AI guidelines</w:t>
      </w:r>
    </w:p>
    <w:p>
      <w:r>
        <w:br w:type="page"/>
      </w:r>
    </w:p>
    <w:p>
      <w:pPr>
        <w:pStyle w:val="Heading1"/>
      </w:pPr>
      <w:r>
        <w:t xml:space="preserve">12. Investment Opportunity</w:t>
      </w:r>
    </w:p>
    <w:p>
      <w:pPr>
        <w:pStyle w:val="Heading2"/>
      </w:pPr>
      <w:r>
        <w:t xml:space="preserve">Funding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Round</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Amount</w:t>
            </w:r>
          </w:p>
        </w:tc>
        <w:tc>
          <w:tcPr>
            <w:tcBorders>
              <w:top w:val="single" w:color="CCCCCC" w:sz="1"/>
              <w:left w:val="single" w:color="CCCCCC" w:sz="1"/>
              <w:bottom w:val="single" w:color="CCCCCC" w:sz="1"/>
              <w:right w:val="single" w:color="CCCCCC" w:sz="1"/>
            </w:tcBorders>
            <w:shd w:fill="1B365D" w:val="clear"/>
          </w:tcPr>
          <w:p>
            <w:pPr>
              <w:jc w:val="center"/>
            </w:pPr>
            <w:r>
              <w:rPr>
                <w:b/>
                <w:bCs/>
                <w:color w:val="FFFFFF"/>
              </w:rPr>
              <w:t xml:space="preserve">Use of Funds</w:t>
            </w:r>
          </w:p>
        </w:tc>
      </w:tr>
      <w:tr>
        <w:tc>
          <w:tcPr>
            <w:tcBorders>
              <w:top w:val="single" w:color="CCCCCC" w:sz="1"/>
              <w:left w:val="single" w:color="CCCCCC" w:sz="1"/>
              <w:bottom w:val="single" w:color="CCCCCC" w:sz="1"/>
              <w:right w:val="single" w:color="CCCCCC" w:sz="1"/>
            </w:tcBorders>
          </w:tcPr>
          <w:p>
            <w:r>
              <w:t xml:space="preserve">Seed (Current)</w:t>
            </w:r>
          </w:p>
        </w:tc>
        <w:tc>
          <w:tcPr>
            <w:tcBorders>
              <w:top w:val="single" w:color="CCCCCC" w:sz="1"/>
              <w:left w:val="single" w:color="CCCCCC" w:sz="1"/>
              <w:bottom w:val="single" w:color="CCCCCC" w:sz="1"/>
              <w:right w:val="single" w:color="CCCCCC" w:sz="1"/>
            </w:tcBorders>
          </w:tcPr>
          <w:p>
            <w:r>
              <w:t xml:space="preserve">$1.5M - $2.5M</w:t>
            </w:r>
          </w:p>
        </w:tc>
        <w:tc>
          <w:tcPr>
            <w:tcBorders>
              <w:top w:val="single" w:color="CCCCCC" w:sz="1"/>
              <w:left w:val="single" w:color="CCCCCC" w:sz="1"/>
              <w:bottom w:val="single" w:color="CCCCCC" w:sz="1"/>
              <w:right w:val="single" w:color="CCCCCC" w:sz="1"/>
            </w:tcBorders>
          </w:tcPr>
          <w:p>
            <w:r>
              <w:t xml:space="preserve">MVP, team, first pilots</w:t>
            </w:r>
          </w:p>
        </w:tc>
      </w:tr>
      <w:tr>
        <w:tc>
          <w:tcPr>
            <w:tcBorders>
              <w:top w:val="single" w:color="CCCCCC" w:sz="1"/>
              <w:left w:val="single" w:color="CCCCCC" w:sz="1"/>
              <w:bottom w:val="single" w:color="CCCCCC" w:sz="1"/>
              <w:right w:val="single" w:color="CCCCCC" w:sz="1"/>
            </w:tcBorders>
            <w:shd w:fill="F5F7FA" w:val="clear"/>
          </w:tcPr>
          <w:p>
            <w:r>
              <w:t xml:space="preserve">Series A (2026)</w:t>
            </w:r>
          </w:p>
        </w:tc>
        <w:tc>
          <w:tcPr>
            <w:tcBorders>
              <w:top w:val="single" w:color="CCCCCC" w:sz="1"/>
              <w:left w:val="single" w:color="CCCCCC" w:sz="1"/>
              <w:bottom w:val="single" w:color="CCCCCC" w:sz="1"/>
              <w:right w:val="single" w:color="CCCCCC" w:sz="1"/>
            </w:tcBorders>
            <w:shd w:fill="F5F7FA" w:val="clear"/>
          </w:tcPr>
          <w:p>
            <w:r>
              <w:t xml:space="preserve">$5M - $10M</w:t>
            </w:r>
          </w:p>
        </w:tc>
        <w:tc>
          <w:tcPr>
            <w:tcBorders>
              <w:top w:val="single" w:color="CCCCCC" w:sz="1"/>
              <w:left w:val="single" w:color="CCCCCC" w:sz="1"/>
              <w:bottom w:val="single" w:color="CCCCCC" w:sz="1"/>
              <w:right w:val="single" w:color="CCCCCC" w:sz="1"/>
            </w:tcBorders>
            <w:shd w:fill="F5F7FA" w:val="clear"/>
          </w:tcPr>
          <w:p>
            <w:r>
              <w:t xml:space="preserve">Scale team, international expansion</w:t>
            </w:r>
          </w:p>
        </w:tc>
      </w:tr>
    </w:tbl>
    <w:p>
      <w:pPr>
        <w:pStyle w:val="Heading2"/>
      </w:pPr>
      <w:r>
        <w:t xml:space="preserve">Seed Round Allocation</w:t>
      </w:r>
    </w:p>
    <w:p>
      <w:pPr>
        <w:pStyle w:val="ListParagraph"/>
        <w:numPr>
          <w:ilvl w:val="0"/>
          <w:numId w:val="2"/>
        </w:numPr>
      </w:pPr>
      <w:r>
        <w:t xml:space="preserve">Product Development: 45%</w:t>
      </w:r>
    </w:p>
    <w:p>
      <w:pPr>
        <w:pStyle w:val="ListParagraph"/>
        <w:numPr>
          <w:ilvl w:val="0"/>
          <w:numId w:val="2"/>
        </w:numPr>
      </w:pPr>
      <w:r>
        <w:t xml:space="preserve">Sales &amp; Marketing: 25%</w:t>
      </w:r>
    </w:p>
    <w:p>
      <w:pPr>
        <w:pStyle w:val="ListParagraph"/>
        <w:numPr>
          <w:ilvl w:val="0"/>
          <w:numId w:val="2"/>
        </w:numPr>
      </w:pPr>
      <w:r>
        <w:t xml:space="preserve">Security &amp; Compliance: 15%</w:t>
      </w:r>
    </w:p>
    <w:p>
      <w:pPr>
        <w:pStyle w:val="ListParagraph"/>
        <w:numPr>
          <w:ilvl w:val="0"/>
          <w:numId w:val="2"/>
        </w:numPr>
      </w:pPr>
      <w:r>
        <w:t xml:space="preserve">Operations &amp; Legal: 10%</w:t>
      </w:r>
    </w:p>
    <w:p>
      <w:pPr>
        <w:pStyle w:val="ListParagraph"/>
        <w:numPr>
          <w:ilvl w:val="0"/>
          <w:numId w:val="2"/>
        </w:numPr>
      </w:pPr>
      <w:r>
        <w:t xml:space="preserve">Reserve: 5%</w:t>
      </w:r>
    </w:p>
    <w:p>
      <w:pPr>
        <w:pStyle w:val="Heading2"/>
      </w:pPr>
      <w:r>
        <w:t xml:space="preserve">Why Invest in IVYAR</w:t>
      </w:r>
    </w:p>
    <w:p>
      <w:pPr>
        <w:pStyle w:val="ListParagraph"/>
        <w:numPr>
          <w:ilvl w:val="0"/>
          <w:numId w:val="2"/>
        </w:numPr>
      </w:pPr>
      <w:r>
        <w:rPr>
          <w:b/>
          <w:bCs/>
        </w:rPr>
        <w:t xml:space="preserve">Massive Market: </w:t>
      </w:r>
      <w:r>
        <w:t xml:space="preserve">$35B+ TAM in govtech/defense with strong tailwinds</w:t>
      </w:r>
    </w:p>
    <w:p>
      <w:pPr>
        <w:pStyle w:val="ListParagraph"/>
        <w:numPr>
          <w:ilvl w:val="0"/>
          <w:numId w:val="2"/>
        </w:numPr>
      </w:pPr>
      <w:r>
        <w:rPr>
          <w:b/>
          <w:bCs/>
        </w:rPr>
        <w:t xml:space="preserve">Unique Position: </w:t>
      </w:r>
      <w:r>
        <w:t xml:space="preserve">Only integrated governance + ethics + simulation platform</w:t>
      </w:r>
    </w:p>
    <w:p>
      <w:pPr>
        <w:pStyle w:val="ListParagraph"/>
        <w:numPr>
          <w:ilvl w:val="0"/>
          <w:numId w:val="2"/>
        </w:numPr>
      </w:pPr>
      <w:r>
        <w:rPr>
          <w:b/>
          <w:bCs/>
        </w:rPr>
        <w:t xml:space="preserve">Strong Unit Economics: </w:t>
      </w:r>
      <w:r>
        <w:t xml:space="preserve">10:1+ LTV:CAC, 70%+ gross margin</w:t>
      </w:r>
    </w:p>
    <w:p>
      <w:pPr>
        <w:pStyle w:val="ListParagraph"/>
        <w:numPr>
          <w:ilvl w:val="0"/>
          <w:numId w:val="2"/>
        </w:numPr>
      </w:pPr>
      <w:r>
        <w:rPr>
          <w:b/>
          <w:bCs/>
        </w:rPr>
        <w:t xml:space="preserve">Strategic Timing: </w:t>
      </w:r>
      <w:r>
        <w:t xml:space="preserve">Post-2022 defense spending surge and digitalization</w:t>
      </w:r>
    </w:p>
    <w:p>
      <w:pPr>
        <w:pStyle w:val="ListParagraph"/>
        <w:numPr>
          <w:ilvl w:val="0"/>
          <w:numId w:val="2"/>
        </w:numPr>
      </w:pPr>
      <w:r>
        <w:rPr>
          <w:b/>
          <w:bCs/>
        </w:rPr>
        <w:t xml:space="preserve">High Retention: </w:t>
      </w:r>
      <w:r>
        <w:t xml:space="preserve">Government contracts typically 3-5+ years</w:t>
      </w:r>
    </w:p>
    <w:p>
      <w:pPr>
        <w:spacing w:before="600"/>
      </w:pPr>
    </w:p>
    <w:p>
      <w:pPr>
        <w:spacing w:before="400" w:after="200"/>
        <w:jc w:val="center"/>
      </w:pPr>
      <w:r>
        <w:rPr>
          <w:b/>
          <w:bCs/>
          <w:color w:val="1B365D"/>
          <w:sz w:val="28"/>
          <w:szCs w:val="28"/>
        </w:rPr>
        <w:t xml:space="preserve">Ready to Transform Institutional Governance</w:t>
      </w:r>
    </w:p>
    <w:p>
      <w:pPr>
        <w:spacing w:after="400"/>
        <w:jc w:val="center"/>
      </w:pPr>
      <w:r>
        <w:rPr>
          <w:color w:val="666666"/>
          <w:sz w:val="22"/>
          <w:szCs w:val="22"/>
        </w:rPr>
        <w:t xml:space="preserve">Contact: [email] | [website]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IVYAR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B365D"/>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C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7C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2025-12-29T21:44:32.950Z</dcterms:created>
  <dcterms:modified xsi:type="dcterms:W3CDTF">2025-12-29T21:44:32.951Z</dcterms:modified>
</cp:coreProperties>
</file>

<file path=docProps/custom.xml><?xml version="1.0" encoding="utf-8"?>
<Properties xmlns="http://schemas.openxmlformats.org/officeDocument/2006/custom-properties" xmlns:vt="http://schemas.openxmlformats.org/officeDocument/2006/docPropsVTypes"/>
</file>