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365D"/>
          <w:sz w:val="56"/>
          <w:szCs w:val="56"/>
        </w:rPr>
        <w:t xml:space="preserve">IVYAR</w:t>
      </w:r>
    </w:p>
    <w:p>
      <w:pPr>
        <w:spacing w:after="120"/>
        <w:jc w:val="center"/>
      </w:pPr>
      <w:r>
        <w:rPr>
          <w:color w:val="6C757D"/>
          <w:sz w:val="26"/>
          <w:szCs w:val="26"/>
        </w:rPr>
        <w:t xml:space="preserve">Governance, Security &amp; Defense Platform</w:t>
      </w:r>
    </w:p>
    <w:p>
      <w:pPr>
        <w:spacing w:after="240"/>
        <w:jc w:val="center"/>
      </w:pPr>
      <w:r>
        <w:rPr>
          <w:b/>
          <w:bCs/>
          <w:color w:val="C9A227"/>
          <w:sz w:val="28"/>
          <w:szCs w:val="28"/>
        </w:rPr>
        <w:t xml:space="preserve">Executive Summary</w:t>
      </w:r>
    </w:p>
    <w:p>
      <w:pPr>
        <w:pStyle w:val="Heading1"/>
      </w:pPr>
      <w:r>
        <w:t xml:space="preserve">Executive Overview</w:t>
      </w:r>
    </w:p>
    <w:p>
      <w:pPr>
        <w:spacing w:after="120"/>
      </w:pPr>
      <w:r>
        <w:rPr>
          <w:sz w:val="22"/>
          <w:szCs w:val="22"/>
        </w:rPr>
        <w:t xml:space="preserve">IVYAR is an integrated institutional governance platform designed for defense ministries, government agencies, and international organizations. The platform addresses critical gaps in procurement transparency, security infrastructure, compliance management, and personnel training through a unified, NATO/DoD-compliant solution with built-in ethical AI governance.</w:t>
      </w:r>
    </w:p>
    <w:p>
      <w:pPr>
        <w:spacing w:after="160"/>
      </w:pPr>
      <w:r>
        <w:rPr>
          <w:sz w:val="22"/>
          <w:szCs w:val="22"/>
        </w:rPr>
        <w:t xml:space="preserve">We are seeking $1.5M - $2.5M in seed funding to complete product development, secure initial pilot deployments, and build the foundation for international expansion.</w:t>
      </w:r>
    </w:p>
    <w:p>
      <w:pPr>
        <w:pStyle w:val="Heading1"/>
      </w:pPr>
      <w:r>
        <w:t xml:space="preserve">The Problem</w:t>
      </w:r>
    </w:p>
    <w:p>
      <w:pPr>
        <w:spacing w:after="100"/>
      </w:pPr>
      <w:r>
        <w:rPr>
          <w:sz w:val="22"/>
          <w:szCs w:val="22"/>
        </w:rPr>
        <w:t xml:space="preserve">Government institutions globally face systemic challenges:</w:t>
      </w:r>
    </w:p>
    <w:p>
      <w:pPr>
        <w:pStyle w:val="ListParagraph"/>
        <w:numPr>
          <w:ilvl w:val="0"/>
          <w:numId w:val="2"/>
        </w:numPr>
      </w:pPr>
      <w:r>
        <w:rPr>
          <w:b/>
          <w:bCs/>
        </w:rPr>
        <w:t xml:space="preserve">Opaque Procurement: </w:t>
      </w:r>
      <w:r>
        <w:t xml:space="preserve">15-30% of institutional budgets lost to corruption, inefficiency, and lack of oversight</w:t>
      </w:r>
    </w:p>
    <w:p>
      <w:pPr>
        <w:pStyle w:val="ListParagraph"/>
        <w:numPr>
          <w:ilvl w:val="0"/>
          <w:numId w:val="2"/>
        </w:numPr>
      </w:pPr>
      <w:r>
        <w:rPr>
          <w:b/>
          <w:bCs/>
        </w:rPr>
        <w:t xml:space="preserve">Fragmented Systems: </w:t>
      </w:r>
      <w:r>
        <w:t xml:space="preserve">7-12 disconnected legacy systems per ministry creating 40% efficiency loss</w:t>
      </w:r>
    </w:p>
    <w:p>
      <w:pPr>
        <w:pStyle w:val="ListParagraph"/>
        <w:numPr>
          <w:ilvl w:val="0"/>
          <w:numId w:val="2"/>
        </w:numPr>
      </w:pPr>
      <w:r>
        <w:rPr>
          <w:b/>
          <w:bCs/>
        </w:rPr>
        <w:t xml:space="preserve">Security Vulnerabilities: </w:t>
      </w:r>
      <w:r>
        <w:t xml:space="preserve">Lack of unified security frameworks exposing critical infrastructure</w:t>
      </w:r>
    </w:p>
    <w:p>
      <w:pPr>
        <w:pStyle w:val="ListParagraph"/>
        <w:numPr>
          <w:ilvl w:val="0"/>
          <w:numId w:val="2"/>
        </w:numPr>
        <w:spacing w:after="160"/>
      </w:pPr>
      <w:r>
        <w:rPr>
          <w:b/>
          <w:bCs/>
        </w:rPr>
        <w:t xml:space="preserve">No AI Governance: </w:t>
      </w:r>
      <w:r>
        <w:t xml:space="preserve">Zero ethical AI frameworks for decision support and automation</w:t>
      </w:r>
    </w:p>
    <w:p>
      <w:pPr>
        <w:pStyle w:val="Heading1"/>
      </w:pPr>
      <w:r>
        <w:t xml:space="preserve">The Solution</w:t>
      </w:r>
    </w:p>
    <w:p>
      <w:pPr>
        <w:spacing w:after="100"/>
      </w:pPr>
      <w:r>
        <w:rPr>
          <w:sz w:val="22"/>
          <w:szCs w:val="22"/>
        </w:rPr>
        <w:t xml:space="preserve">IVYAR provides a comprehensive platform with 8 integrated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DDDDD" w:sz="1"/>
              <w:left w:val="single" w:color="DDDDDD" w:sz="1"/>
              <w:bottom w:val="single" w:color="DDDDDD" w:sz="1"/>
              <w:right w:val="single" w:color="DDDDDD" w:sz="1"/>
            </w:tcBorders>
            <w:shd w:fill="F0F4F8" w:val="clear"/>
          </w:tcPr>
          <w:p>
            <w:r>
              <w:rPr>
                <w:b/>
                <w:bCs/>
                <w:color w:val="1B365D"/>
              </w:rPr>
              <w:t xml:space="preserve">Governance Portal</w:t>
            </w:r>
            <w:r>
              <w:t xml:space="preserve"> - Workflows, approvals, dashboards</w:t>
            </w:r>
          </w:p>
        </w:tc>
        <w:tc>
          <w:tcPr>
            <w:tcW w:type="dxa" w:w="4500"/>
            <w:tcBorders>
              <w:top w:val="single" w:color="DDDDDD" w:sz="1"/>
              <w:left w:val="single" w:color="DDDDDD" w:sz="1"/>
              <w:bottom w:val="single" w:color="DDDDDD" w:sz="1"/>
              <w:right w:val="single" w:color="DDDDDD" w:sz="1"/>
            </w:tcBorders>
            <w:shd w:fill="F0F4F8" w:val="clear"/>
          </w:tcPr>
          <w:p>
            <w:r>
              <w:rPr>
                <w:b/>
                <w:bCs/>
                <w:color w:val="1B365D"/>
              </w:rPr>
              <w:t xml:space="preserve">Security Framework</w:t>
            </w:r>
            <w:r>
              <w:t xml:space="preserve"> - 8-layer zero-trust architecture</w:t>
            </w:r>
          </w:p>
        </w:tc>
      </w:tr>
      <w:tr>
        <w:tc>
          <w:tcPr>
            <w:tcW w:type="dxa" w:w="4500"/>
            <w:tcBorders>
              <w:top w:val="single" w:color="DDDDDD" w:sz="1"/>
              <w:left w:val="single" w:color="DDDDDD" w:sz="1"/>
              <w:bottom w:val="single" w:color="DDDDDD" w:sz="1"/>
              <w:right w:val="single" w:color="DDDDDD" w:sz="1"/>
            </w:tcBorders>
          </w:tcPr>
          <w:p>
            <w:r>
              <w:rPr>
                <w:b/>
                <w:bCs/>
                <w:color w:val="1B365D"/>
              </w:rPr>
              <w:t xml:space="preserve">Compliance Engine</w:t>
            </w:r>
            <w:r>
              <w:t xml:space="preserve"> - ITAR, GDPR, SOC 2 automation</w:t>
            </w:r>
          </w:p>
        </w:tc>
        <w:tc>
          <w:tcPr>
            <w:tcW w:type="dxa" w:w="4500"/>
            <w:tcBorders>
              <w:top w:val="single" w:color="DDDDDD" w:sz="1"/>
              <w:left w:val="single" w:color="DDDDDD" w:sz="1"/>
              <w:bottom w:val="single" w:color="DDDDDD" w:sz="1"/>
              <w:right w:val="single" w:color="DDDDDD" w:sz="1"/>
            </w:tcBorders>
          </w:tcPr>
          <w:p>
            <w:r>
              <w:rPr>
                <w:b/>
                <w:bCs/>
                <w:color w:val="1B365D"/>
              </w:rPr>
              <w:t xml:space="preserve">Procurement &amp; Finance</w:t>
            </w:r>
            <w:r>
              <w:t xml:space="preserve"> - Transparent bidding, contracts</w:t>
            </w:r>
          </w:p>
        </w:tc>
      </w:tr>
      <w:tr>
        <w:tc>
          <w:tcPr>
            <w:tcW w:type="dxa" w:w="4500"/>
            <w:tcBorders>
              <w:top w:val="single" w:color="DDDDDD" w:sz="1"/>
              <w:left w:val="single" w:color="DDDDDD" w:sz="1"/>
              <w:bottom w:val="single" w:color="DDDDDD" w:sz="1"/>
              <w:right w:val="single" w:color="DDDDDD" w:sz="1"/>
            </w:tcBorders>
            <w:shd w:fill="F0F4F8" w:val="clear"/>
          </w:tcPr>
          <w:p>
            <w:r>
              <w:rPr>
                <w:b/>
                <w:bCs/>
                <w:color w:val="1B365D"/>
              </w:rPr>
              <w:t xml:space="preserve">Academy</w:t>
            </w:r>
            <w:r>
              <w:t xml:space="preserve"> - LMS, certifications, training</w:t>
            </w:r>
          </w:p>
        </w:tc>
        <w:tc>
          <w:tcPr>
            <w:tcW w:type="dxa" w:w="4500"/>
            <w:tcBorders>
              <w:top w:val="single" w:color="DDDDDD" w:sz="1"/>
              <w:left w:val="single" w:color="DDDDDD" w:sz="1"/>
              <w:bottom w:val="single" w:color="DDDDDD" w:sz="1"/>
              <w:right w:val="single" w:color="DDDDDD" w:sz="1"/>
            </w:tcBorders>
            <w:shd w:fill="F0F4F8" w:val="clear"/>
          </w:tcPr>
          <w:p>
            <w:r>
              <w:rPr>
                <w:b/>
                <w:bCs/>
                <w:color w:val="1B365D"/>
              </w:rPr>
              <w:t xml:space="preserve">Simulation Engine</w:t>
            </w:r>
            <w:r>
              <w:t xml:space="preserve"> - Crisis scenarios, war games</w:t>
            </w:r>
          </w:p>
        </w:tc>
      </w:tr>
      <w:tr>
        <w:tc>
          <w:tcPr>
            <w:tcW w:type="dxa" w:w="4500"/>
            <w:tcBorders>
              <w:top w:val="single" w:color="DDDDDD" w:sz="1"/>
              <w:left w:val="single" w:color="DDDDDD" w:sz="1"/>
              <w:bottom w:val="single" w:color="DDDDDD" w:sz="1"/>
              <w:right w:val="single" w:color="DDDDDD" w:sz="1"/>
            </w:tcBorders>
          </w:tcPr>
          <w:p>
            <w:r>
              <w:rPr>
                <w:b/>
                <w:bCs/>
                <w:color w:val="1B365D"/>
              </w:rPr>
              <w:t xml:space="preserve">Ethical AI Engine</w:t>
            </w:r>
            <w:r>
              <w:t xml:space="preserve"> - Bias detection, explainability</w:t>
            </w:r>
          </w:p>
        </w:tc>
        <w:tc>
          <w:tcPr>
            <w:tcW w:type="dxa" w:w="4500"/>
            <w:tcBorders>
              <w:top w:val="single" w:color="DDDDDD" w:sz="1"/>
              <w:left w:val="single" w:color="DDDDDD" w:sz="1"/>
              <w:bottom w:val="single" w:color="DDDDDD" w:sz="1"/>
              <w:right w:val="single" w:color="DDDDDD" w:sz="1"/>
            </w:tcBorders>
          </w:tcPr>
          <w:p>
            <w:r>
              <w:rPr>
                <w:b/>
                <w:bCs/>
                <w:color w:val="1B365D"/>
              </w:rPr>
              <w:t xml:space="preserve">Multi-Agent AI</w:t>
            </w:r>
            <w:r>
              <w:t xml:space="preserve"> - Autonomous orchestration</w:t>
            </w:r>
          </w:p>
        </w:tc>
      </w:tr>
    </w:tbl>
    <w:p>
      <w:r>
        <w:br w:type="page"/>
      </w:r>
    </w:p>
    <w:p>
      <w:pPr>
        <w:pStyle w:val="Heading1"/>
      </w:pPr>
      <w:r>
        <w:t xml:space="preserve">Market Opportunity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DDDDDD" w:sz="1"/>
              <w:left w:val="single" w:color="DDDDDD" w:sz="1"/>
              <w:bottom w:val="single" w:color="DDDDDD" w:sz="1"/>
              <w:right w:val="single" w:color="DDDDDD" w:sz="1"/>
            </w:tcBorders>
            <w:shd w:fill="0D1B2A" w:val="clear"/>
          </w:tcPr>
          <w:p>
            <w:pPr>
              <w:jc w:val="center"/>
            </w:pPr>
            <w:r>
              <w:rPr>
                <w:b/>
                <w:bCs/>
                <w:color w:val="C9A227"/>
                <w:sz w:val="20"/>
                <w:szCs w:val="20"/>
              </w:rPr>
              <w:t xml:space="preserve">TAM</w:t>
            </w:r>
          </w:p>
          <w:p>
            <w:pPr>
              <w:jc w:val="center"/>
            </w:pPr>
            <w:r>
              <w:rPr>
                <w:b/>
                <w:bCs/>
                <w:color w:val="FFFFFF"/>
                <w:sz w:val="32"/>
                <w:szCs w:val="32"/>
              </w:rPr>
              <w:t xml:space="preserve">$35-45B</w:t>
            </w:r>
          </w:p>
          <w:p>
            <w:pPr>
              <w:jc w:val="center"/>
            </w:pPr>
            <w:r>
              <w:rPr>
                <w:color w:val="CCCCCC"/>
                <w:sz w:val="18"/>
                <w:szCs w:val="18"/>
              </w:rPr>
              <w:t xml:space="preserve">Global GovTech + Defense</w:t>
            </w:r>
          </w:p>
        </w:tc>
        <w:tc>
          <w:tcPr>
            <w:tcW w:type="dxa" w:w="3000"/>
            <w:tcBorders>
              <w:top w:val="single" w:color="DDDDDD" w:sz="1"/>
              <w:left w:val="single" w:color="DDDDDD" w:sz="1"/>
              <w:bottom w:val="single" w:color="DDDDDD" w:sz="1"/>
              <w:right w:val="single" w:color="DDDDDD" w:sz="1"/>
            </w:tcBorders>
            <w:shd w:fill="1B365D" w:val="clear"/>
          </w:tcPr>
          <w:p>
            <w:pPr>
              <w:jc w:val="center"/>
            </w:pPr>
            <w:r>
              <w:rPr>
                <w:b/>
                <w:bCs/>
                <w:color w:val="C9A227"/>
                <w:sz w:val="20"/>
                <w:szCs w:val="20"/>
              </w:rPr>
              <w:t xml:space="preserve">SAM</w:t>
            </w:r>
          </w:p>
          <w:p>
            <w:pPr>
              <w:jc w:val="center"/>
            </w:pPr>
            <w:r>
              <w:rPr>
                <w:b/>
                <w:bCs/>
                <w:color w:val="FFFFFF"/>
                <w:sz w:val="32"/>
                <w:szCs w:val="32"/>
              </w:rPr>
              <w:t xml:space="preserve">$8-12B</w:t>
            </w:r>
          </w:p>
          <w:p>
            <w:pPr>
              <w:jc w:val="center"/>
            </w:pPr>
            <w:r>
              <w:rPr>
                <w:color w:val="CCCCCC"/>
                <w:sz w:val="18"/>
                <w:szCs w:val="18"/>
              </w:rPr>
              <w:t xml:space="preserve">NATO Partners + Donors</w:t>
            </w:r>
          </w:p>
        </w:tc>
        <w:tc>
          <w:tcPr>
            <w:tcW w:type="dxa" w:w="3000"/>
            <w:tcBorders>
              <w:top w:val="single" w:color="DDDDDD" w:sz="1"/>
              <w:left w:val="single" w:color="DDDDDD" w:sz="1"/>
              <w:bottom w:val="single" w:color="DDDDDD" w:sz="1"/>
              <w:right w:val="single" w:color="DDDDDD" w:sz="1"/>
            </w:tcBorders>
            <w:shd w:fill="16A085" w:val="clear"/>
          </w:tcPr>
          <w:p>
            <w:pPr>
              <w:jc w:val="center"/>
            </w:pPr>
            <w:r>
              <w:rPr>
                <w:b/>
                <w:bCs/>
                <w:color w:val="FFFFFF"/>
                <w:sz w:val="20"/>
                <w:szCs w:val="20"/>
              </w:rPr>
              <w:t xml:space="preserve">SOM</w:t>
            </w:r>
          </w:p>
          <w:p>
            <w:pPr>
              <w:jc w:val="center"/>
            </w:pPr>
            <w:r>
              <w:rPr>
                <w:b/>
                <w:bCs/>
                <w:color w:val="FFFFFF"/>
                <w:sz w:val="32"/>
                <w:szCs w:val="32"/>
              </w:rPr>
              <w:t xml:space="preserve">$200-500M</w:t>
            </w:r>
          </w:p>
          <w:p>
            <w:pPr>
              <w:jc w:val="center"/>
            </w:pPr>
            <w:r>
              <w:rPr>
                <w:color w:val="DDDDDD"/>
                <w:sz w:val="18"/>
                <w:szCs w:val="18"/>
              </w:rPr>
              <w:t xml:space="preserve">3-Year Target</w:t>
            </w:r>
          </w:p>
        </w:tc>
      </w:tr>
    </w:tbl>
    <w:p>
      <w:pPr>
        <w:pStyle w:val="Heading2"/>
      </w:pPr>
      <w:r>
        <w:t xml:space="preserve">Target Customer Segments</w:t>
      </w:r>
    </w:p>
    <w:p>
      <w:pPr>
        <w:pStyle w:val="ListParagraph"/>
        <w:numPr>
          <w:ilvl w:val="0"/>
          <w:numId w:val="2"/>
        </w:numPr>
      </w:pPr>
      <w:r>
        <w:rPr>
          <w:b/>
          <w:bCs/>
        </w:rPr>
        <w:t xml:space="preserve">Ministries of Defense: </w:t>
      </w:r>
      <w:r>
        <w:t xml:space="preserve">NATO members and partners ($150K-500K ACV)</w:t>
      </w:r>
    </w:p>
    <w:p>
      <w:pPr>
        <w:pStyle w:val="ListParagraph"/>
        <w:numPr>
          <w:ilvl w:val="0"/>
          <w:numId w:val="2"/>
        </w:numPr>
      </w:pPr>
      <w:r>
        <w:rPr>
          <w:b/>
          <w:bCs/>
        </w:rPr>
        <w:t xml:space="preserve">International Donors: </w:t>
      </w:r>
      <w:r>
        <w:t xml:space="preserve">USAID, EU, World Bank, development funds ($250K-500K ACV)</w:t>
      </w:r>
    </w:p>
    <w:p>
      <w:pPr>
        <w:pStyle w:val="ListParagraph"/>
        <w:numPr>
          <w:ilvl w:val="0"/>
          <w:numId w:val="2"/>
        </w:numPr>
      </w:pPr>
      <w:r>
        <w:rPr>
          <w:b/>
          <w:bCs/>
        </w:rPr>
        <w:t xml:space="preserve">OEM Manufacturers: </w:t>
      </w:r>
      <w:r>
        <w:t xml:space="preserve">Defense and technology companies ($150K-300K ACV)</w:t>
      </w:r>
    </w:p>
    <w:p>
      <w:pPr>
        <w:pStyle w:val="ListParagraph"/>
        <w:numPr>
          <w:ilvl w:val="0"/>
          <w:numId w:val="2"/>
        </w:numPr>
        <w:spacing w:after="160"/>
      </w:pPr>
      <w:r>
        <w:rPr>
          <w:b/>
          <w:bCs/>
        </w:rPr>
        <w:t xml:space="preserve">Government Programs: </w:t>
      </w:r>
      <w:r>
        <w:t xml:space="preserve">Digitalization initiatives in Ukraine, Poland, Baltics ($100K-350K ACV)</w:t>
      </w:r>
    </w:p>
    <w:p>
      <w:pPr>
        <w:pStyle w:val="Heading1"/>
      </w:pPr>
      <w:r>
        <w:t xml:space="preserve">Business Model</w:t>
      </w:r>
    </w:p>
    <w:p>
      <w:pPr>
        <w:pStyle w:val="Heading2"/>
      </w:pPr>
      <w:r>
        <w:t xml:space="preserve">Revenue Streams</w:t>
      </w:r>
    </w:p>
    <w:p>
      <w:pPr>
        <w:pStyle w:val="ListParagraph"/>
        <w:numPr>
          <w:ilvl w:val="0"/>
          <w:numId w:val="2"/>
        </w:numPr>
      </w:pPr>
      <w:r>
        <w:rPr>
          <w:b/>
          <w:bCs/>
        </w:rPr>
        <w:t xml:space="preserve">SaaS Subscriptions (60%): </w:t>
      </w:r>
      <w:r>
        <w:t xml:space="preserve">Annual platform licenses from $75K to $500K+</w:t>
      </w:r>
    </w:p>
    <w:p>
      <w:pPr>
        <w:pStyle w:val="ListParagraph"/>
        <w:numPr>
          <w:ilvl w:val="0"/>
          <w:numId w:val="2"/>
        </w:numPr>
      </w:pPr>
      <w:r>
        <w:rPr>
          <w:b/>
          <w:bCs/>
        </w:rPr>
        <w:t xml:space="preserve">Modular Add-ons (20%): </w:t>
      </w:r>
      <w:r>
        <w:t xml:space="preserve">Security Suite, Academy, Simulation, Ethical AI modules</w:t>
      </w:r>
    </w:p>
    <w:p>
      <w:pPr>
        <w:pStyle w:val="ListParagraph"/>
        <w:numPr>
          <w:ilvl w:val="0"/>
          <w:numId w:val="2"/>
        </w:numPr>
      </w:pPr>
      <w:r>
        <w:rPr>
          <w:b/>
          <w:bCs/>
        </w:rPr>
        <w:t xml:space="preserve">Transaction Fees (10%): </w:t>
      </w:r>
      <w:r>
        <w:t xml:space="preserve">1-3% on procurement volume processed through platform</w:t>
      </w:r>
    </w:p>
    <w:p>
      <w:pPr>
        <w:pStyle w:val="ListParagraph"/>
        <w:numPr>
          <w:ilvl w:val="0"/>
          <w:numId w:val="2"/>
        </w:numPr>
        <w:spacing w:after="120"/>
      </w:pPr>
      <w:r>
        <w:rPr>
          <w:b/>
          <w:bCs/>
        </w:rPr>
        <w:t xml:space="preserve">Professional Services (10%): </w:t>
      </w:r>
      <w:r>
        <w:t xml:space="preserve">Implementation, training, customization</w:t>
      </w:r>
    </w:p>
    <w:p>
      <w:pPr>
        <w:pStyle w:val="Heading2"/>
      </w:pPr>
      <w:r>
        <w:t xml:space="preserve">Unit Economics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DDDDD" w:sz="1"/>
              <w:left w:val="single" w:color="DDDDDD" w:sz="1"/>
              <w:bottom w:val="single" w:color="DDDDDD" w:sz="1"/>
              <w:right w:val="single" w:color="DDDDDD" w:sz="1"/>
            </w:tcBorders>
          </w:tcPr>
          <w:p>
            <w:r>
              <w:rPr>
                <w:b/>
                <w:bCs/>
              </w:rPr>
              <w:t xml:space="preserve">Average Contract Value: </w:t>
            </w:r>
            <w:r>
              <w:t xml:space="preserve">$200K-350K</w:t>
            </w:r>
          </w:p>
        </w:tc>
        <w:tc>
          <w:tcPr>
            <w:tcW w:type="dxa" w:w="4500"/>
            <w:tcBorders>
              <w:top w:val="single" w:color="DDDDDD" w:sz="1"/>
              <w:left w:val="single" w:color="DDDDDD" w:sz="1"/>
              <w:bottom w:val="single" w:color="DDDDDD" w:sz="1"/>
              <w:right w:val="single" w:color="DDDDDD" w:sz="1"/>
            </w:tcBorders>
          </w:tcPr>
          <w:p>
            <w:r>
              <w:rPr>
                <w:b/>
                <w:bCs/>
              </w:rPr>
              <w:t xml:space="preserve">Customer LTV: </w:t>
            </w:r>
            <w:r>
              <w:t xml:space="preserve">$800K-1.5M</w:t>
            </w:r>
          </w:p>
        </w:tc>
      </w:tr>
      <w:tr>
        <w:tc>
          <w:tcPr>
            <w:tcW w:type="dxa" w:w="4500"/>
            <w:tcBorders>
              <w:top w:val="single" w:color="DDDDDD" w:sz="1"/>
              <w:left w:val="single" w:color="DDDDDD" w:sz="1"/>
              <w:bottom w:val="single" w:color="DDDDDD" w:sz="1"/>
              <w:right w:val="single" w:color="DDDDDD" w:sz="1"/>
            </w:tcBorders>
          </w:tcPr>
          <w:p>
            <w:r>
              <w:rPr>
                <w:b/>
                <w:bCs/>
              </w:rPr>
              <w:t xml:space="preserve">LTV:CAC Ratio: </w:t>
            </w:r>
            <w:r>
              <w:t xml:space="preserve">10:1 - 15:1</w:t>
            </w:r>
          </w:p>
        </w:tc>
        <w:tc>
          <w:tcPr>
            <w:tcW w:type="dxa" w:w="4500"/>
            <w:tcBorders>
              <w:top w:val="single" w:color="DDDDDD" w:sz="1"/>
              <w:left w:val="single" w:color="DDDDDD" w:sz="1"/>
              <w:bottom w:val="single" w:color="DDDDDD" w:sz="1"/>
              <w:right w:val="single" w:color="DDDDDD" w:sz="1"/>
            </w:tcBorders>
          </w:tcPr>
          <w:p>
            <w:r>
              <w:rPr>
                <w:b/>
                <w:bCs/>
              </w:rPr>
              <w:t xml:space="preserve">Gross Margin: </w:t>
            </w:r>
            <w:r>
              <w:t xml:space="preserve">70-80%</w:t>
            </w:r>
          </w:p>
        </w:tc>
      </w:tr>
      <w:tr>
        <w:tc>
          <w:tcPr>
            <w:tcW w:type="dxa" w:w="4500"/>
            <w:tcBorders>
              <w:top w:val="single" w:color="DDDDDD" w:sz="1"/>
              <w:left w:val="single" w:color="DDDDDD" w:sz="1"/>
              <w:bottom w:val="single" w:color="DDDDDD" w:sz="1"/>
              <w:right w:val="single" w:color="DDDDDD" w:sz="1"/>
            </w:tcBorders>
          </w:tcPr>
          <w:p>
            <w:r>
              <w:rPr>
                <w:b/>
                <w:bCs/>
              </w:rPr>
              <w:t xml:space="preserve">Payback Period: </w:t>
            </w:r>
            <w:r>
              <w:t xml:space="preserve">6-12 months</w:t>
            </w:r>
          </w:p>
        </w:tc>
        <w:tc>
          <w:tcPr>
            <w:tcW w:type="dxa" w:w="4500"/>
            <w:tcBorders>
              <w:top w:val="single" w:color="DDDDDD" w:sz="1"/>
              <w:left w:val="single" w:color="DDDDDD" w:sz="1"/>
              <w:bottom w:val="single" w:color="DDDDDD" w:sz="1"/>
              <w:right w:val="single" w:color="DDDDDD" w:sz="1"/>
            </w:tcBorders>
          </w:tcPr>
          <w:p>
            <w:r>
              <w:rPr>
                <w:b/>
                <w:bCs/>
              </w:rPr>
              <w:t xml:space="preserve">Retention Rate: </w:t>
            </w:r>
            <w:r>
              <w:t xml:space="preserve">&gt;95%</w:t>
            </w:r>
          </w:p>
        </w:tc>
      </w:tr>
    </w:tbl>
    <w:p>
      <w:r>
        <w:br w:type="page"/>
      </w:r>
    </w:p>
    <w:p>
      <w:pPr>
        <w:pStyle w:val="Heading1"/>
      </w:pPr>
      <w:r>
        <w:t xml:space="preserve">Financial Projections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DDDDD" w:sz="1"/>
              <w:left w:val="single" w:color="DDDDDD" w:sz="1"/>
              <w:bottom w:val="single" w:color="DDDDDD" w:sz="1"/>
              <w:right w:val="single" w:color="DDDDDD" w:sz="1"/>
            </w:tcBorders>
            <w:shd w:fill="1B365D" w:val="clear"/>
          </w:tcPr>
          <w:p>
            <w:pPr>
              <w:jc w:val="center"/>
            </w:pPr>
            <w:r>
              <w:rPr>
                <w:b/>
                <w:bCs/>
                <w:color w:val="FFFFFF"/>
              </w:rPr>
              <w:t xml:space="preserve">Scenario</w:t>
            </w:r>
          </w:p>
        </w:tc>
        <w:tc>
          <w:tcPr>
            <w:tcW w:type="dxa" w:w="2250"/>
            <w:tcBorders>
              <w:top w:val="single" w:color="DDDDDD" w:sz="1"/>
              <w:left w:val="single" w:color="DDDDDD" w:sz="1"/>
              <w:bottom w:val="single" w:color="DDDDDD" w:sz="1"/>
              <w:right w:val="single" w:color="DDDDDD" w:sz="1"/>
            </w:tcBorders>
            <w:shd w:fill="1B365D" w:val="clear"/>
          </w:tcPr>
          <w:p>
            <w:pPr>
              <w:jc w:val="center"/>
            </w:pPr>
            <w:r>
              <w:rPr>
                <w:b/>
                <w:bCs/>
                <w:color w:val="FFFFFF"/>
              </w:rPr>
              <w:t xml:space="preserve">Year 1</w:t>
            </w:r>
          </w:p>
        </w:tc>
        <w:tc>
          <w:tcPr>
            <w:tcW w:type="dxa" w:w="2250"/>
            <w:tcBorders>
              <w:top w:val="single" w:color="DDDDDD" w:sz="1"/>
              <w:left w:val="single" w:color="DDDDDD" w:sz="1"/>
              <w:bottom w:val="single" w:color="DDDDDD" w:sz="1"/>
              <w:right w:val="single" w:color="DDDDDD" w:sz="1"/>
            </w:tcBorders>
            <w:shd w:fill="1B365D" w:val="clear"/>
          </w:tcPr>
          <w:p>
            <w:pPr>
              <w:jc w:val="center"/>
            </w:pPr>
            <w:r>
              <w:rPr>
                <w:b/>
                <w:bCs/>
                <w:color w:val="FFFFFF"/>
              </w:rPr>
              <w:t xml:space="preserve">Year 2</w:t>
            </w:r>
          </w:p>
        </w:tc>
        <w:tc>
          <w:tcPr>
            <w:tcW w:type="dxa" w:w="2250"/>
            <w:tcBorders>
              <w:top w:val="single" w:color="DDDDDD" w:sz="1"/>
              <w:left w:val="single" w:color="DDDDDD" w:sz="1"/>
              <w:bottom w:val="single" w:color="DDDDDD" w:sz="1"/>
              <w:right w:val="single" w:color="DDDDDD" w:sz="1"/>
            </w:tcBorders>
            <w:shd w:fill="1B365D" w:val="clear"/>
          </w:tcPr>
          <w:p>
            <w:pPr>
              <w:jc w:val="center"/>
            </w:pPr>
            <w:r>
              <w:rPr>
                <w:b/>
                <w:bCs/>
                <w:color w:val="FFFFFF"/>
              </w:rPr>
              <w:t xml:space="preserve">Year 3</w:t>
            </w:r>
          </w:p>
        </w:tc>
      </w:tr>
      <w:tr>
        <w:tc>
          <w:tcPr>
            <w:tcW w:type="dxa" w:w="2250"/>
            <w:tcBorders>
              <w:top w:val="single" w:color="DDDDDD" w:sz="1"/>
              <w:left w:val="single" w:color="DDDDDD" w:sz="1"/>
              <w:bottom w:val="single" w:color="DDDDDD" w:sz="1"/>
              <w:right w:val="single" w:color="DDDDDD" w:sz="1"/>
            </w:tcBorders>
          </w:tcPr>
          <w:p>
            <w:r>
              <w:t xml:space="preserve">Conservative</w:t>
            </w:r>
          </w:p>
        </w:tc>
        <w:tc>
          <w:tcPr>
            <w:tcW w:type="dxa" w:w="2250"/>
            <w:tcBorders>
              <w:top w:val="single" w:color="DDDDDD" w:sz="1"/>
              <w:left w:val="single" w:color="DDDDDD" w:sz="1"/>
              <w:bottom w:val="single" w:color="DDDDDD" w:sz="1"/>
              <w:right w:val="single" w:color="DDDDDD" w:sz="1"/>
            </w:tcBorders>
          </w:tcPr>
          <w:p>
            <w:pPr>
              <w:jc w:val="center"/>
            </w:pPr>
            <w:r>
              <w:t xml:space="preserve">$0.5M</w:t>
            </w:r>
          </w:p>
        </w:tc>
        <w:tc>
          <w:tcPr>
            <w:tcW w:type="dxa" w:w="2250"/>
            <w:tcBorders>
              <w:top w:val="single" w:color="DDDDDD" w:sz="1"/>
              <w:left w:val="single" w:color="DDDDDD" w:sz="1"/>
              <w:bottom w:val="single" w:color="DDDDDD" w:sz="1"/>
              <w:right w:val="single" w:color="DDDDDD" w:sz="1"/>
            </w:tcBorders>
          </w:tcPr>
          <w:p>
            <w:pPr>
              <w:jc w:val="center"/>
            </w:pPr>
            <w:r>
              <w:t xml:space="preserve">$1.0M</w:t>
            </w:r>
          </w:p>
        </w:tc>
        <w:tc>
          <w:tcPr>
            <w:tcW w:type="dxa" w:w="2250"/>
            <w:tcBorders>
              <w:top w:val="single" w:color="DDDDDD" w:sz="1"/>
              <w:left w:val="single" w:color="DDDDDD" w:sz="1"/>
              <w:bottom w:val="single" w:color="DDDDDD" w:sz="1"/>
              <w:right w:val="single" w:color="DDDDDD" w:sz="1"/>
            </w:tcBorders>
          </w:tcPr>
          <w:p>
            <w:pPr>
              <w:jc w:val="center"/>
            </w:pPr>
            <w:r>
              <w:t xml:space="preserve">$1.5M</w:t>
            </w:r>
          </w:p>
        </w:tc>
      </w:tr>
      <w:tr>
        <w:tc>
          <w:tcPr>
            <w:tcW w:type="dxa" w:w="2250"/>
            <w:tcBorders>
              <w:top w:val="single" w:color="DDDDDD" w:sz="1"/>
              <w:left w:val="single" w:color="DDDDDD" w:sz="1"/>
              <w:bottom w:val="single" w:color="DDDDDD" w:sz="1"/>
              <w:right w:val="single" w:color="DDDDDD" w:sz="1"/>
            </w:tcBorders>
            <w:shd w:fill="F0F4F8" w:val="clear"/>
          </w:tcPr>
          <w:p>
            <w:r>
              <w:rPr>
                <w:b/>
                <w:bCs/>
              </w:rPr>
              <w:t xml:space="preserve">Base Case</w:t>
            </w:r>
          </w:p>
        </w:tc>
        <w:tc>
          <w:tcPr>
            <w:tcW w:type="dxa" w:w="2250"/>
            <w:tcBorders>
              <w:top w:val="single" w:color="DDDDDD" w:sz="1"/>
              <w:left w:val="single" w:color="DDDDDD" w:sz="1"/>
              <w:bottom w:val="single" w:color="DDDDDD" w:sz="1"/>
              <w:right w:val="single" w:color="DDDDDD" w:sz="1"/>
            </w:tcBorders>
            <w:shd w:fill="F0F4F8" w:val="clear"/>
          </w:tcPr>
          <w:p>
            <w:pPr>
              <w:jc w:val="center"/>
            </w:pPr>
            <w:r>
              <w:rPr>
                <w:b/>
                <w:bCs/>
              </w:rPr>
              <w:t xml:space="preserve">$0.75M</w:t>
            </w:r>
          </w:p>
        </w:tc>
        <w:tc>
          <w:tcPr>
            <w:tcW w:type="dxa" w:w="2250"/>
            <w:tcBorders>
              <w:top w:val="single" w:color="DDDDDD" w:sz="1"/>
              <w:left w:val="single" w:color="DDDDDD" w:sz="1"/>
              <w:bottom w:val="single" w:color="DDDDDD" w:sz="1"/>
              <w:right w:val="single" w:color="DDDDDD" w:sz="1"/>
            </w:tcBorders>
            <w:shd w:fill="F0F4F8" w:val="clear"/>
          </w:tcPr>
          <w:p>
            <w:pPr>
              <w:jc w:val="center"/>
            </w:pPr>
            <w:r>
              <w:rPr>
                <w:b/>
                <w:bCs/>
              </w:rPr>
              <w:t xml:space="preserve">$1.8M</w:t>
            </w:r>
          </w:p>
        </w:tc>
        <w:tc>
          <w:tcPr>
            <w:tcW w:type="dxa" w:w="2250"/>
            <w:tcBorders>
              <w:top w:val="single" w:color="DDDDDD" w:sz="1"/>
              <w:left w:val="single" w:color="DDDDDD" w:sz="1"/>
              <w:bottom w:val="single" w:color="DDDDDD" w:sz="1"/>
              <w:right w:val="single" w:color="DDDDDD" w:sz="1"/>
            </w:tcBorders>
            <w:shd w:fill="F0F4F8" w:val="clear"/>
          </w:tcPr>
          <w:p>
            <w:pPr>
              <w:jc w:val="center"/>
            </w:pPr>
            <w:r>
              <w:rPr>
                <w:b/>
                <w:bCs/>
              </w:rPr>
              <w:t xml:space="preserve">$2.8M</w:t>
            </w:r>
          </w:p>
        </w:tc>
      </w:tr>
      <w:tr>
        <w:tc>
          <w:tcPr>
            <w:tcW w:type="dxa" w:w="2250"/>
            <w:tcBorders>
              <w:top w:val="single" w:color="DDDDDD" w:sz="1"/>
              <w:left w:val="single" w:color="DDDDDD" w:sz="1"/>
              <w:bottom w:val="single" w:color="DDDDDD" w:sz="1"/>
              <w:right w:val="single" w:color="DDDDDD" w:sz="1"/>
            </w:tcBorders>
          </w:tcPr>
          <w:p>
            <w:r>
              <w:t xml:space="preserve">Optimistic</w:t>
            </w:r>
          </w:p>
        </w:tc>
        <w:tc>
          <w:tcPr>
            <w:tcW w:type="dxa" w:w="2250"/>
            <w:tcBorders>
              <w:top w:val="single" w:color="DDDDDD" w:sz="1"/>
              <w:left w:val="single" w:color="DDDDDD" w:sz="1"/>
              <w:bottom w:val="single" w:color="DDDDDD" w:sz="1"/>
              <w:right w:val="single" w:color="DDDDDD" w:sz="1"/>
            </w:tcBorders>
          </w:tcPr>
          <w:p>
            <w:pPr>
              <w:jc w:val="center"/>
            </w:pPr>
            <w:r>
              <w:t xml:space="preserve">$1.2M</w:t>
            </w:r>
          </w:p>
        </w:tc>
        <w:tc>
          <w:tcPr>
            <w:tcW w:type="dxa" w:w="2250"/>
            <w:tcBorders>
              <w:top w:val="single" w:color="DDDDDD" w:sz="1"/>
              <w:left w:val="single" w:color="DDDDDD" w:sz="1"/>
              <w:bottom w:val="single" w:color="DDDDDD" w:sz="1"/>
              <w:right w:val="single" w:color="DDDDDD" w:sz="1"/>
            </w:tcBorders>
          </w:tcPr>
          <w:p>
            <w:pPr>
              <w:jc w:val="center"/>
            </w:pPr>
            <w:r>
              <w:t xml:space="preserve">$2.5M</w:t>
            </w:r>
          </w:p>
        </w:tc>
        <w:tc>
          <w:tcPr>
            <w:tcW w:type="dxa" w:w="2250"/>
            <w:tcBorders>
              <w:top w:val="single" w:color="DDDDDD" w:sz="1"/>
              <w:left w:val="single" w:color="DDDDDD" w:sz="1"/>
              <w:bottom w:val="single" w:color="DDDDDD" w:sz="1"/>
              <w:right w:val="single" w:color="DDDDDD" w:sz="1"/>
            </w:tcBorders>
          </w:tcPr>
          <w:p>
            <w:pPr>
              <w:jc w:val="center"/>
            </w:pPr>
            <w:r>
              <w:t xml:space="preserve">$5.0M</w:t>
            </w:r>
          </w:p>
        </w:tc>
      </w:tr>
    </w:tbl>
    <w:p>
      <w:pPr>
        <w:pStyle w:val="Heading1"/>
      </w:pPr>
      <w:r>
        <w:t xml:space="preserve">Go-to-Market Strategy</w:t>
      </w:r>
    </w:p>
    <w:p>
      <w:pPr>
        <w:pStyle w:val="ListParagraph"/>
        <w:numPr>
          <w:ilvl w:val="0"/>
          <w:numId w:val="2"/>
        </w:numPr>
      </w:pPr>
      <w:r>
        <w:rPr>
          <w:b/>
          <w:bCs/>
        </w:rPr>
        <w:t xml:space="preserve">Year 1 - Foundation: </w:t>
      </w:r>
      <w:r>
        <w:t xml:space="preserve">2-3 pilot deployments in Ukraine, NATO compliance certification, partner network development</w:t>
      </w:r>
    </w:p>
    <w:p>
      <w:pPr>
        <w:pStyle w:val="ListParagraph"/>
        <w:numPr>
          <w:ilvl w:val="0"/>
          <w:numId w:val="2"/>
        </w:numPr>
      </w:pPr>
      <w:r>
        <w:rPr>
          <w:b/>
          <w:bCs/>
        </w:rPr>
        <w:t xml:space="preserve">Year 2 - Expansion: </w:t>
      </w:r>
      <w:r>
        <w:t xml:space="preserve">3-5 NATO partner countries, international donor engagement, OEM partnership program</w:t>
      </w:r>
    </w:p>
    <w:p>
      <w:pPr>
        <w:pStyle w:val="ListParagraph"/>
        <w:numPr>
          <w:ilvl w:val="0"/>
          <w:numId w:val="2"/>
        </w:numPr>
        <w:spacing w:after="160"/>
      </w:pPr>
      <w:r>
        <w:rPr>
          <w:b/>
          <w:bCs/>
        </w:rPr>
        <w:t xml:space="preserve">Year 3 - Scale: </w:t>
      </w:r>
      <w:r>
        <w:t xml:space="preserve">10+ institutional deployments, EU and North America presence, humanitarian logistics vertical</w:t>
      </w:r>
    </w:p>
    <w:p>
      <w:pPr>
        <w:pStyle w:val="Heading1"/>
      </w:pPr>
      <w:r>
        <w:t xml:space="preserve">Investment Opportunity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DDDDD" w:sz="1"/>
              <w:left w:val="single" w:color="DDDDDD" w:sz="1"/>
              <w:bottom w:val="single" w:color="DDDDDD" w:sz="1"/>
              <w:right w:val="single" w:color="DDDDDD" w:sz="1"/>
            </w:tcBorders>
            <w:shd w:fill="C9A227" w:val="clear"/>
          </w:tcPr>
          <w:p>
            <w:pPr>
              <w:spacing w:before="120"/>
              <w:jc w:val="center"/>
            </w:pPr>
            <w:r>
              <w:rPr>
                <w:b/>
                <w:bCs/>
                <w:color w:val="0D1B2A"/>
                <w:sz w:val="28"/>
                <w:szCs w:val="28"/>
              </w:rPr>
              <w:t xml:space="preserve">Seed Round: $1.5M - $2.5M</w:t>
            </w:r>
          </w:p>
          <w:p>
            <w:pPr>
              <w:spacing w:after="120"/>
              <w:jc w:val="center"/>
            </w:pPr>
            <w:r>
              <w:rPr>
                <w:color w:val="0D1B2A"/>
                <w:sz w:val="20"/>
                <w:szCs w:val="20"/>
              </w:rPr>
              <w:t xml:space="preserve">Series A (2026): $5M - $10M for international scale</w:t>
            </w:r>
          </w:p>
        </w:tc>
      </w:tr>
    </w:tbl>
    <w:p>
      <w:pPr>
        <w:pStyle w:val="Heading2"/>
      </w:pPr>
      <w:r>
        <w:t xml:space="preserve">Use of Funds</w:t>
      </w:r>
    </w:p>
    <w:p>
      <w:pPr>
        <w:pStyle w:val="ListParagraph"/>
        <w:numPr>
          <w:ilvl w:val="0"/>
          <w:numId w:val="2"/>
        </w:numPr>
      </w:pPr>
      <w:r>
        <w:rPr>
          <w:b/>
          <w:bCs/>
        </w:rPr>
        <w:t xml:space="preserve">Product Development (45%): </w:t>
      </w:r>
      <w:r>
        <w:t xml:space="preserve">Core platform, security modules, AI capabilities</w:t>
      </w:r>
    </w:p>
    <w:p>
      <w:pPr>
        <w:pStyle w:val="ListParagraph"/>
        <w:numPr>
          <w:ilvl w:val="0"/>
          <w:numId w:val="2"/>
        </w:numPr>
      </w:pPr>
      <w:r>
        <w:rPr>
          <w:b/>
          <w:bCs/>
        </w:rPr>
        <w:t xml:space="preserve">Sales &amp; Marketing (25%): </w:t>
      </w:r>
      <w:r>
        <w:t xml:space="preserve">Government relations, conference presence, content</w:t>
      </w:r>
    </w:p>
    <w:p>
      <w:pPr>
        <w:pStyle w:val="ListParagraph"/>
        <w:numPr>
          <w:ilvl w:val="0"/>
          <w:numId w:val="2"/>
        </w:numPr>
      </w:pPr>
      <w:r>
        <w:rPr>
          <w:b/>
          <w:bCs/>
        </w:rPr>
        <w:t xml:space="preserve">Security &amp; Compliance (15%): </w:t>
      </w:r>
      <w:r>
        <w:t xml:space="preserve">NATO certification, SOC 2, penetration testing</w:t>
      </w:r>
    </w:p>
    <w:p>
      <w:pPr>
        <w:pStyle w:val="ListParagraph"/>
        <w:numPr>
          <w:ilvl w:val="0"/>
          <w:numId w:val="2"/>
        </w:numPr>
        <w:spacing w:after="200"/>
      </w:pPr>
      <w:r>
        <w:rPr>
          <w:b/>
          <w:bCs/>
        </w:rPr>
        <w:t xml:space="preserve">Operations &amp; Reserve (15%): </w:t>
      </w:r>
      <w:r>
        <w:t xml:space="preserve">Team scaling, infrastructure, contingency</w:t>
      </w:r>
    </w:p>
    <w:p>
      <w:pPr>
        <w:spacing w:before="200"/>
        <w:jc w:val="center"/>
      </w:pPr>
      <w:r>
        <w:rPr>
          <w:color w:val="6C757D"/>
          <w:sz w:val="22"/>
          <w:szCs w:val="22"/>
        </w:rPr>
        <w:t xml:space="preserve">Contact: </w:t>
      </w:r>
      <w:r>
        <w:rPr>
          <w:b/>
          <w:bCs/>
          <w:color w:val="1B365D"/>
          <w:sz w:val="22"/>
          <w:szCs w:val="22"/>
        </w:rPr>
        <w:t xml:space="preserve">info@ivyar.org</w:t>
      </w:r>
      <w:r>
        <w:rPr>
          <w:color w:val="6C757D"/>
          <w:sz w:val="22"/>
          <w:szCs w:val="22"/>
        </w:rPr>
        <w:t xml:space="preserve">  |  </w:t>
      </w:r>
      <w:r>
        <w:rPr>
          <w:b/>
          <w:bCs/>
          <w:color w:val="1B365D"/>
          <w:sz w:val="22"/>
          <w:szCs w:val="22"/>
        </w:rPr>
        <w:t xml:space="preserve">ivyar.org</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757D"/>
        <w:sz w:val="18"/>
        <w:szCs w:val="18"/>
      </w:rPr>
      <w:t xml:space="preserve">Page </w:t>
    </w:r>
    <w:r>
      <w:rPr>
        <w:color w:val="6C757D"/>
        <w:sz w:val="18"/>
        <w:szCs w:val="18"/>
      </w:rPr>
      <w:fldChar w:fldCharType="begin"/>
      <w:instrText xml:space="preserve">PAGE</w:instrText>
      <w:fldChar w:fldCharType="separate"/>
      <w:fldChar w:fldCharType="end"/>
    </w:r>
    <w:r>
      <w:rPr>
        <w:color w:val="6C757D"/>
        <w:sz w:val="18"/>
        <w:szCs w:val="18"/>
      </w:rPr>
      <w:t xml:space="preserve"> of </w:t>
    </w:r>
    <w:r>
      <w:rPr>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B365D"/>
        <w:sz w:val="20"/>
        <w:szCs w:val="20"/>
      </w:rPr>
      <w:t xml:space="preserve">IVYAR</w:t>
    </w:r>
    <w:r>
      <w:rPr>
        <w:color w:val="6C757D"/>
        <w:sz w:val="18"/>
        <w:szCs w:val="18"/>
      </w:rPr>
      <w:t xml:space="preserve">  |  Executive Summary  |  </w:t>
    </w:r>
    <w:r>
      <w:rPr>
        <w:color w:val="6C757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rFonts w:ascii="Arial" w:cs="Arial" w:eastAsia="Arial" w:hAnsi="Arial"/>
      <w:b/>
      <w:bCs/>
      <w:color w:val="1B365D"/>
      <w:sz w:val="48"/>
      <w:szCs w:val="48"/>
    </w:rPr>
  </w:style>
  <w:style w:type="paragraph" w:styleId="Heading1">
    <w:name w:val="Heading 1"/>
    <w:basedOn w:val="Normal"/>
    <w:pPr>
      <w:spacing w:before="240" w:after="120"/>
    </w:pPr>
    <w:rPr>
      <w:rFonts w:ascii="Arial" w:cs="Arial" w:eastAsia="Arial" w:hAnsi="Arial"/>
      <w:b/>
      <w:bCs/>
      <w:color w:val="1B365D"/>
      <w:sz w:val="28"/>
      <w:szCs w:val="28"/>
    </w:rPr>
  </w:style>
  <w:style w:type="paragraph" w:styleId="Heading2">
    <w:name w:val="Heading 2"/>
    <w:basedOn w:val="Normal"/>
    <w:pPr>
      <w:spacing w:before="200" w:after="100"/>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2025-12-29T23:02:47.958Z</dcterms:created>
  <dcterms:modified xsi:type="dcterms:W3CDTF">2025-12-29T23:02:47.958Z</dcterms:modified>
</cp:coreProperties>
</file>

<file path=docProps/custom.xml><?xml version="1.0" encoding="utf-8"?>
<Properties xmlns="http://schemas.openxmlformats.org/officeDocument/2006/custom-properties" xmlns:vt="http://schemas.openxmlformats.org/officeDocument/2006/docPropsVTypes"/>
</file>