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B365D"/>
          <w:sz w:val="56"/>
          <w:szCs w:val="56"/>
        </w:rPr>
        <w:t xml:space="preserve">IVYAR</w:t>
      </w:r>
    </w:p>
    <w:p>
      <w:pPr>
        <w:spacing w:after="200"/>
        <w:jc w:val="center"/>
      </w:pPr>
      <w:r>
        <w:rPr>
          <w:color w:val="6C757D"/>
          <w:sz w:val="24"/>
          <w:szCs w:val="24"/>
        </w:rPr>
        <w:t xml:space="preserve">Governance, Security &amp; Defense Platform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65D" w:val="clear"/>
          </w:tcPr>
          <w:p>
            <w:pPr>
              <w:spacing w:before="120" w:after="120"/>
              <w:jc w:val="center"/>
            </w:pPr>
            <w:r>
              <w:rPr>
                <w:color w:val="FFFFFF"/>
                <w:sz w:val="22"/>
                <w:szCs w:val="22"/>
              </w:rPr>
              <w:t xml:space="preserve">Transforming institutional governance through integrated security, compliance, and ethical AI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C9A227"/>
                <w:sz w:val="22"/>
                <w:szCs w:val="22"/>
              </w:rPr>
              <w:t xml:space="preserve">THE PROBLEM</w:t>
            </w:r>
          </w:p>
          <w:p>
            <w:pPr>
              <w:spacing w:before="80"/>
            </w:pPr>
            <w:r>
              <w:rPr>
                <w:color w:val="0D1B2A"/>
                <w:sz w:val="20"/>
                <w:szCs w:val="20"/>
              </w:rPr>
              <w:t xml:space="preserve">Government institutions struggle with: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15-30% budget loss to opaque procurement</w:t>
            </w:r>
          </w:p>
          <w:p>
            <w:r>
              <w:rPr>
                <w:sz w:val="20"/>
                <w:szCs w:val="20"/>
              </w:rPr>
              <w:t xml:space="preserve">• 7-12 fragmented legacy systems per ministry</w:t>
            </w:r>
          </w:p>
          <w:p>
            <w:r>
              <w:rPr>
                <w:sz w:val="20"/>
                <w:szCs w:val="20"/>
              </w:rPr>
              <w:t xml:space="preserve">• Zero ethical AI governance frameworks</w:t>
            </w:r>
          </w:p>
          <w:p>
            <w:r>
              <w:rPr>
                <w:sz w:val="20"/>
                <w:szCs w:val="20"/>
              </w:rPr>
              <w:t xml:space="preserve">• 40% efficiency loss from system fragmentation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6A085"/>
                <w:sz w:val="22"/>
                <w:szCs w:val="22"/>
              </w:rPr>
              <w:t xml:space="preserve">THE SOLUTION</w:t>
            </w:r>
          </w:p>
          <w:p>
            <w:pPr>
              <w:spacing w:before="80"/>
            </w:pPr>
            <w:r>
              <w:rPr>
                <w:color w:val="0D1B2A"/>
                <w:sz w:val="20"/>
                <w:szCs w:val="20"/>
              </w:rPr>
              <w:t xml:space="preserve">IVYAR delivers unified platform with:</w:t>
            </w:r>
          </w:p>
          <w:p>
            <w:pPr>
              <w:spacing w:before="60"/>
            </w:pPr>
            <w:r>
              <w:rPr>
                <w:sz w:val="20"/>
                <w:szCs w:val="20"/>
              </w:rPr>
              <w:t xml:space="preserve">• Governance Portal &amp; Workflow Engine</w:t>
            </w:r>
          </w:p>
          <w:p>
            <w:r>
              <w:rPr>
                <w:sz w:val="20"/>
                <w:szCs w:val="20"/>
              </w:rPr>
              <w:t xml:space="preserve">• 8-Layer Zero-Trust Security Framework</w:t>
            </w:r>
          </w:p>
          <w:p>
            <w:r>
              <w:rPr>
                <w:sz w:val="20"/>
                <w:szCs w:val="20"/>
              </w:rPr>
              <w:t xml:space="preserve">• Academy &amp; Simulation Engine</w:t>
            </w:r>
          </w:p>
          <w:p>
            <w:r>
              <w:rPr>
                <w:sz w:val="20"/>
                <w:szCs w:val="20"/>
              </w:rPr>
              <w:t xml:space="preserve">• Ethical AI with Human-in-the-Loop</w:t>
            </w:r>
          </w:p>
        </w:tc>
      </w:tr>
    </w:tbl>
    <w:p>
      <w:pPr>
        <w:spacing w:before="200"/>
      </w:pPr>
    </w:p>
    <w:p>
      <w:r>
        <w:rPr>
          <w:b/>
          <w:bCs/>
          <w:color w:val="1B365D"/>
          <w:sz w:val="22"/>
          <w:szCs w:val="22"/>
        </w:rPr>
        <w:t xml:space="preserve">KEY METRICS</w:t>
      </w:r>
    </w:p>
    <w:p>
      <w:pPr>
        <w:spacing w:before="8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C9A227"/>
                <w:sz w:val="32"/>
                <w:szCs w:val="32"/>
              </w:rPr>
              <w:t xml:space="preserve">$35B+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TAM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16A085"/>
                <w:sz w:val="32"/>
                <w:szCs w:val="32"/>
              </w:rPr>
              <w:t xml:space="preserve">70-80%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Gross Margin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32"/>
                <w:szCs w:val="32"/>
              </w:rPr>
              <w:t xml:space="preserve">10:1+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LTV:CAC</w:t>
            </w:r>
          </w:p>
        </w:tc>
        <w:tc>
          <w:tcPr>
            <w:tcW w:type="dxa" w:w="25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</w:tcPr>
          <w:p>
            <w:pPr>
              <w:jc w:val="center"/>
            </w:pPr>
            <w:r>
              <w:rPr>
                <w:b/>
                <w:bCs/>
                <w:color w:val="C9A227"/>
                <w:sz w:val="32"/>
                <w:szCs w:val="32"/>
              </w:rPr>
              <w:t xml:space="preserve">&gt;95%</w:t>
            </w:r>
          </w:p>
          <w:p>
            <w:pPr>
              <w:jc w:val="center"/>
            </w:pPr>
            <w:r>
              <w:rPr>
                <w:color w:val="CCCCCC"/>
                <w:sz w:val="18"/>
                <w:szCs w:val="18"/>
              </w:rPr>
              <w:t xml:space="preserve">Retention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00"/>
        <w:gridCol w:w="4900"/>
      </w:tblGrid>
      <w:tr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BUSINESS MODEL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SaaS Subscriptions: $75K - $500K+/year</w:t>
            </w:r>
          </w:p>
          <w:p>
            <w:r>
              <w:rPr>
                <w:sz w:val="20"/>
                <w:szCs w:val="20"/>
              </w:rPr>
              <w:t xml:space="preserve">Modular Add-ons: Security, Academy, AI</w:t>
            </w:r>
          </w:p>
          <w:p>
            <w:r>
              <w:rPr>
                <w:sz w:val="20"/>
                <w:szCs w:val="20"/>
              </w:rPr>
              <w:t xml:space="preserve">Transaction Fees: 1-3% on procurement</w:t>
            </w:r>
          </w:p>
          <w:p>
            <w:r>
              <w:rPr>
                <w:sz w:val="20"/>
                <w:szCs w:val="20"/>
              </w:rPr>
              <w:t xml:space="preserve">Professional Services: Implementation</w:t>
            </w:r>
          </w:p>
        </w:tc>
        <w:tc>
          <w:tcPr>
            <w:tcW w:type="dxa" w:w="4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b/>
                <w:bCs/>
                <w:color w:val="1B365D"/>
                <w:sz w:val="22"/>
                <w:szCs w:val="22"/>
              </w:rPr>
              <w:t xml:space="preserve">TARGET CUSTOMERS</w:t>
            </w:r>
          </w:p>
          <w:p>
            <w:pPr>
              <w:spacing w:before="80"/>
            </w:pPr>
            <w:r>
              <w:rPr>
                <w:sz w:val="20"/>
                <w:szCs w:val="20"/>
              </w:rPr>
              <w:t xml:space="preserve">• Ministries of Defense (NATO members)</w:t>
            </w:r>
          </w:p>
          <w:p>
            <w:r>
              <w:rPr>
                <w:sz w:val="20"/>
                <w:szCs w:val="20"/>
              </w:rPr>
              <w:t xml:space="preserve">• International Donors (USAID, EU, WB)</w:t>
            </w:r>
          </w:p>
          <w:p>
            <w:r>
              <w:rPr>
                <w:sz w:val="20"/>
                <w:szCs w:val="20"/>
              </w:rPr>
              <w:t xml:space="preserve">• OEM Defense Manufacturers</w:t>
            </w:r>
          </w:p>
          <w:p>
            <w:r>
              <w:rPr>
                <w:sz w:val="20"/>
                <w:szCs w:val="20"/>
              </w:rPr>
              <w:t xml:space="preserve">• Government Digitalization Programs</w:t>
            </w:r>
          </w:p>
        </w:tc>
      </w:tr>
    </w:tbl>
    <w:p>
      <w:pPr>
        <w:spacing w:before="200"/>
      </w:pPr>
    </w:p>
    <w:p>
      <w:r>
        <w:rPr>
          <w:b/>
          <w:bCs/>
          <w:color w:val="1B365D"/>
          <w:sz w:val="22"/>
          <w:szCs w:val="22"/>
        </w:rPr>
        <w:t xml:space="preserve">COMPETITIVE ADVANTAGE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NATO/DoD Native</w:t>
            </w:r>
          </w:p>
          <w:p>
            <w:pPr>
              <w:jc w:val="center"/>
            </w:pPr>
            <w:r>
              <w:rPr>
                <w:color w:val="6C757D"/>
                <w:sz w:val="18"/>
                <w:szCs w:val="18"/>
              </w:rPr>
              <w:t xml:space="preserve">Built for compliance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Ethical AI First</w:t>
            </w:r>
          </w:p>
          <w:p>
            <w:pPr>
              <w:jc w:val="center"/>
            </w:pPr>
            <w:r>
              <w:rPr>
                <w:color w:val="6C757D"/>
                <w:sz w:val="18"/>
                <w:szCs w:val="18"/>
              </w:rPr>
              <w:t xml:space="preserve">Human oversight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Unified Platform</w:t>
            </w:r>
          </w:p>
          <w:p>
            <w:pPr>
              <w:jc w:val="center"/>
            </w:pPr>
            <w:r>
              <w:rPr>
                <w:color w:val="6C757D"/>
                <w:sz w:val="18"/>
                <w:szCs w:val="18"/>
              </w:rPr>
              <w:t xml:space="preserve">vs. 7-12 systems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80"/>
              <w:jc w:val="center"/>
            </w:pPr>
            <w:r>
              <w:rPr>
                <w:b/>
                <w:bCs/>
                <w:color w:val="0D1B2A"/>
                <w:sz w:val="20"/>
                <w:szCs w:val="20"/>
              </w:rPr>
              <w:t xml:space="preserve">50-70% Lower</w:t>
            </w:r>
          </w:p>
          <w:p>
            <w:pPr>
              <w:jc w:val="center"/>
            </w:pPr>
            <w:r>
              <w:rPr>
                <w:color w:val="6C757D"/>
                <w:sz w:val="18"/>
                <w:szCs w:val="18"/>
              </w:rPr>
              <w:t xml:space="preserve">vs. competitors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9A227" w:val="clear"/>
          </w:tcPr>
          <w:p>
            <w:pPr>
              <w:spacing w:before="120"/>
              <w:jc w:val="center"/>
            </w:pPr>
            <w:r>
              <w:rPr>
                <w:b/>
                <w:bCs/>
                <w:color w:val="0D1B2A"/>
                <w:sz w:val="28"/>
                <w:szCs w:val="28"/>
              </w:rPr>
              <w:t xml:space="preserve">SEED ROUND: $1.5M - $2.5M</w:t>
            </w:r>
          </w:p>
          <w:p>
            <w:pPr>
              <w:spacing w:after="120"/>
              <w:jc w:val="center"/>
            </w:pPr>
            <w:r>
              <w:rPr>
                <w:color w:val="0D1B2A"/>
                <w:sz w:val="18"/>
                <w:szCs w:val="18"/>
              </w:rPr>
              <w:t xml:space="preserve">Product Development (45%) • Sales &amp; Marketing (25%) • Security &amp; Compliance (15%) • Operations (15%)</w:t>
            </w:r>
          </w:p>
        </w:tc>
      </w:tr>
    </w:tbl>
    <w:p>
      <w:pPr>
        <w:spacing w:before="160"/>
      </w:pPr>
    </w:p>
    <w:p>
      <w:pPr>
        <w:jc w:val="center"/>
      </w:pPr>
      <w:r>
        <w:rPr>
          <w:color w:val="1B365D"/>
          <w:sz w:val="22"/>
          <w:szCs w:val="22"/>
        </w:rPr>
        <w:t xml:space="preserve">info@ivyar.org</w:t>
      </w:r>
      <w:r>
        <w:rPr>
          <w:color w:val="6C757D"/>
          <w:sz w:val="22"/>
          <w:szCs w:val="22"/>
        </w:rPr>
        <w:t xml:space="preserve">  •  </w:t>
      </w:r>
      <w:r>
        <w:rPr>
          <w:color w:val="1B365D"/>
          <w:sz w:val="22"/>
          <w:szCs w:val="22"/>
        </w:rPr>
        <w:t xml:space="preserve">ivyar.org</w:t>
      </w:r>
    </w:p>
    <w:sectPr>
      <w:headerReference w:type="default" r:id="rId6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C757D"/>
        <w:sz w:val="18"/>
        <w:szCs w:val="18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  <w:jc w:val="center"/>
    </w:pPr>
    <w:rPr>
      <w:rFonts w:ascii="Arial" w:cs="Arial" w:eastAsia="Arial" w:hAnsi="Arial"/>
      <w:b/>
      <w:bCs/>
      <w:color w:val="1B365D"/>
      <w:sz w:val="48"/>
      <w:szCs w:val="48"/>
    </w:rPr>
  </w:style>
  <w:style w:type="paragraph" w:styleId="Heading1">
    <w:name w:val="Heading 1"/>
    <w:basedOn w:val="Normal"/>
    <w:pPr>
      <w:spacing w:before="200" w:after="100"/>
    </w:pPr>
    <w:rPr>
      <w:rFonts w:ascii="Arial" w:cs="Arial" w:eastAsia="Arial" w:hAnsi="Arial"/>
      <w:b/>
      <w:bCs/>
      <w:color w:val="1B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2025-12-29T23:01:27.888Z</dcterms:created>
  <dcterms:modified xsi:type="dcterms:W3CDTF">2025-12-29T23:01:27.889Z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