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OEM LICENSE AGREEMENT</w:t>
      </w:r>
    </w:p>
    <w:p>
      <w:pPr>
        <w:spacing w:after="120"/>
        <w:jc w:val="center"/>
      </w:pPr>
      <w:r>
        <w:rPr>
          <w:i/>
          <w:iCs/>
          <w:sz w:val="22"/>
          <w:szCs w:val="22"/>
        </w:rPr>
        <w:t xml:space="preserve">(Original Equipment Manufacturer)</w:t>
      </w:r>
    </w:p>
    <w:p>
      <w:pPr>
        <w:spacing w:after="360"/>
        <w:jc w:val="center"/>
      </w:pPr>
      <w:r>
        <w:rPr>
          <w:sz w:val="24"/>
          <w:szCs w:val="24"/>
        </w:rPr>
        <w:t xml:space="preserve">IVYAR Governance, Security &amp; Defense Platform</w:t>
      </w:r>
    </w:p>
    <w:p>
      <w:pPr>
        <w:spacing w:after="120"/>
      </w:pPr>
      <w:r>
        <w:rPr>
          <w:sz w:val="22"/>
          <w:szCs w:val="22"/>
        </w:rPr>
        <w:t xml:space="preserve">This OEM License Agreement (the "Agreement") is entered into as of the date last signed below (the "Effective Date"), by and between:</w:t>
      </w:r>
    </w:p>
    <w:p>
      <w:pPr>
        <w:spacing w:after="120"/>
      </w:pPr>
    </w:p>
    <w:p>
      <w:pPr>
        <w:spacing w:after="120"/>
      </w:pPr>
      <w:r>
        <w:rPr>
          <w:b/>
          <w:bCs/>
          <w:sz w:val="22"/>
          <w:szCs w:val="22"/>
        </w:rPr>
        <w:t xml:space="preserve">LICENSOR:</w:t>
      </w:r>
    </w:p>
    <w:p>
      <w:pPr>
        <w:spacing w:after="120"/>
      </w:pPr>
      <w:r>
        <w:rPr>
          <w:sz w:val="22"/>
          <w:szCs w:val="22"/>
        </w:rPr>
        <w:t xml:space="preserve">IVYAR LLC, a Delaware limited liability company, with its principal place of business at [Address] ("IVYAR" or "Licensor")</w:t>
      </w:r>
    </w:p>
    <w:p>
      <w:pPr>
        <w:spacing w:after="120"/>
      </w:pPr>
    </w:p>
    <w:p>
      <w:pPr>
        <w:spacing w:after="120"/>
      </w:pPr>
      <w:r>
        <w:rPr>
          <w:b/>
          <w:bCs/>
          <w:sz w:val="22"/>
          <w:szCs w:val="22"/>
        </w:rPr>
        <w:t xml:space="preserve">OEM PARTNER:</w:t>
      </w:r>
    </w:p>
    <w:p>
      <w:pPr>
        <w:spacing w:after="120"/>
      </w:pPr>
      <w:r>
        <w:rPr>
          <w:sz w:val="22"/>
          <w:szCs w:val="22"/>
        </w:rPr>
        <w:t xml:space="preserve">[Full Legal Name], a [Type of Entity] organized under the laws of [Jurisdiction], with its principal place of business at [Address] ("OEM" or "Licensee")</w:t>
      </w:r>
    </w:p>
    <w:p>
      <w:pPr>
        <w:spacing w:after="120"/>
      </w:pPr>
    </w:p>
    <w:p>
      <w:pPr>
        <w:spacing w:after="120"/>
      </w:pPr>
      <w:r>
        <w:rPr>
          <w:sz w:val="22"/>
          <w:szCs w:val="22"/>
        </w:rPr>
        <w:t xml:space="preserve">IVYAR and OEM may be referred to individually as a "Party" and collectively as the "Parties."</w:t>
      </w:r>
    </w:p>
    <w:p>
      <w:pPr>
        <w:spacing w:after="160"/>
      </w:pPr>
    </w:p>
    <w:p>
      <w:pPr>
        <w:spacing w:after="120"/>
      </w:pPr>
      <w:r>
        <w:rPr>
          <w:b/>
          <w:bCs/>
          <w:sz w:val="22"/>
          <w:szCs w:val="22"/>
        </w:rPr>
        <w:t xml:space="preserve">RECITALS</w:t>
      </w:r>
    </w:p>
    <w:p>
      <w:pPr>
        <w:spacing w:after="120"/>
      </w:pPr>
      <w:r>
        <w:rPr>
          <w:sz w:val="22"/>
          <w:szCs w:val="22"/>
        </w:rPr>
        <w:t xml:space="preserve">WHEREAS, IVYAR has developed and owns the IVYAR Platform, a proprietary governance, security, and defense software solution;</w:t>
      </w:r>
    </w:p>
    <w:p>
      <w:pPr>
        <w:spacing w:after="120"/>
      </w:pPr>
      <w:r>
        <w:rPr>
          <w:sz w:val="22"/>
          <w:szCs w:val="22"/>
        </w:rPr>
        <w:t xml:space="preserve">WHEREAS, OEM develops and markets [description of OEM products/services] to its customers;</w:t>
      </w:r>
    </w:p>
    <w:p>
      <w:pPr>
        <w:spacing w:after="120"/>
      </w:pPr>
      <w:r>
        <w:rPr>
          <w:sz w:val="22"/>
          <w:szCs w:val="22"/>
        </w:rPr>
        <w:t xml:space="preserve">WHEREAS, OEM desires to integrate, embed, and distribute certain components of the IVYAR Platform within OEM's products and solutions (the "OEM Products");</w:t>
      </w:r>
    </w:p>
    <w:p>
      <w:pPr>
        <w:spacing w:after="120"/>
      </w:pPr>
      <w:r>
        <w:rPr>
          <w:sz w:val="22"/>
          <w:szCs w:val="22"/>
        </w:rPr>
        <w:t xml:space="preserve">WHEREAS, IVYAR is willing to grant OEM such rights subject to the terms and conditions set forth herein; and</w:t>
      </w:r>
    </w:p>
    <w:p>
      <w:pPr>
        <w:spacing w:after="120"/>
      </w:pPr>
      <w:r>
        <w:rPr>
          <w:sz w:val="22"/>
          <w:szCs w:val="22"/>
        </w:rPr>
        <w:t xml:space="preserve">WHEREAS, the Parties wish to establish a mutually beneficial OEM relationship.</w:t>
      </w:r>
    </w:p>
    <w:p>
      <w:pPr>
        <w:spacing w:after="120"/>
      </w:pPr>
      <w:r>
        <w:rPr>
          <w:sz w:val="22"/>
          <w:szCs w:val="22"/>
        </w:rPr>
        <w:t xml:space="preserve">NOW, THEREFORE, in consideration of the mutual covenants and promises contained herein, and for other good and valuable consideration, the receipt and sufficiency of which are hereby acknowledged, the Parties agree as follows:</w:t>
      </w:r>
    </w:p>
    <w:p>
      <w:pPr>
        <w:spacing w:before="360" w:after="120"/>
      </w:pPr>
      <w:r>
        <w:rPr>
          <w:b/>
          <w:bCs/>
          <w:sz w:val="24"/>
          <w:szCs w:val="24"/>
        </w:rPr>
        <w:t xml:space="preserve">ARTICLE 1. DEFINITIONS</w:t>
      </w:r>
    </w:p>
    <w:p>
      <w:pPr>
        <w:pStyle w:val="ListParagraph"/>
        <w:numPr>
          <w:ilvl w:val="0"/>
          <w:numId w:val="2"/>
        </w:numPr>
        <w:spacing w:after="120"/>
      </w:pPr>
      <w:r>
        <w:rPr>
          <w:sz w:val="22"/>
          <w:szCs w:val="22"/>
        </w:rPr>
        <w:t xml:space="preserve">"Confidential Information" means any non-public information disclosed by either Party, including but not limited to source code, algorithms, business plans, pricing, customer data, technical specifications, and trade secrets.</w:t>
      </w:r>
    </w:p>
    <w:p>
      <w:pPr>
        <w:pStyle w:val="ListParagraph"/>
        <w:numPr>
          <w:ilvl w:val="0"/>
          <w:numId w:val="2"/>
        </w:numPr>
        <w:spacing w:after="120"/>
      </w:pPr>
      <w:r>
        <w:rPr>
          <w:sz w:val="22"/>
          <w:szCs w:val="22"/>
        </w:rPr>
        <w:t xml:space="preserve">"Documentation" means all user manuals, technical documentation, specifications, API documentation, and other materials provided by IVYAR relating to the Licensed Technology.</w:t>
      </w:r>
    </w:p>
    <w:p>
      <w:pPr>
        <w:pStyle w:val="ListParagraph"/>
        <w:numPr>
          <w:ilvl w:val="0"/>
          <w:numId w:val="2"/>
        </w:numPr>
        <w:spacing w:after="120"/>
      </w:pPr>
      <w:r>
        <w:rPr>
          <w:sz w:val="22"/>
          <w:szCs w:val="22"/>
        </w:rPr>
        <w:t xml:space="preserve">"End User" means any third party that acquires or uses the OEM Products from OEM or OEM's authorized distributors.</w:t>
      </w:r>
    </w:p>
    <w:p>
      <w:pPr>
        <w:pStyle w:val="ListParagraph"/>
        <w:numPr>
          <w:ilvl w:val="0"/>
          <w:numId w:val="2"/>
        </w:numPr>
        <w:spacing w:after="120"/>
      </w:pPr>
      <w:r>
        <w:rPr>
          <w:sz w:val="22"/>
          <w:szCs w:val="22"/>
        </w:rPr>
        <w:t xml:space="preserve">"Intellectual Property Rights" means all patents, copyrights, trademarks, trade secrets, and any other intellectual property rights recognized in any jurisdiction worldwide.</w:t>
      </w:r>
    </w:p>
    <w:p>
      <w:pPr>
        <w:pStyle w:val="ListParagraph"/>
        <w:numPr>
          <w:ilvl w:val="0"/>
          <w:numId w:val="2"/>
        </w:numPr>
        <w:spacing w:after="120"/>
      </w:pPr>
      <w:r>
        <w:rPr>
          <w:sz w:val="22"/>
          <w:szCs w:val="22"/>
        </w:rPr>
        <w:t xml:space="preserve">"Licensed Technology" means the specific components of the IVYAR Platform licensed to OEM under this Agreement, as specified in Exhibit A, including all associated Documentation, APIs, and updates provided by IVYAR.</w:t>
      </w:r>
    </w:p>
    <w:p>
      <w:pPr>
        <w:pStyle w:val="ListParagraph"/>
        <w:numPr>
          <w:ilvl w:val="0"/>
          <w:numId w:val="2"/>
        </w:numPr>
        <w:spacing w:after="120"/>
      </w:pPr>
      <w:r>
        <w:rPr>
          <w:sz w:val="22"/>
          <w:szCs w:val="22"/>
        </w:rPr>
        <w:t xml:space="preserve">"OEM Products" means OEM's products and services that incorporate or integrate the Licensed Technology, as described in Exhibit B.</w:t>
      </w:r>
    </w:p>
    <w:p>
      <w:pPr>
        <w:pStyle w:val="ListParagraph"/>
        <w:numPr>
          <w:ilvl w:val="0"/>
          <w:numId w:val="2"/>
        </w:numPr>
        <w:spacing w:after="120"/>
      </w:pPr>
      <w:r>
        <w:rPr>
          <w:sz w:val="22"/>
          <w:szCs w:val="22"/>
        </w:rPr>
        <w:t xml:space="preserve">"Royalty" means the fees payable by OEM to IVYAR for the license granted hereunder, as set forth in Exhibit C.</w:t>
      </w:r>
    </w:p>
    <w:p>
      <w:pPr>
        <w:pStyle w:val="ListParagraph"/>
        <w:numPr>
          <w:ilvl w:val="0"/>
          <w:numId w:val="2"/>
        </w:numPr>
        <w:spacing w:after="120"/>
      </w:pPr>
      <w:r>
        <w:rPr>
          <w:sz w:val="22"/>
          <w:szCs w:val="22"/>
        </w:rPr>
        <w:t xml:space="preserve">"Source Code" means the human-readable form of the Licensed Technology's software code.</w:t>
      </w:r>
    </w:p>
    <w:p>
      <w:pPr>
        <w:pStyle w:val="ListParagraph"/>
        <w:numPr>
          <w:ilvl w:val="0"/>
          <w:numId w:val="2"/>
        </w:numPr>
        <w:spacing w:after="120"/>
      </w:pPr>
      <w:r>
        <w:rPr>
          <w:sz w:val="22"/>
          <w:szCs w:val="22"/>
        </w:rPr>
        <w:t xml:space="preserve">"Object Code" means the machine-readable, compiled form of the Licensed Technology.</w:t>
      </w:r>
    </w:p>
    <w:p>
      <w:pPr>
        <w:pStyle w:val="ListParagraph"/>
        <w:numPr>
          <w:ilvl w:val="0"/>
          <w:numId w:val="2"/>
        </w:numPr>
        <w:spacing w:after="120"/>
      </w:pPr>
      <w:r>
        <w:rPr>
          <w:sz w:val="22"/>
          <w:szCs w:val="22"/>
        </w:rPr>
        <w:t xml:space="preserve">"Territory" means the geographic regions specified in Exhibit A where OEM is authorized to distribute OEM Products.</w:t>
      </w:r>
    </w:p>
    <w:p>
      <w:pPr>
        <w:pStyle w:val="ListParagraph"/>
        <w:numPr>
          <w:ilvl w:val="0"/>
          <w:numId w:val="2"/>
        </w:numPr>
        <w:spacing w:after="120"/>
      </w:pPr>
      <w:r>
        <w:rPr>
          <w:sz w:val="22"/>
          <w:szCs w:val="22"/>
        </w:rPr>
        <w:t xml:space="preserve">"Updates" means bug fixes, patches, minor version releases, and maintenance updates to the Licensed Technology.</w:t>
      </w:r>
    </w:p>
    <w:p>
      <w:pPr>
        <w:pStyle w:val="ListParagraph"/>
        <w:numPr>
          <w:ilvl w:val="0"/>
          <w:numId w:val="2"/>
        </w:numPr>
        <w:spacing w:after="120"/>
      </w:pPr>
      <w:r>
        <w:rPr>
          <w:sz w:val="22"/>
          <w:szCs w:val="22"/>
        </w:rPr>
        <w:t xml:space="preserve">"Upgrades" means major version releases and new feature additions to the Licensed Technology.</w:t>
      </w:r>
    </w:p>
    <w:p>
      <w:pPr>
        <w:spacing w:before="360" w:after="120"/>
      </w:pPr>
      <w:r>
        <w:rPr>
          <w:b/>
          <w:bCs/>
          <w:sz w:val="24"/>
          <w:szCs w:val="24"/>
        </w:rPr>
        <w:t xml:space="preserve">ARTICLE 2. LICENSE GRANT</w:t>
      </w:r>
    </w:p>
    <w:p>
      <w:pPr>
        <w:pStyle w:val="ListParagraph"/>
        <w:numPr>
          <w:ilvl w:val="0"/>
          <w:numId w:val="3"/>
        </w:numPr>
        <w:spacing w:after="120"/>
      </w:pPr>
      <w:r>
        <w:rPr>
          <w:sz w:val="22"/>
          <w:szCs w:val="22"/>
        </w:rPr>
        <w:t xml:space="preserve">OEM License. Subject to the terms of this Agreement, IVYAR hereby grants to OEM a non-exclusive, non-transferable (except as expressly permitted herein) license during the Term to:</w:t>
      </w:r>
    </w:p>
    <w:p>
      <w:pPr>
        <w:pStyle w:val="ListParagraph"/>
        <w:numPr>
          <w:ilvl w:val="0"/>
          <w:numId w:val="4"/>
        </w:numPr>
        <w:spacing w:after="80"/>
      </w:pPr>
      <w:r>
        <w:rPr>
          <w:sz w:val="22"/>
          <w:szCs w:val="22"/>
        </w:rPr>
        <w:t xml:space="preserve">Integrate and embed the Licensed Technology into OEM Products;</w:t>
      </w:r>
    </w:p>
    <w:p>
      <w:pPr>
        <w:pStyle w:val="ListParagraph"/>
        <w:numPr>
          <w:ilvl w:val="0"/>
          <w:numId w:val="4"/>
        </w:numPr>
        <w:spacing w:after="80"/>
      </w:pPr>
      <w:r>
        <w:rPr>
          <w:sz w:val="22"/>
          <w:szCs w:val="22"/>
        </w:rPr>
        <w:t xml:space="preserve">Reproduce the Licensed Technology as integrated within OEM Products;</w:t>
      </w:r>
    </w:p>
    <w:p>
      <w:pPr>
        <w:pStyle w:val="ListParagraph"/>
        <w:numPr>
          <w:ilvl w:val="0"/>
          <w:numId w:val="4"/>
        </w:numPr>
        <w:spacing w:after="80"/>
      </w:pPr>
      <w:r>
        <w:rPr>
          <w:sz w:val="22"/>
          <w:szCs w:val="22"/>
        </w:rPr>
        <w:t xml:space="preserve">Distribute OEM Products containing the Licensed Technology to End Users within the Territory;</w:t>
      </w:r>
    </w:p>
    <w:p>
      <w:pPr>
        <w:pStyle w:val="ListParagraph"/>
        <w:numPr>
          <w:ilvl w:val="0"/>
          <w:numId w:val="4"/>
        </w:numPr>
        <w:spacing w:after="80"/>
      </w:pPr>
      <w:r>
        <w:rPr>
          <w:sz w:val="22"/>
          <w:szCs w:val="22"/>
        </w:rPr>
        <w:t xml:space="preserve">Sublicense End Users to use the Licensed Technology solely as integrated within OEM Products;</w:t>
      </w:r>
    </w:p>
    <w:p>
      <w:pPr>
        <w:pStyle w:val="ListParagraph"/>
        <w:numPr>
          <w:ilvl w:val="0"/>
          <w:numId w:val="4"/>
        </w:numPr>
        <w:spacing w:after="80"/>
      </w:pPr>
      <w:r>
        <w:rPr>
          <w:sz w:val="22"/>
          <w:szCs w:val="22"/>
        </w:rPr>
        <w:t xml:space="preserve">Use the Documentation internally for purposes of integration, support, and training.</w:t>
      </w:r>
    </w:p>
    <w:p>
      <w:pPr>
        <w:pStyle w:val="ListParagraph"/>
        <w:numPr>
          <w:ilvl w:val="0"/>
          <w:numId w:val="3"/>
        </w:numPr>
        <w:spacing w:after="120"/>
      </w:pPr>
      <w:r>
        <w:rPr>
          <w:sz w:val="22"/>
          <w:szCs w:val="22"/>
        </w:rPr>
        <w:t xml:space="preserve">License Restrictions. The license granted herein is subject to the following restrictions. OEM shall not:</w:t>
      </w:r>
    </w:p>
    <w:p>
      <w:pPr>
        <w:pStyle w:val="ListParagraph"/>
        <w:numPr>
          <w:ilvl w:val="0"/>
          <w:numId w:val="4"/>
        </w:numPr>
        <w:spacing w:after="80"/>
      </w:pPr>
      <w:r>
        <w:rPr>
          <w:sz w:val="22"/>
          <w:szCs w:val="22"/>
        </w:rPr>
        <w:t xml:space="preserve">Distribute, license, or make available the Licensed Technology as a standalone product;</w:t>
      </w:r>
    </w:p>
    <w:p>
      <w:pPr>
        <w:pStyle w:val="ListParagraph"/>
        <w:numPr>
          <w:ilvl w:val="0"/>
          <w:numId w:val="4"/>
        </w:numPr>
        <w:spacing w:after="80"/>
      </w:pPr>
      <w:r>
        <w:rPr>
          <w:sz w:val="22"/>
          <w:szCs w:val="22"/>
        </w:rPr>
        <w:t xml:space="preserve">Modify, adapt, or create derivative works of the Licensed Technology except as expressly permitted;</w:t>
      </w:r>
    </w:p>
    <w:p>
      <w:pPr>
        <w:pStyle w:val="ListParagraph"/>
        <w:numPr>
          <w:ilvl w:val="0"/>
          <w:numId w:val="4"/>
        </w:numPr>
        <w:spacing w:after="80"/>
      </w:pPr>
      <w:r>
        <w:rPr>
          <w:sz w:val="22"/>
          <w:szCs w:val="22"/>
        </w:rPr>
        <w:t xml:space="preserve">Reverse engineer, decompile, or disassemble the Licensed Technology;</w:t>
      </w:r>
    </w:p>
    <w:p>
      <w:pPr>
        <w:pStyle w:val="ListParagraph"/>
        <w:numPr>
          <w:ilvl w:val="0"/>
          <w:numId w:val="4"/>
        </w:numPr>
        <w:spacing w:after="80"/>
      </w:pPr>
      <w:r>
        <w:rPr>
          <w:sz w:val="22"/>
          <w:szCs w:val="22"/>
        </w:rPr>
        <w:t xml:space="preserve">Remove, alter, or obscure any proprietary notices, labels, or marks;</w:t>
      </w:r>
    </w:p>
    <w:p>
      <w:pPr>
        <w:pStyle w:val="ListParagraph"/>
        <w:numPr>
          <w:ilvl w:val="0"/>
          <w:numId w:val="4"/>
        </w:numPr>
        <w:spacing w:after="80"/>
      </w:pPr>
      <w:r>
        <w:rPr>
          <w:sz w:val="22"/>
          <w:szCs w:val="22"/>
        </w:rPr>
        <w:t xml:space="preserve">Use the Licensed Technology for purposes other than integration into OEM Products;</w:t>
      </w:r>
    </w:p>
    <w:p>
      <w:pPr>
        <w:pStyle w:val="ListParagraph"/>
        <w:numPr>
          <w:ilvl w:val="0"/>
          <w:numId w:val="4"/>
        </w:numPr>
        <w:spacing w:after="80"/>
      </w:pPr>
      <w:r>
        <w:rPr>
          <w:sz w:val="22"/>
          <w:szCs w:val="22"/>
        </w:rPr>
        <w:t xml:space="preserve">Sublicense, assign, or transfer the license except as expressly permitted;</w:t>
      </w:r>
    </w:p>
    <w:p>
      <w:pPr>
        <w:pStyle w:val="ListParagraph"/>
        <w:numPr>
          <w:ilvl w:val="0"/>
          <w:numId w:val="4"/>
        </w:numPr>
        <w:spacing w:after="80"/>
      </w:pPr>
      <w:r>
        <w:rPr>
          <w:sz w:val="22"/>
          <w:szCs w:val="22"/>
        </w:rPr>
        <w:t xml:space="preserve">Exceed the scope of use specified in Exhibit A.</w:t>
      </w:r>
    </w:p>
    <w:p>
      <w:pPr>
        <w:pStyle w:val="ListParagraph"/>
        <w:numPr>
          <w:ilvl w:val="0"/>
          <w:numId w:val="3"/>
        </w:numPr>
        <w:spacing w:after="120"/>
      </w:pPr>
      <w:r>
        <w:rPr>
          <w:sz w:val="22"/>
          <w:szCs w:val="22"/>
        </w:rPr>
        <w:t xml:space="preserve">Source Code Access. If Source Code access is granted under Exhibit A:</w:t>
      </w:r>
    </w:p>
    <w:p>
      <w:pPr>
        <w:pStyle w:val="ListParagraph"/>
        <w:numPr>
          <w:ilvl w:val="0"/>
          <w:numId w:val="4"/>
        </w:numPr>
        <w:spacing w:after="80"/>
      </w:pPr>
      <w:r>
        <w:rPr>
          <w:sz w:val="22"/>
          <w:szCs w:val="22"/>
        </w:rPr>
        <w:t xml:space="preserve">OEM shall maintain Source Code under strict confidentiality;</w:t>
      </w:r>
    </w:p>
    <w:p>
      <w:pPr>
        <w:pStyle w:val="ListParagraph"/>
        <w:numPr>
          <w:ilvl w:val="0"/>
          <w:numId w:val="4"/>
        </w:numPr>
        <w:spacing w:after="80"/>
      </w:pPr>
      <w:r>
        <w:rPr>
          <w:sz w:val="22"/>
          <w:szCs w:val="22"/>
        </w:rPr>
        <w:t xml:space="preserve">Access shall be limited to OEM personnel with a need to know;</w:t>
      </w:r>
    </w:p>
    <w:p>
      <w:pPr>
        <w:pStyle w:val="ListParagraph"/>
        <w:numPr>
          <w:ilvl w:val="0"/>
          <w:numId w:val="4"/>
        </w:numPr>
        <w:spacing w:after="80"/>
      </w:pPr>
      <w:r>
        <w:rPr>
          <w:sz w:val="22"/>
          <w:szCs w:val="22"/>
        </w:rPr>
        <w:t xml:space="preserve">OEM shall implement security measures at least as protective as those for its own source code;</w:t>
      </w:r>
    </w:p>
    <w:p>
      <w:pPr>
        <w:pStyle w:val="ListParagraph"/>
        <w:numPr>
          <w:ilvl w:val="0"/>
          <w:numId w:val="4"/>
        </w:numPr>
        <w:spacing w:after="80"/>
      </w:pPr>
      <w:r>
        <w:rPr>
          <w:sz w:val="22"/>
          <w:szCs w:val="22"/>
        </w:rPr>
        <w:t xml:space="preserve">OEM shall not use Source Code except for permitted integration and debugging purposes.</w:t>
      </w:r>
    </w:p>
    <w:p>
      <w:pPr>
        <w:pStyle w:val="ListParagraph"/>
        <w:numPr>
          <w:ilvl w:val="0"/>
          <w:numId w:val="3"/>
        </w:numPr>
        <w:spacing w:after="120"/>
      </w:pPr>
      <w:r>
        <w:rPr>
          <w:sz w:val="22"/>
          <w:szCs w:val="22"/>
        </w:rPr>
        <w:t xml:space="preserve">Reservation of Rights. IVYAR reserves all rights not expressly granted herein. No implied licenses are granted.</w:t>
      </w:r>
    </w:p>
    <w:p>
      <w:pPr>
        <w:spacing w:before="360" w:after="120"/>
      </w:pPr>
      <w:r>
        <w:rPr>
          <w:b/>
          <w:bCs/>
          <w:sz w:val="24"/>
          <w:szCs w:val="24"/>
        </w:rPr>
        <w:t xml:space="preserve">ARTICLE 3. OEM PRODUCT REQUIREMENTS</w:t>
      </w:r>
    </w:p>
    <w:p>
      <w:pPr>
        <w:pStyle w:val="ListParagraph"/>
        <w:numPr>
          <w:ilvl w:val="0"/>
          <w:numId w:val="5"/>
        </w:numPr>
        <w:spacing w:after="120"/>
      </w:pPr>
      <w:r>
        <w:rPr>
          <w:sz w:val="22"/>
          <w:szCs w:val="22"/>
        </w:rPr>
        <w:t xml:space="preserve">Integration Standards. OEM shall integrate the Licensed Technology into OEM Products in accordance with:</w:t>
      </w:r>
    </w:p>
    <w:p>
      <w:pPr>
        <w:pStyle w:val="ListParagraph"/>
        <w:numPr>
          <w:ilvl w:val="0"/>
          <w:numId w:val="4"/>
        </w:numPr>
        <w:spacing w:after="80"/>
      </w:pPr>
      <w:r>
        <w:rPr>
          <w:sz w:val="22"/>
          <w:szCs w:val="22"/>
        </w:rPr>
        <w:t xml:space="preserve">IVYAR's technical integration guidelines and specifications;</w:t>
      </w:r>
    </w:p>
    <w:p>
      <w:pPr>
        <w:pStyle w:val="ListParagraph"/>
        <w:numPr>
          <w:ilvl w:val="0"/>
          <w:numId w:val="4"/>
        </w:numPr>
        <w:spacing w:after="80"/>
      </w:pPr>
      <w:r>
        <w:rPr>
          <w:sz w:val="22"/>
          <w:szCs w:val="22"/>
        </w:rPr>
        <w:t xml:space="preserve">Industry-standard security practices;</w:t>
      </w:r>
    </w:p>
    <w:p>
      <w:pPr>
        <w:pStyle w:val="ListParagraph"/>
        <w:numPr>
          <w:ilvl w:val="0"/>
          <w:numId w:val="4"/>
        </w:numPr>
        <w:spacing w:after="80"/>
      </w:pPr>
      <w:r>
        <w:rPr>
          <w:sz w:val="22"/>
          <w:szCs w:val="22"/>
        </w:rPr>
        <w:t xml:space="preserve">All applicable laws and regulations;</w:t>
      </w:r>
    </w:p>
    <w:p>
      <w:pPr>
        <w:pStyle w:val="ListParagraph"/>
        <w:numPr>
          <w:ilvl w:val="0"/>
          <w:numId w:val="4"/>
        </w:numPr>
        <w:spacing w:after="80"/>
      </w:pPr>
      <w:r>
        <w:rPr>
          <w:sz w:val="22"/>
          <w:szCs w:val="22"/>
        </w:rPr>
        <w:t xml:space="preserve">Quality standards mutually agreed upon by the Parties.</w:t>
      </w:r>
    </w:p>
    <w:p>
      <w:pPr>
        <w:pStyle w:val="ListParagraph"/>
        <w:numPr>
          <w:ilvl w:val="0"/>
          <w:numId w:val="5"/>
        </w:numPr>
        <w:spacing w:after="120"/>
      </w:pPr>
      <w:r>
        <w:rPr>
          <w:sz w:val="22"/>
          <w:szCs w:val="22"/>
        </w:rPr>
        <w:t xml:space="preserve">Branding and Attribution. OEM Products shall include:</w:t>
      </w:r>
    </w:p>
    <w:p>
      <w:pPr>
        <w:pStyle w:val="ListParagraph"/>
        <w:numPr>
          <w:ilvl w:val="0"/>
          <w:numId w:val="4"/>
        </w:numPr>
        <w:spacing w:after="80"/>
      </w:pPr>
      <w:r>
        <w:rPr>
          <w:sz w:val="22"/>
          <w:szCs w:val="22"/>
        </w:rPr>
        <w:t xml:space="preserve">"Powered by IVYAR" designation in a reasonably prominent location;</w:t>
      </w:r>
    </w:p>
    <w:p>
      <w:pPr>
        <w:pStyle w:val="ListParagraph"/>
        <w:numPr>
          <w:ilvl w:val="0"/>
          <w:numId w:val="4"/>
        </w:numPr>
        <w:spacing w:after="80"/>
      </w:pPr>
      <w:r>
        <w:rPr>
          <w:sz w:val="22"/>
          <w:szCs w:val="22"/>
        </w:rPr>
        <w:t xml:space="preserve">IVYAR copyright notices as specified by IVYAR;</w:t>
      </w:r>
    </w:p>
    <w:p>
      <w:pPr>
        <w:pStyle w:val="ListParagraph"/>
        <w:numPr>
          <w:ilvl w:val="0"/>
          <w:numId w:val="4"/>
        </w:numPr>
        <w:spacing w:after="80"/>
      </w:pPr>
      <w:r>
        <w:rPr>
          <w:sz w:val="22"/>
          <w:szCs w:val="22"/>
        </w:rPr>
        <w:t xml:space="preserve">Appropriate trademark attribution in documentation and marketing materials.</w:t>
      </w:r>
    </w:p>
    <w:p>
      <w:pPr>
        <w:pStyle w:val="ListParagraph"/>
        <w:numPr>
          <w:ilvl w:val="0"/>
          <w:numId w:val="5"/>
        </w:numPr>
        <w:spacing w:after="120"/>
      </w:pPr>
      <w:r>
        <w:rPr>
          <w:sz w:val="22"/>
          <w:szCs w:val="22"/>
        </w:rPr>
        <w:t xml:space="preserve">Minimum Requirements. OEM Products must meet the following minimum requirements:</w:t>
      </w:r>
    </w:p>
    <w:p>
      <w:pPr>
        <w:pStyle w:val="ListParagraph"/>
        <w:numPr>
          <w:ilvl w:val="0"/>
          <w:numId w:val="4"/>
        </w:numPr>
        <w:spacing w:after="80"/>
      </w:pPr>
      <w:r>
        <w:rPr>
          <w:sz w:val="22"/>
          <w:szCs w:val="22"/>
        </w:rPr>
        <w:t xml:space="preserve">Substantial value-add beyond the Licensed Technology alone;</w:t>
      </w:r>
    </w:p>
    <w:p>
      <w:pPr>
        <w:pStyle w:val="ListParagraph"/>
        <w:numPr>
          <w:ilvl w:val="0"/>
          <w:numId w:val="4"/>
        </w:numPr>
        <w:spacing w:after="80"/>
      </w:pPr>
      <w:r>
        <w:rPr>
          <w:sz w:val="22"/>
          <w:szCs w:val="22"/>
        </w:rPr>
        <w:t xml:space="preserve">Professional quality user interface and user experience;</w:t>
      </w:r>
    </w:p>
    <w:p>
      <w:pPr>
        <w:pStyle w:val="ListParagraph"/>
        <w:numPr>
          <w:ilvl w:val="0"/>
          <w:numId w:val="4"/>
        </w:numPr>
        <w:spacing w:after="80"/>
      </w:pPr>
      <w:r>
        <w:rPr>
          <w:sz w:val="22"/>
          <w:szCs w:val="22"/>
        </w:rPr>
        <w:t xml:space="preserve">Adequate documentation and support resources;</w:t>
      </w:r>
    </w:p>
    <w:p>
      <w:pPr>
        <w:pStyle w:val="ListParagraph"/>
        <w:numPr>
          <w:ilvl w:val="0"/>
          <w:numId w:val="4"/>
        </w:numPr>
        <w:spacing w:after="80"/>
      </w:pPr>
      <w:r>
        <w:rPr>
          <w:sz w:val="22"/>
          <w:szCs w:val="22"/>
        </w:rPr>
        <w:t xml:space="preserve">Compliance with applicable industry standards and certifications.</w:t>
      </w:r>
    </w:p>
    <w:p>
      <w:pPr>
        <w:pStyle w:val="ListParagraph"/>
        <w:numPr>
          <w:ilvl w:val="0"/>
          <w:numId w:val="5"/>
        </w:numPr>
        <w:spacing w:after="120"/>
      </w:pPr>
      <w:r>
        <w:rPr>
          <w:sz w:val="22"/>
          <w:szCs w:val="22"/>
        </w:rPr>
        <w:t xml:space="preserve">Approval Process. Prior to commercial release, OEM shall submit OEM Products to IVYAR for approval. IVYAR shall respond within thirty (30) days. IVYAR may withhold approval only for:</w:t>
      </w:r>
    </w:p>
    <w:p>
      <w:pPr>
        <w:pStyle w:val="ListParagraph"/>
        <w:numPr>
          <w:ilvl w:val="0"/>
          <w:numId w:val="4"/>
        </w:numPr>
        <w:spacing w:after="80"/>
      </w:pPr>
      <w:r>
        <w:rPr>
          <w:sz w:val="22"/>
          <w:szCs w:val="22"/>
        </w:rPr>
        <w:t xml:space="preserve">Technical defects or integration issues;</w:t>
      </w:r>
    </w:p>
    <w:p>
      <w:pPr>
        <w:pStyle w:val="ListParagraph"/>
        <w:numPr>
          <w:ilvl w:val="0"/>
          <w:numId w:val="4"/>
        </w:numPr>
        <w:spacing w:after="80"/>
      </w:pPr>
      <w:r>
        <w:rPr>
          <w:sz w:val="22"/>
          <w:szCs w:val="22"/>
        </w:rPr>
        <w:t xml:space="preserve">Non-compliance with branding requirements;</w:t>
      </w:r>
    </w:p>
    <w:p>
      <w:pPr>
        <w:pStyle w:val="ListParagraph"/>
        <w:numPr>
          <w:ilvl w:val="0"/>
          <w:numId w:val="4"/>
        </w:numPr>
        <w:spacing w:after="80"/>
      </w:pPr>
      <w:r>
        <w:rPr>
          <w:sz w:val="22"/>
          <w:szCs w:val="22"/>
        </w:rPr>
        <w:t xml:space="preserve">Quality concerns that may reflect negatively on IVYAR;</w:t>
      </w:r>
    </w:p>
    <w:p>
      <w:pPr>
        <w:pStyle w:val="ListParagraph"/>
        <w:numPr>
          <w:ilvl w:val="0"/>
          <w:numId w:val="4"/>
        </w:numPr>
        <w:spacing w:after="80"/>
      </w:pPr>
      <w:r>
        <w:rPr>
          <w:sz w:val="22"/>
          <w:szCs w:val="22"/>
        </w:rPr>
        <w:t xml:space="preserve">Security vulnerabilities.</w:t>
      </w:r>
    </w:p>
    <w:p>
      <w:r>
        <w:br w:type="page"/>
      </w:r>
    </w:p>
    <w:p>
      <w:pPr>
        <w:spacing w:before="360" w:after="120"/>
      </w:pPr>
      <w:r>
        <w:rPr>
          <w:b/>
          <w:bCs/>
          <w:sz w:val="24"/>
          <w:szCs w:val="24"/>
        </w:rPr>
        <w:t xml:space="preserve">ARTICLE 4. SUPPORT AND MAINTENANCE</w:t>
      </w:r>
    </w:p>
    <w:p>
      <w:pPr>
        <w:pStyle w:val="ListParagraph"/>
        <w:numPr>
          <w:ilvl w:val="0"/>
          <w:numId w:val="6"/>
        </w:numPr>
        <w:spacing w:after="120"/>
      </w:pPr>
      <w:r>
        <w:rPr>
          <w:sz w:val="22"/>
          <w:szCs w:val="22"/>
        </w:rPr>
        <w:t xml:space="preserve">Tier 1 Support. OEM shall provide first-level support to End Users, including:</w:t>
      </w:r>
    </w:p>
    <w:p>
      <w:pPr>
        <w:pStyle w:val="ListParagraph"/>
        <w:numPr>
          <w:ilvl w:val="0"/>
          <w:numId w:val="4"/>
        </w:numPr>
        <w:spacing w:after="80"/>
      </w:pPr>
      <w:r>
        <w:rPr>
          <w:sz w:val="22"/>
          <w:szCs w:val="22"/>
        </w:rPr>
        <w:t xml:space="preserve">Initial troubleshooting and issue diagnosis;</w:t>
      </w:r>
    </w:p>
    <w:p>
      <w:pPr>
        <w:pStyle w:val="ListParagraph"/>
        <w:numPr>
          <w:ilvl w:val="0"/>
          <w:numId w:val="4"/>
        </w:numPr>
        <w:spacing w:after="80"/>
      </w:pPr>
      <w:r>
        <w:rPr>
          <w:sz w:val="22"/>
          <w:szCs w:val="22"/>
        </w:rPr>
        <w:t xml:space="preserve">Basic usage questions and guidance;</w:t>
      </w:r>
    </w:p>
    <w:p>
      <w:pPr>
        <w:pStyle w:val="ListParagraph"/>
        <w:numPr>
          <w:ilvl w:val="0"/>
          <w:numId w:val="4"/>
        </w:numPr>
        <w:spacing w:after="80"/>
      </w:pPr>
      <w:r>
        <w:rPr>
          <w:sz w:val="22"/>
          <w:szCs w:val="22"/>
        </w:rPr>
        <w:t xml:space="preserve">Documentation of issues for escalation;</w:t>
      </w:r>
    </w:p>
    <w:p>
      <w:pPr>
        <w:pStyle w:val="ListParagraph"/>
        <w:numPr>
          <w:ilvl w:val="0"/>
          <w:numId w:val="4"/>
        </w:numPr>
        <w:spacing w:after="80"/>
      </w:pPr>
      <w:r>
        <w:rPr>
          <w:sz w:val="22"/>
          <w:szCs w:val="22"/>
        </w:rPr>
        <w:t xml:space="preserve">Communication of resolutions to End Users.</w:t>
      </w:r>
    </w:p>
    <w:p>
      <w:pPr>
        <w:pStyle w:val="ListParagraph"/>
        <w:numPr>
          <w:ilvl w:val="0"/>
          <w:numId w:val="6"/>
        </w:numPr>
        <w:spacing w:after="120"/>
      </w:pPr>
      <w:r>
        <w:rPr>
          <w:sz w:val="22"/>
          <w:szCs w:val="22"/>
        </w:rPr>
        <w:t xml:space="preserve">Tier 2/3 Support. IVYAR shall provide escalation support to OEM for:</w:t>
      </w:r>
    </w:p>
    <w:p>
      <w:pPr>
        <w:pStyle w:val="ListParagraph"/>
        <w:numPr>
          <w:ilvl w:val="0"/>
          <w:numId w:val="4"/>
        </w:numPr>
        <w:spacing w:after="80"/>
      </w:pPr>
      <w:r>
        <w:rPr>
          <w:sz w:val="22"/>
          <w:szCs w:val="22"/>
        </w:rPr>
        <w:t xml:space="preserve">Issues requiring deep technical expertise in the Licensed Technology;</w:t>
      </w:r>
    </w:p>
    <w:p>
      <w:pPr>
        <w:pStyle w:val="ListParagraph"/>
        <w:numPr>
          <w:ilvl w:val="0"/>
          <w:numId w:val="4"/>
        </w:numPr>
        <w:spacing w:after="80"/>
      </w:pPr>
      <w:r>
        <w:rPr>
          <w:sz w:val="22"/>
          <w:szCs w:val="22"/>
        </w:rPr>
        <w:t xml:space="preserve">Suspected bugs or defects in the Licensed Technology;</w:t>
      </w:r>
    </w:p>
    <w:p>
      <w:pPr>
        <w:pStyle w:val="ListParagraph"/>
        <w:numPr>
          <w:ilvl w:val="0"/>
          <w:numId w:val="4"/>
        </w:numPr>
        <w:spacing w:after="80"/>
      </w:pPr>
      <w:r>
        <w:rPr>
          <w:sz w:val="22"/>
          <w:szCs w:val="22"/>
        </w:rPr>
        <w:t xml:space="preserve">Security vulnerabilities;</w:t>
      </w:r>
    </w:p>
    <w:p>
      <w:pPr>
        <w:pStyle w:val="ListParagraph"/>
        <w:numPr>
          <w:ilvl w:val="0"/>
          <w:numId w:val="4"/>
        </w:numPr>
        <w:spacing w:after="80"/>
      </w:pPr>
      <w:r>
        <w:rPr>
          <w:sz w:val="22"/>
          <w:szCs w:val="22"/>
        </w:rPr>
        <w:t xml:space="preserve">Integration issues beyond OEM's reasonable expertise.</w:t>
      </w:r>
    </w:p>
    <w:p>
      <w:pPr>
        <w:pStyle w:val="ListParagraph"/>
        <w:numPr>
          <w:ilvl w:val="0"/>
          <w:numId w:val="6"/>
        </w:numPr>
        <w:spacing w:after="120"/>
      </w:pPr>
      <w:r>
        <w:rPr>
          <w:sz w:val="22"/>
          <w:szCs w:val="22"/>
        </w:rPr>
        <w:t xml:space="preserve">Support Response Times.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Response</w:t>
            </w:r>
          </w:p>
        </w:tc>
        <w:tc>
          <w:tcPr>
            <w:tcW w:type="dxa" w:w="220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Update</w:t>
            </w:r>
          </w:p>
        </w:tc>
        <w:tc>
          <w:tcPr>
            <w:tcW w:type="dxa" w:w="246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Resolution Target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Critical (P1)</w:t>
            </w:r>
          </w:p>
        </w:tc>
        <w:tc>
          <w:tcPr>
            <w:tcW w:type="dxa" w:w="2200"/>
            <w:tcBorders>
              <w:top w:val="single" w:color="CCCCCC" w:sz="1"/>
              <w:left w:val="single" w:color="CCCCCC" w:sz="1"/>
              <w:bottom w:val="single" w:color="CCCCCC" w:sz="1"/>
              <w:right w:val="single" w:color="CCCCCC" w:sz="1"/>
            </w:tcBorders>
          </w:tcPr>
          <w:p>
            <w:pPr>
              <w:jc w:val="center"/>
            </w:pPr>
            <w:r>
              <w:rPr>
                <w:sz w:val="20"/>
                <w:szCs w:val="20"/>
              </w:rPr>
              <w:t xml:space="preserve">2 hours</w:t>
            </w:r>
          </w:p>
        </w:tc>
        <w:tc>
          <w:tcPr>
            <w:tcW w:type="dxa" w:w="2200"/>
            <w:tcBorders>
              <w:top w:val="single" w:color="CCCCCC" w:sz="1"/>
              <w:left w:val="single" w:color="CCCCCC" w:sz="1"/>
              <w:bottom w:val="single" w:color="CCCCCC" w:sz="1"/>
              <w:right w:val="single" w:color="CCCCCC" w:sz="1"/>
            </w:tcBorders>
          </w:tcPr>
          <w:p>
            <w:pPr>
              <w:jc w:val="center"/>
            </w:pPr>
            <w:r>
              <w:rPr>
                <w:sz w:val="20"/>
                <w:szCs w:val="20"/>
              </w:rPr>
              <w:t xml:space="preserve">4 hours</w:t>
            </w:r>
          </w:p>
        </w:tc>
        <w:tc>
          <w:tcPr>
            <w:tcW w:type="dxa" w:w="2460"/>
            <w:tcBorders>
              <w:top w:val="single" w:color="CCCCCC" w:sz="1"/>
              <w:left w:val="single" w:color="CCCCCC" w:sz="1"/>
              <w:bottom w:val="single" w:color="CCCCCC" w:sz="1"/>
              <w:right w:val="single" w:color="CCCCCC" w:sz="1"/>
            </w:tcBorders>
          </w:tcPr>
          <w:p>
            <w:pPr>
              <w:jc w:val="center"/>
            </w:pPr>
            <w:r>
              <w:rPr>
                <w:sz w:val="20"/>
                <w:szCs w:val="20"/>
              </w:rPr>
              <w:t xml:space="preserve">24 hours</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High (P2)</w:t>
            </w:r>
          </w:p>
        </w:tc>
        <w:tc>
          <w:tcPr>
            <w:tcW w:type="dxa" w:w="220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4 hours</w:t>
            </w:r>
          </w:p>
        </w:tc>
        <w:tc>
          <w:tcPr>
            <w:tcW w:type="dxa" w:w="220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8 hours</w:t>
            </w:r>
          </w:p>
        </w:tc>
        <w:tc>
          <w:tcPr>
            <w:tcW w:type="dxa" w:w="246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5 business days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Medium (P3)</w:t>
            </w:r>
          </w:p>
        </w:tc>
        <w:tc>
          <w:tcPr>
            <w:tcW w:type="dxa" w:w="2200"/>
            <w:tcBorders>
              <w:top w:val="single" w:color="CCCCCC" w:sz="1"/>
              <w:left w:val="single" w:color="CCCCCC" w:sz="1"/>
              <w:bottom w:val="single" w:color="CCCCCC" w:sz="1"/>
              <w:right w:val="single" w:color="CCCCCC" w:sz="1"/>
            </w:tcBorders>
          </w:tcPr>
          <w:p>
            <w:pPr>
              <w:jc w:val="center"/>
            </w:pPr>
            <w:r>
              <w:rPr>
                <w:sz w:val="20"/>
                <w:szCs w:val="20"/>
              </w:rPr>
              <w:t xml:space="preserve">1 business day</w:t>
            </w:r>
          </w:p>
        </w:tc>
        <w:tc>
          <w:tcPr>
            <w:tcW w:type="dxa" w:w="2200"/>
            <w:tcBorders>
              <w:top w:val="single" w:color="CCCCCC" w:sz="1"/>
              <w:left w:val="single" w:color="CCCCCC" w:sz="1"/>
              <w:bottom w:val="single" w:color="CCCCCC" w:sz="1"/>
              <w:right w:val="single" w:color="CCCCCC" w:sz="1"/>
            </w:tcBorders>
          </w:tcPr>
          <w:p>
            <w:pPr>
              <w:jc w:val="center"/>
            </w:pPr>
            <w:r>
              <w:rPr>
                <w:sz w:val="20"/>
                <w:szCs w:val="20"/>
              </w:rPr>
              <w:t xml:space="preserve">2 business days</w:t>
            </w:r>
          </w:p>
        </w:tc>
        <w:tc>
          <w:tcPr>
            <w:tcW w:type="dxa" w:w="2460"/>
            <w:tcBorders>
              <w:top w:val="single" w:color="CCCCCC" w:sz="1"/>
              <w:left w:val="single" w:color="CCCCCC" w:sz="1"/>
              <w:bottom w:val="single" w:color="CCCCCC" w:sz="1"/>
              <w:right w:val="single" w:color="CCCCCC" w:sz="1"/>
            </w:tcBorders>
          </w:tcPr>
          <w:p>
            <w:pPr>
              <w:jc w:val="center"/>
            </w:pPr>
            <w:r>
              <w:rPr>
                <w:sz w:val="20"/>
                <w:szCs w:val="20"/>
              </w:rPr>
              <w:t xml:space="preserve">10 business days</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Low (P4)</w:t>
            </w:r>
          </w:p>
        </w:tc>
        <w:tc>
          <w:tcPr>
            <w:tcW w:type="dxa" w:w="220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2 business days</w:t>
            </w:r>
          </w:p>
        </w:tc>
        <w:tc>
          <w:tcPr>
            <w:tcW w:type="dxa" w:w="220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Weekly</w:t>
            </w:r>
          </w:p>
        </w:tc>
        <w:tc>
          <w:tcPr>
            <w:tcW w:type="dxa" w:w="246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Next release</w:t>
            </w:r>
          </w:p>
        </w:tc>
      </w:tr>
    </w:tbl>
    <w:p>
      <w:pPr>
        <w:spacing w:before="160"/>
      </w:pPr>
    </w:p>
    <w:p>
      <w:pPr>
        <w:pStyle w:val="ListParagraph"/>
        <w:numPr>
          <w:ilvl w:val="0"/>
          <w:numId w:val="6"/>
        </w:numPr>
        <w:spacing w:after="120"/>
      </w:pPr>
      <w:r>
        <w:rPr>
          <w:sz w:val="22"/>
          <w:szCs w:val="22"/>
        </w:rPr>
        <w:t xml:space="preserve">Updates and Upgrades. IVYAR shall provide:</w:t>
      </w:r>
    </w:p>
    <w:p>
      <w:pPr>
        <w:pStyle w:val="ListParagraph"/>
        <w:numPr>
          <w:ilvl w:val="0"/>
          <w:numId w:val="4"/>
        </w:numPr>
        <w:spacing w:after="80"/>
      </w:pPr>
      <w:r>
        <w:rPr>
          <w:sz w:val="22"/>
          <w:szCs w:val="22"/>
        </w:rPr>
        <w:t xml:space="preserve">Updates to the Licensed Technology at no additional charge during the Term;</w:t>
      </w:r>
    </w:p>
    <w:p>
      <w:pPr>
        <w:pStyle w:val="ListParagraph"/>
        <w:numPr>
          <w:ilvl w:val="0"/>
          <w:numId w:val="4"/>
        </w:numPr>
        <w:spacing w:after="80"/>
      </w:pPr>
      <w:r>
        <w:rPr>
          <w:sz w:val="22"/>
          <w:szCs w:val="22"/>
        </w:rPr>
        <w:t xml:space="preserve">Upgrades as specified in Exhibit C, which may be subject to additional fees;</w:t>
      </w:r>
    </w:p>
    <w:p>
      <w:pPr>
        <w:pStyle w:val="ListParagraph"/>
        <w:numPr>
          <w:ilvl w:val="0"/>
          <w:numId w:val="4"/>
        </w:numPr>
        <w:spacing w:after="80"/>
      </w:pPr>
      <w:r>
        <w:rPr>
          <w:sz w:val="22"/>
          <w:szCs w:val="22"/>
        </w:rPr>
        <w:t xml:space="preserve">Reasonable advance notice of material changes to the Licensed Technology;</w:t>
      </w:r>
    </w:p>
    <w:p>
      <w:pPr>
        <w:pStyle w:val="ListParagraph"/>
        <w:numPr>
          <w:ilvl w:val="0"/>
          <w:numId w:val="4"/>
        </w:numPr>
        <w:spacing w:after="80"/>
      </w:pPr>
      <w:r>
        <w:rPr>
          <w:sz w:val="22"/>
          <w:szCs w:val="22"/>
        </w:rPr>
        <w:t xml:space="preserve">Documentation of all Updates and Upgrades.</w:t>
      </w:r>
    </w:p>
    <w:p>
      <w:pPr>
        <w:pStyle w:val="ListParagraph"/>
        <w:numPr>
          <w:ilvl w:val="0"/>
          <w:numId w:val="6"/>
        </w:numPr>
        <w:spacing w:after="120"/>
      </w:pPr>
      <w:r>
        <w:rPr>
          <w:sz w:val="22"/>
          <w:szCs w:val="22"/>
        </w:rPr>
        <w:t xml:space="preserve">End of Life. IVYAR shall provide at least twelve (12) months' notice before discontinuing support for any version of the Licensed Technology. During such period, IVYAR shall assist OEM with migration to supported versions.</w:t>
      </w:r>
    </w:p>
    <w:p>
      <w:pPr>
        <w:spacing w:before="360" w:after="120"/>
      </w:pPr>
      <w:r>
        <w:rPr>
          <w:b/>
          <w:bCs/>
          <w:sz w:val="24"/>
          <w:szCs w:val="24"/>
        </w:rPr>
        <w:t xml:space="preserve">ARTICLE 5. FEES AND PAYMENT</w:t>
      </w:r>
    </w:p>
    <w:p>
      <w:pPr>
        <w:pStyle w:val="ListParagraph"/>
        <w:numPr>
          <w:ilvl w:val="0"/>
          <w:numId w:val="7"/>
        </w:numPr>
        <w:spacing w:after="120"/>
      </w:pPr>
      <w:r>
        <w:rPr>
          <w:sz w:val="22"/>
          <w:szCs w:val="22"/>
        </w:rPr>
        <w:t xml:space="preserve">Royalty Structure. OEM shall pay IVYAR Royalties as specified in Exhibit C. Royalties may be structured as:</w:t>
      </w:r>
    </w:p>
    <w:p>
      <w:pPr>
        <w:pStyle w:val="ListParagraph"/>
        <w:numPr>
          <w:ilvl w:val="0"/>
          <w:numId w:val="4"/>
        </w:numPr>
        <w:spacing w:after="80"/>
      </w:pPr>
      <w:r>
        <w:rPr>
          <w:sz w:val="22"/>
          <w:szCs w:val="22"/>
        </w:rPr>
        <w:t xml:space="preserve">Per-unit royalty based on OEM Product units distributed;</w:t>
      </w:r>
    </w:p>
    <w:p>
      <w:pPr>
        <w:pStyle w:val="ListParagraph"/>
        <w:numPr>
          <w:ilvl w:val="0"/>
          <w:numId w:val="4"/>
        </w:numPr>
        <w:spacing w:after="80"/>
      </w:pPr>
      <w:r>
        <w:rPr>
          <w:sz w:val="22"/>
          <w:szCs w:val="22"/>
        </w:rPr>
        <w:t xml:space="preserve">Revenue share based on OEM Product revenue;</w:t>
      </w:r>
    </w:p>
    <w:p>
      <w:pPr>
        <w:pStyle w:val="ListParagraph"/>
        <w:numPr>
          <w:ilvl w:val="0"/>
          <w:numId w:val="4"/>
        </w:numPr>
        <w:spacing w:after="80"/>
      </w:pPr>
      <w:r>
        <w:rPr>
          <w:sz w:val="22"/>
          <w:szCs w:val="22"/>
        </w:rPr>
        <w:t xml:space="preserve">Annual minimum commitment plus variable royalty;</w:t>
      </w:r>
    </w:p>
    <w:p>
      <w:pPr>
        <w:pStyle w:val="ListParagraph"/>
        <w:numPr>
          <w:ilvl w:val="0"/>
          <w:numId w:val="4"/>
        </w:numPr>
        <w:spacing w:after="80"/>
      </w:pPr>
      <w:r>
        <w:rPr>
          <w:sz w:val="22"/>
          <w:szCs w:val="22"/>
        </w:rPr>
        <w:t xml:space="preserve">Flat annual fee for specified volume tiers.</w:t>
      </w:r>
    </w:p>
    <w:p>
      <w:pPr>
        <w:pStyle w:val="ListParagraph"/>
        <w:numPr>
          <w:ilvl w:val="0"/>
          <w:numId w:val="7"/>
        </w:numPr>
        <w:spacing w:after="120"/>
      </w:pPr>
      <w:r>
        <w:rPr>
          <w:sz w:val="22"/>
          <w:szCs w:val="22"/>
        </w:rPr>
        <w:t xml:space="preserve">Minimum Commitment. OEM shall pay the minimum annual commitment specified in Exhibit C, regardless of actual usage or distribution volume.</w:t>
      </w:r>
    </w:p>
    <w:p>
      <w:pPr>
        <w:pStyle w:val="ListParagraph"/>
        <w:numPr>
          <w:ilvl w:val="0"/>
          <w:numId w:val="7"/>
        </w:numPr>
        <w:spacing w:after="120"/>
      </w:pPr>
      <w:r>
        <w:rPr>
          <w:sz w:val="22"/>
          <w:szCs w:val="22"/>
        </w:rPr>
        <w:t xml:space="preserve">Reporting. OEM shall provide IVYAR with quarterly reports within thirty (30) days of each calendar quarter end, including:</w:t>
      </w:r>
    </w:p>
    <w:p>
      <w:pPr>
        <w:pStyle w:val="ListParagraph"/>
        <w:numPr>
          <w:ilvl w:val="0"/>
          <w:numId w:val="4"/>
        </w:numPr>
        <w:spacing w:after="80"/>
      </w:pPr>
      <w:r>
        <w:rPr>
          <w:sz w:val="22"/>
          <w:szCs w:val="22"/>
        </w:rPr>
        <w:t xml:space="preserve">Number of OEM Products distributed;</w:t>
      </w:r>
    </w:p>
    <w:p>
      <w:pPr>
        <w:pStyle w:val="ListParagraph"/>
        <w:numPr>
          <w:ilvl w:val="0"/>
          <w:numId w:val="4"/>
        </w:numPr>
        <w:spacing w:after="80"/>
      </w:pPr>
      <w:r>
        <w:rPr>
          <w:sz w:val="22"/>
          <w:szCs w:val="22"/>
        </w:rPr>
        <w:t xml:space="preserve">Revenue generated from OEM Products;</w:t>
      </w:r>
    </w:p>
    <w:p>
      <w:pPr>
        <w:pStyle w:val="ListParagraph"/>
        <w:numPr>
          <w:ilvl w:val="0"/>
          <w:numId w:val="4"/>
        </w:numPr>
        <w:spacing w:after="80"/>
      </w:pPr>
      <w:r>
        <w:rPr>
          <w:sz w:val="22"/>
          <w:szCs w:val="22"/>
        </w:rPr>
        <w:t xml:space="preserve">Number of active End Users;</w:t>
      </w:r>
    </w:p>
    <w:p>
      <w:pPr>
        <w:pStyle w:val="ListParagraph"/>
        <w:numPr>
          <w:ilvl w:val="0"/>
          <w:numId w:val="4"/>
        </w:numPr>
        <w:spacing w:after="80"/>
      </w:pPr>
      <w:r>
        <w:rPr>
          <w:sz w:val="22"/>
          <w:szCs w:val="22"/>
        </w:rPr>
        <w:t xml:space="preserve">Calculation of Royalties due.</w:t>
      </w:r>
    </w:p>
    <w:p>
      <w:pPr>
        <w:pStyle w:val="ListParagraph"/>
        <w:numPr>
          <w:ilvl w:val="0"/>
          <w:numId w:val="7"/>
        </w:numPr>
        <w:spacing w:after="120"/>
      </w:pPr>
      <w:r>
        <w:rPr>
          <w:sz w:val="22"/>
          <w:szCs w:val="22"/>
        </w:rPr>
        <w:t xml:space="preserve">Payment Terms. Royalty payments are due within thirty (30) days of invoice. Late payments shall bear interest at 1.5% per month or the maximum rate permitted by law.</w:t>
      </w:r>
    </w:p>
    <w:p>
      <w:pPr>
        <w:pStyle w:val="ListParagraph"/>
        <w:numPr>
          <w:ilvl w:val="0"/>
          <w:numId w:val="7"/>
        </w:numPr>
        <w:spacing w:after="120"/>
      </w:pPr>
      <w:r>
        <w:rPr>
          <w:sz w:val="22"/>
          <w:szCs w:val="22"/>
        </w:rPr>
        <w:t xml:space="preserve">Audit Rights. IVYAR may audit OEM's records relating to Royalty calculations upon thirty (30) days' notice, no more than once per year. If an audit reveals underpayment exceeding 5%, OEM shall pay the deficiency plus audit costs.</w:t>
      </w:r>
    </w:p>
    <w:p>
      <w:pPr>
        <w:pStyle w:val="ListParagraph"/>
        <w:numPr>
          <w:ilvl w:val="0"/>
          <w:numId w:val="7"/>
        </w:numPr>
        <w:spacing w:after="120"/>
      </w:pPr>
      <w:r>
        <w:rPr>
          <w:sz w:val="22"/>
          <w:szCs w:val="22"/>
        </w:rPr>
        <w:t xml:space="preserve">Taxes. All fees are exclusive of taxes. OEM is responsible for all sales, use, VAT, and similar taxes, excluding taxes on IVYAR's net income.</w:t>
      </w:r>
    </w:p>
    <w:p>
      <w:pPr>
        <w:spacing w:before="360" w:after="120"/>
      </w:pPr>
      <w:r>
        <w:rPr>
          <w:b/>
          <w:bCs/>
          <w:sz w:val="24"/>
          <w:szCs w:val="24"/>
        </w:rPr>
        <w:t xml:space="preserve">ARTICLE 6. INTELLECTUAL PROPERTY RIGHTS</w:t>
      </w:r>
    </w:p>
    <w:p>
      <w:pPr>
        <w:pStyle w:val="ListParagraph"/>
        <w:numPr>
          <w:ilvl w:val="0"/>
          <w:numId w:val="8"/>
        </w:numPr>
        <w:spacing w:after="120"/>
      </w:pPr>
      <w:r>
        <w:rPr>
          <w:sz w:val="22"/>
          <w:szCs w:val="22"/>
        </w:rPr>
        <w:t xml:space="preserve">IVYAR Ownership. IVYAR retains all right, title, and interest in and to the Licensed Technology, including all Intellectual Property Rights therein. Nothing in this Agreement transfers ownership of any IVYAR intellectual property to OEM.</w:t>
      </w:r>
    </w:p>
    <w:p>
      <w:pPr>
        <w:pStyle w:val="ListParagraph"/>
        <w:numPr>
          <w:ilvl w:val="0"/>
          <w:numId w:val="8"/>
        </w:numPr>
        <w:spacing w:after="120"/>
      </w:pPr>
      <w:r>
        <w:rPr>
          <w:sz w:val="22"/>
          <w:szCs w:val="22"/>
        </w:rPr>
        <w:t xml:space="preserve">OEM Ownership. OEM retains all right, title, and interest in and to:</w:t>
      </w:r>
    </w:p>
    <w:p>
      <w:pPr>
        <w:pStyle w:val="ListParagraph"/>
        <w:numPr>
          <w:ilvl w:val="0"/>
          <w:numId w:val="4"/>
        </w:numPr>
        <w:spacing w:after="80"/>
      </w:pPr>
      <w:r>
        <w:rPr>
          <w:sz w:val="22"/>
          <w:szCs w:val="22"/>
        </w:rPr>
        <w:t xml:space="preserve">OEM's pre-existing intellectual property;</w:t>
      </w:r>
    </w:p>
    <w:p>
      <w:pPr>
        <w:pStyle w:val="ListParagraph"/>
        <w:numPr>
          <w:ilvl w:val="0"/>
          <w:numId w:val="4"/>
        </w:numPr>
        <w:spacing w:after="80"/>
      </w:pPr>
      <w:r>
        <w:rPr>
          <w:sz w:val="22"/>
          <w:szCs w:val="22"/>
        </w:rPr>
        <w:t xml:space="preserve">OEM Products, excluding the Licensed Technology;</w:t>
      </w:r>
    </w:p>
    <w:p>
      <w:pPr>
        <w:pStyle w:val="ListParagraph"/>
        <w:numPr>
          <w:ilvl w:val="0"/>
          <w:numId w:val="4"/>
        </w:numPr>
        <w:spacing w:after="80"/>
      </w:pPr>
      <w:r>
        <w:rPr>
          <w:sz w:val="22"/>
          <w:szCs w:val="22"/>
        </w:rPr>
        <w:t xml:space="preserve">Modifications and enhancements created solely by OEM that do not incorporate Licensed Technology;</w:t>
      </w:r>
    </w:p>
    <w:p>
      <w:pPr>
        <w:pStyle w:val="ListParagraph"/>
        <w:numPr>
          <w:ilvl w:val="0"/>
          <w:numId w:val="4"/>
        </w:numPr>
        <w:spacing w:after="80"/>
      </w:pPr>
      <w:r>
        <w:rPr>
          <w:sz w:val="22"/>
          <w:szCs w:val="22"/>
        </w:rPr>
        <w:t xml:space="preserve">OEM's trademarks and branding.</w:t>
      </w:r>
    </w:p>
    <w:p>
      <w:pPr>
        <w:pStyle w:val="ListParagraph"/>
        <w:numPr>
          <w:ilvl w:val="0"/>
          <w:numId w:val="8"/>
        </w:numPr>
        <w:spacing w:after="120"/>
      </w:pPr>
      <w:r>
        <w:rPr>
          <w:sz w:val="22"/>
          <w:szCs w:val="22"/>
        </w:rPr>
        <w:t xml:space="preserve">Improvements. Any improvements, modifications, or derivative works of the Licensed Technology:</w:t>
      </w:r>
    </w:p>
    <w:p>
      <w:pPr>
        <w:pStyle w:val="ListParagraph"/>
        <w:numPr>
          <w:ilvl w:val="0"/>
          <w:numId w:val="4"/>
        </w:numPr>
        <w:spacing w:after="80"/>
      </w:pPr>
      <w:r>
        <w:rPr>
          <w:sz w:val="22"/>
          <w:szCs w:val="22"/>
        </w:rPr>
        <w:t xml:space="preserve">Created by IVYAR shall be owned solely by IVYAR;</w:t>
      </w:r>
    </w:p>
    <w:p>
      <w:pPr>
        <w:pStyle w:val="ListParagraph"/>
        <w:numPr>
          <w:ilvl w:val="0"/>
          <w:numId w:val="4"/>
        </w:numPr>
        <w:spacing w:after="80"/>
      </w:pPr>
      <w:r>
        <w:rPr>
          <w:sz w:val="22"/>
          <w:szCs w:val="22"/>
        </w:rPr>
        <w:t xml:space="preserve">Created by OEM using Licensed Technology shall be owned by IVYAR, and OEM hereby assigns all rights therein;</w:t>
      </w:r>
    </w:p>
    <w:p>
      <w:pPr>
        <w:pStyle w:val="ListParagraph"/>
        <w:numPr>
          <w:ilvl w:val="0"/>
          <w:numId w:val="4"/>
        </w:numPr>
        <w:spacing w:after="80"/>
      </w:pPr>
      <w:r>
        <w:rPr>
          <w:sz w:val="22"/>
          <w:szCs w:val="22"/>
        </w:rPr>
        <w:t xml:space="preserve">Created jointly shall be owned by IVYAR, with OEM receiving a license to use such improvements within OEM Products.</w:t>
      </w:r>
    </w:p>
    <w:p>
      <w:pPr>
        <w:pStyle w:val="ListParagraph"/>
        <w:numPr>
          <w:ilvl w:val="0"/>
          <w:numId w:val="8"/>
        </w:numPr>
        <w:spacing w:after="120"/>
      </w:pPr>
      <w:r>
        <w:rPr>
          <w:sz w:val="22"/>
          <w:szCs w:val="22"/>
        </w:rPr>
        <w:t xml:space="preserve">Feedback. If OEM provides suggestions or feedback regarding the Licensed Technology, IVYAR may use such feedback without restriction or compensation.</w:t>
      </w:r>
    </w:p>
    <w:p>
      <w:pPr>
        <w:pStyle w:val="ListParagraph"/>
        <w:numPr>
          <w:ilvl w:val="0"/>
          <w:numId w:val="8"/>
        </w:numPr>
        <w:spacing w:after="120"/>
      </w:pPr>
      <w:r>
        <w:rPr>
          <w:sz w:val="22"/>
          <w:szCs w:val="22"/>
        </w:rPr>
        <w:t xml:space="preserve">Trademark License. IVYAR grants OEM a limited license to use IVYAR trademarks solely in connection with marketing OEM Products in accordance with IVYAR's brand guidelines.</w:t>
      </w:r>
    </w:p>
    <w:p>
      <w:r>
        <w:br w:type="page"/>
      </w:r>
    </w:p>
    <w:p>
      <w:pPr>
        <w:spacing w:before="360" w:after="120"/>
      </w:pPr>
      <w:r>
        <w:rPr>
          <w:b/>
          <w:bCs/>
          <w:sz w:val="24"/>
          <w:szCs w:val="24"/>
        </w:rPr>
        <w:t xml:space="preserve">ARTICLE 7. CONFIDENTIALITY</w:t>
      </w:r>
    </w:p>
    <w:p>
      <w:pPr>
        <w:pStyle w:val="ListParagraph"/>
        <w:numPr>
          <w:ilvl w:val="0"/>
          <w:numId w:val="9"/>
        </w:numPr>
        <w:spacing w:after="120"/>
      </w:pPr>
      <w:r>
        <w:rPr>
          <w:sz w:val="22"/>
          <w:szCs w:val="22"/>
        </w:rPr>
        <w:t xml:space="preserve">Confidentiality Obligations. Each Party shall:</w:t>
      </w:r>
    </w:p>
    <w:p>
      <w:pPr>
        <w:pStyle w:val="ListParagraph"/>
        <w:numPr>
          <w:ilvl w:val="0"/>
          <w:numId w:val="4"/>
        </w:numPr>
        <w:spacing w:after="80"/>
      </w:pPr>
      <w:r>
        <w:rPr>
          <w:sz w:val="22"/>
          <w:szCs w:val="22"/>
        </w:rPr>
        <w:t xml:space="preserve">Maintain the confidentiality of the other Party's Confidential Information;</w:t>
      </w:r>
    </w:p>
    <w:p>
      <w:pPr>
        <w:pStyle w:val="ListParagraph"/>
        <w:numPr>
          <w:ilvl w:val="0"/>
          <w:numId w:val="4"/>
        </w:numPr>
        <w:spacing w:after="80"/>
      </w:pPr>
      <w:r>
        <w:rPr>
          <w:sz w:val="22"/>
          <w:szCs w:val="22"/>
        </w:rPr>
        <w:t xml:space="preserve">Use Confidential Information only for purposes of this Agreement;</w:t>
      </w:r>
    </w:p>
    <w:p>
      <w:pPr>
        <w:pStyle w:val="ListParagraph"/>
        <w:numPr>
          <w:ilvl w:val="0"/>
          <w:numId w:val="4"/>
        </w:numPr>
        <w:spacing w:after="80"/>
      </w:pPr>
      <w:r>
        <w:rPr>
          <w:sz w:val="22"/>
          <w:szCs w:val="22"/>
        </w:rPr>
        <w:t xml:space="preserve">Limit disclosure to employees and contractors with a need to know who are bound by confidentiality obligations;</w:t>
      </w:r>
    </w:p>
    <w:p>
      <w:pPr>
        <w:pStyle w:val="ListParagraph"/>
        <w:numPr>
          <w:ilvl w:val="0"/>
          <w:numId w:val="4"/>
        </w:numPr>
        <w:spacing w:after="80"/>
      </w:pPr>
      <w:r>
        <w:rPr>
          <w:sz w:val="22"/>
          <w:szCs w:val="22"/>
        </w:rPr>
        <w:t xml:space="preserve">Protect Confidential Information with at least the same care as its own confidential information.</w:t>
      </w:r>
    </w:p>
    <w:p>
      <w:pPr>
        <w:pStyle w:val="ListParagraph"/>
        <w:numPr>
          <w:ilvl w:val="0"/>
          <w:numId w:val="9"/>
        </w:numPr>
        <w:spacing w:after="120"/>
      </w:pPr>
      <w:r>
        <w:rPr>
          <w:sz w:val="22"/>
          <w:szCs w:val="22"/>
        </w:rPr>
        <w:t xml:space="preserve">Source Code Protection. The Source Code of the Licensed Technology is IVYAR's most valuable Confidential Information. OEM shall:</w:t>
      </w:r>
    </w:p>
    <w:p>
      <w:pPr>
        <w:pStyle w:val="ListParagraph"/>
        <w:numPr>
          <w:ilvl w:val="0"/>
          <w:numId w:val="4"/>
        </w:numPr>
        <w:spacing w:after="80"/>
      </w:pPr>
      <w:r>
        <w:rPr>
          <w:sz w:val="22"/>
          <w:szCs w:val="22"/>
        </w:rPr>
        <w:t xml:space="preserve">Store Source Code only on secure, access-controlled systems;</w:t>
      </w:r>
    </w:p>
    <w:p>
      <w:pPr>
        <w:pStyle w:val="ListParagraph"/>
        <w:numPr>
          <w:ilvl w:val="0"/>
          <w:numId w:val="4"/>
        </w:numPr>
        <w:spacing w:after="80"/>
      </w:pPr>
      <w:r>
        <w:rPr>
          <w:sz w:val="22"/>
          <w:szCs w:val="22"/>
        </w:rPr>
        <w:t xml:space="preserve">Maintain a log of all personnel who access Source Code;</w:t>
      </w:r>
    </w:p>
    <w:p>
      <w:pPr>
        <w:pStyle w:val="ListParagraph"/>
        <w:numPr>
          <w:ilvl w:val="0"/>
          <w:numId w:val="4"/>
        </w:numPr>
        <w:spacing w:after="80"/>
      </w:pPr>
      <w:r>
        <w:rPr>
          <w:sz w:val="22"/>
          <w:szCs w:val="22"/>
        </w:rPr>
        <w:t xml:space="preserve">Not make copies except as necessary for authorized purposes;</w:t>
      </w:r>
    </w:p>
    <w:p>
      <w:pPr>
        <w:pStyle w:val="ListParagraph"/>
        <w:numPr>
          <w:ilvl w:val="0"/>
          <w:numId w:val="4"/>
        </w:numPr>
        <w:spacing w:after="80"/>
      </w:pPr>
      <w:r>
        <w:rPr>
          <w:sz w:val="22"/>
          <w:szCs w:val="22"/>
        </w:rPr>
        <w:t xml:space="preserve">Return or destroy all Source Code copies upon termination.</w:t>
      </w:r>
    </w:p>
    <w:p>
      <w:pPr>
        <w:pStyle w:val="ListParagraph"/>
        <w:numPr>
          <w:ilvl w:val="0"/>
          <w:numId w:val="9"/>
        </w:numPr>
        <w:spacing w:after="120"/>
      </w:pPr>
      <w:r>
        <w:rPr>
          <w:sz w:val="22"/>
          <w:szCs w:val="22"/>
        </w:rPr>
        <w:t xml:space="preserve">Exceptions. Confidential Information does not include information that:</w:t>
      </w:r>
    </w:p>
    <w:p>
      <w:pPr>
        <w:pStyle w:val="ListParagraph"/>
        <w:numPr>
          <w:ilvl w:val="0"/>
          <w:numId w:val="4"/>
        </w:numPr>
        <w:spacing w:after="80"/>
      </w:pPr>
      <w:r>
        <w:rPr>
          <w:sz w:val="22"/>
          <w:szCs w:val="22"/>
        </w:rPr>
        <w:t xml:space="preserve">Is or becomes publicly available through no fault of the receiving Party;</w:t>
      </w:r>
    </w:p>
    <w:p>
      <w:pPr>
        <w:pStyle w:val="ListParagraph"/>
        <w:numPr>
          <w:ilvl w:val="0"/>
          <w:numId w:val="4"/>
        </w:numPr>
        <w:spacing w:after="80"/>
      </w:pPr>
      <w:r>
        <w:rPr>
          <w:sz w:val="22"/>
          <w:szCs w:val="22"/>
        </w:rPr>
        <w:t xml:space="preserve">Was rightfully in the receiving Party's possession before disclosure;</w:t>
      </w:r>
    </w:p>
    <w:p>
      <w:pPr>
        <w:pStyle w:val="ListParagraph"/>
        <w:numPr>
          <w:ilvl w:val="0"/>
          <w:numId w:val="4"/>
        </w:numPr>
        <w:spacing w:after="80"/>
      </w:pPr>
      <w:r>
        <w:rPr>
          <w:sz w:val="22"/>
          <w:szCs w:val="22"/>
        </w:rPr>
        <w:t xml:space="preserve">Is independently developed without use of Confidential Information;</w:t>
      </w:r>
    </w:p>
    <w:p>
      <w:pPr>
        <w:pStyle w:val="ListParagraph"/>
        <w:numPr>
          <w:ilvl w:val="0"/>
          <w:numId w:val="4"/>
        </w:numPr>
        <w:spacing w:after="80"/>
      </w:pPr>
      <w:r>
        <w:rPr>
          <w:sz w:val="22"/>
          <w:szCs w:val="22"/>
        </w:rPr>
        <w:t xml:space="preserve">Is rightfully obtained from a third party without restriction.</w:t>
      </w:r>
    </w:p>
    <w:p>
      <w:pPr>
        <w:pStyle w:val="ListParagraph"/>
        <w:numPr>
          <w:ilvl w:val="0"/>
          <w:numId w:val="9"/>
        </w:numPr>
        <w:spacing w:after="120"/>
      </w:pPr>
      <w:r>
        <w:rPr>
          <w:sz w:val="22"/>
          <w:szCs w:val="22"/>
        </w:rPr>
        <w:t xml:space="preserve">Required Disclosure. A Party may disclose Confidential Information if required by law, provided it gives prompt notice and cooperates in seeking protective treatment.</w:t>
      </w:r>
    </w:p>
    <w:p>
      <w:pPr>
        <w:pStyle w:val="ListParagraph"/>
        <w:numPr>
          <w:ilvl w:val="0"/>
          <w:numId w:val="9"/>
        </w:numPr>
        <w:spacing w:after="120"/>
      </w:pPr>
      <w:r>
        <w:rPr>
          <w:sz w:val="22"/>
          <w:szCs w:val="22"/>
        </w:rPr>
        <w:t xml:space="preserve">Duration. Confidentiality obligations shall survive termination indefinitely for Source Code and trade secrets, and for five (5) years for other Confidential Information.</w:t>
      </w:r>
    </w:p>
    <w:p>
      <w:pPr>
        <w:spacing w:before="360" w:after="120"/>
      </w:pPr>
      <w:r>
        <w:rPr>
          <w:b/>
          <w:bCs/>
          <w:sz w:val="24"/>
          <w:szCs w:val="24"/>
        </w:rPr>
        <w:t xml:space="preserve">ARTICLE 8. REPRESENTATIONS AND WARRANTIES</w:t>
      </w:r>
    </w:p>
    <w:p>
      <w:pPr>
        <w:pStyle w:val="ListParagraph"/>
        <w:numPr>
          <w:ilvl w:val="0"/>
          <w:numId w:val="10"/>
        </w:numPr>
        <w:spacing w:after="120"/>
      </w:pPr>
      <w:r>
        <w:rPr>
          <w:sz w:val="22"/>
          <w:szCs w:val="22"/>
        </w:rPr>
        <w:t xml:space="preserve">Mutual Warranties. Each Party represents and warrants that:</w:t>
      </w:r>
    </w:p>
    <w:p>
      <w:pPr>
        <w:pStyle w:val="ListParagraph"/>
        <w:numPr>
          <w:ilvl w:val="0"/>
          <w:numId w:val="4"/>
        </w:numPr>
        <w:spacing w:after="80"/>
      </w:pPr>
      <w:r>
        <w:rPr>
          <w:sz w:val="22"/>
          <w:szCs w:val="22"/>
        </w:rPr>
        <w:t xml:space="preserve">It has the authority to enter into this Agreement;</w:t>
      </w:r>
    </w:p>
    <w:p>
      <w:pPr>
        <w:pStyle w:val="ListParagraph"/>
        <w:numPr>
          <w:ilvl w:val="0"/>
          <w:numId w:val="4"/>
        </w:numPr>
        <w:spacing w:after="80"/>
      </w:pPr>
      <w:r>
        <w:rPr>
          <w:sz w:val="22"/>
          <w:szCs w:val="22"/>
        </w:rPr>
        <w:t xml:space="preserve">Its performance will not violate any other agreement or applicable law;</w:t>
      </w:r>
    </w:p>
    <w:p>
      <w:pPr>
        <w:pStyle w:val="ListParagraph"/>
        <w:numPr>
          <w:ilvl w:val="0"/>
          <w:numId w:val="4"/>
        </w:numPr>
        <w:spacing w:after="80"/>
      </w:pPr>
      <w:r>
        <w:rPr>
          <w:sz w:val="22"/>
          <w:szCs w:val="22"/>
        </w:rPr>
        <w:t xml:space="preserve">It will comply with all applicable laws, including export control laws.</w:t>
      </w:r>
    </w:p>
    <w:p>
      <w:pPr>
        <w:pStyle w:val="ListParagraph"/>
        <w:numPr>
          <w:ilvl w:val="0"/>
          <w:numId w:val="10"/>
        </w:numPr>
        <w:spacing w:after="120"/>
      </w:pPr>
      <w:r>
        <w:rPr>
          <w:sz w:val="22"/>
          <w:szCs w:val="22"/>
        </w:rPr>
        <w:t xml:space="preserve">IVYAR Warranties. IVYAR warrants that:</w:t>
      </w:r>
    </w:p>
    <w:p>
      <w:pPr>
        <w:pStyle w:val="ListParagraph"/>
        <w:numPr>
          <w:ilvl w:val="0"/>
          <w:numId w:val="4"/>
        </w:numPr>
        <w:spacing w:after="80"/>
      </w:pPr>
      <w:r>
        <w:rPr>
          <w:sz w:val="22"/>
          <w:szCs w:val="22"/>
        </w:rPr>
        <w:t xml:space="preserve">It owns or has sufficient rights to grant the licenses herein;</w:t>
      </w:r>
    </w:p>
    <w:p>
      <w:pPr>
        <w:pStyle w:val="ListParagraph"/>
        <w:numPr>
          <w:ilvl w:val="0"/>
          <w:numId w:val="4"/>
        </w:numPr>
        <w:spacing w:after="80"/>
      </w:pPr>
      <w:r>
        <w:rPr>
          <w:sz w:val="22"/>
          <w:szCs w:val="22"/>
        </w:rPr>
        <w:t xml:space="preserve">The Licensed Technology will perform substantially in accordance with Documentation;</w:t>
      </w:r>
    </w:p>
    <w:p>
      <w:pPr>
        <w:pStyle w:val="ListParagraph"/>
        <w:numPr>
          <w:ilvl w:val="0"/>
          <w:numId w:val="4"/>
        </w:numPr>
        <w:spacing w:after="80"/>
      </w:pPr>
      <w:r>
        <w:rPr>
          <w:sz w:val="22"/>
          <w:szCs w:val="22"/>
        </w:rPr>
        <w:t xml:space="preserve">The Licensed Technology, as delivered, does not knowingly contain malicious code;</w:t>
      </w:r>
    </w:p>
    <w:p>
      <w:pPr>
        <w:pStyle w:val="ListParagraph"/>
        <w:numPr>
          <w:ilvl w:val="0"/>
          <w:numId w:val="4"/>
        </w:numPr>
        <w:spacing w:after="80"/>
      </w:pPr>
      <w:r>
        <w:rPr>
          <w:sz w:val="22"/>
          <w:szCs w:val="22"/>
        </w:rPr>
        <w:t xml:space="preserve">To IVYAR's knowledge, the Licensed Technology does not infringe third-party Intellectual Property Rights.</w:t>
      </w:r>
    </w:p>
    <w:p>
      <w:pPr>
        <w:pStyle w:val="ListParagraph"/>
        <w:numPr>
          <w:ilvl w:val="0"/>
          <w:numId w:val="10"/>
        </w:numPr>
        <w:spacing w:after="120"/>
      </w:pPr>
      <w:r>
        <w:rPr>
          <w:sz w:val="22"/>
          <w:szCs w:val="22"/>
        </w:rPr>
        <w:t xml:space="preserve">OEM Warranties. OEM warrants that:</w:t>
      </w:r>
    </w:p>
    <w:p>
      <w:pPr>
        <w:pStyle w:val="ListParagraph"/>
        <w:numPr>
          <w:ilvl w:val="0"/>
          <w:numId w:val="4"/>
        </w:numPr>
        <w:spacing w:after="80"/>
      </w:pPr>
      <w:r>
        <w:rPr>
          <w:sz w:val="22"/>
          <w:szCs w:val="22"/>
        </w:rPr>
        <w:t xml:space="preserve">OEM Products will be of professional quality;</w:t>
      </w:r>
    </w:p>
    <w:p>
      <w:pPr>
        <w:pStyle w:val="ListParagraph"/>
        <w:numPr>
          <w:ilvl w:val="0"/>
          <w:numId w:val="4"/>
        </w:numPr>
        <w:spacing w:after="80"/>
      </w:pPr>
      <w:r>
        <w:rPr>
          <w:sz w:val="22"/>
          <w:szCs w:val="22"/>
        </w:rPr>
        <w:t xml:space="preserve">OEM will not make unauthorized modifications to the Licensed Technology;</w:t>
      </w:r>
    </w:p>
    <w:p>
      <w:pPr>
        <w:pStyle w:val="ListParagraph"/>
        <w:numPr>
          <w:ilvl w:val="0"/>
          <w:numId w:val="4"/>
        </w:numPr>
        <w:spacing w:after="80"/>
      </w:pPr>
      <w:r>
        <w:rPr>
          <w:sz w:val="22"/>
          <w:szCs w:val="22"/>
        </w:rPr>
        <w:t xml:space="preserve">OEM will comply with all branding and attribution requirements;</w:t>
      </w:r>
    </w:p>
    <w:p>
      <w:pPr>
        <w:pStyle w:val="ListParagraph"/>
        <w:numPr>
          <w:ilvl w:val="0"/>
          <w:numId w:val="4"/>
        </w:numPr>
        <w:spacing w:after="80"/>
      </w:pPr>
      <w:r>
        <w:rPr>
          <w:sz w:val="22"/>
          <w:szCs w:val="22"/>
        </w:rPr>
        <w:t xml:space="preserve">OEM Products will comply with applicable laws and industry standards.</w:t>
      </w:r>
    </w:p>
    <w:p>
      <w:pPr>
        <w:pStyle w:val="ListParagraph"/>
        <w:numPr>
          <w:ilvl w:val="0"/>
          <w:numId w:val="10"/>
        </w:numPr>
        <w:spacing w:after="120"/>
      </w:pPr>
      <w:r>
        <w:rPr>
          <w:sz w:val="22"/>
          <w:szCs w:val="22"/>
        </w:rPr>
        <w:t xml:space="preserve">Disclaimer. EXCEPT AS EXPRESSLY SET FORTH HEREIN, THE LICENSED TECHNOLOGY IS PROVIDED "AS IS." IVYAR DISCLAIMS ALL OTHER WARRANTIES, EXPRESS OR IMPLIED, INCLUDING WARRANTIES OF MERCHANTABILITY, FITNESS FOR A PARTICULAR PURPOSE, AND NON-INFRINGEMENT.</w:t>
      </w:r>
    </w:p>
    <w:p>
      <w:pPr>
        <w:spacing w:before="360" w:after="120"/>
      </w:pPr>
      <w:r>
        <w:rPr>
          <w:b/>
          <w:bCs/>
          <w:sz w:val="24"/>
          <w:szCs w:val="24"/>
        </w:rPr>
        <w:t xml:space="preserve">ARTICLE 9. INDEMNIFICATION</w:t>
      </w:r>
    </w:p>
    <w:p>
      <w:pPr>
        <w:pStyle w:val="ListParagraph"/>
        <w:numPr>
          <w:ilvl w:val="0"/>
          <w:numId w:val="11"/>
        </w:numPr>
        <w:spacing w:after="120"/>
      </w:pPr>
      <w:r>
        <w:rPr>
          <w:sz w:val="22"/>
          <w:szCs w:val="22"/>
        </w:rPr>
        <w:t xml:space="preserve">IVYAR Indemnification. IVYAR shall defend, indemnify, and hold harmless OEM from third-party claims alleging that the Licensed Technology, as provided by IVYAR, infringes any patent, copyright, or trade secret, provided that:</w:t>
      </w:r>
    </w:p>
    <w:p>
      <w:pPr>
        <w:pStyle w:val="ListParagraph"/>
        <w:numPr>
          <w:ilvl w:val="0"/>
          <w:numId w:val="4"/>
        </w:numPr>
        <w:spacing w:after="80"/>
      </w:pPr>
      <w:r>
        <w:rPr>
          <w:sz w:val="22"/>
          <w:szCs w:val="22"/>
        </w:rPr>
        <w:t xml:space="preserve">OEM provides prompt written notice of the claim;</w:t>
      </w:r>
    </w:p>
    <w:p>
      <w:pPr>
        <w:pStyle w:val="ListParagraph"/>
        <w:numPr>
          <w:ilvl w:val="0"/>
          <w:numId w:val="4"/>
        </w:numPr>
        <w:spacing w:after="80"/>
      </w:pPr>
      <w:r>
        <w:rPr>
          <w:sz w:val="22"/>
          <w:szCs w:val="22"/>
        </w:rPr>
        <w:t xml:space="preserve">OEM grants IVYAR sole control of the defense and settlement;</w:t>
      </w:r>
    </w:p>
    <w:p>
      <w:pPr>
        <w:pStyle w:val="ListParagraph"/>
        <w:numPr>
          <w:ilvl w:val="0"/>
          <w:numId w:val="4"/>
        </w:numPr>
        <w:spacing w:after="80"/>
      </w:pPr>
      <w:r>
        <w:rPr>
          <w:sz w:val="22"/>
          <w:szCs w:val="22"/>
        </w:rPr>
        <w:t xml:space="preserve">OEM provides reasonable cooperation and assistance.</w:t>
      </w:r>
    </w:p>
    <w:p>
      <w:pPr>
        <w:pStyle w:val="ListParagraph"/>
        <w:numPr>
          <w:ilvl w:val="0"/>
          <w:numId w:val="11"/>
        </w:numPr>
        <w:spacing w:after="120"/>
      </w:pPr>
      <w:r>
        <w:rPr>
          <w:sz w:val="22"/>
          <w:szCs w:val="22"/>
        </w:rPr>
        <w:t xml:space="preserve">Infringement Remedies. If the Licensed Technology is held or believed to infringe, IVYAR may, at its option:</w:t>
      </w:r>
    </w:p>
    <w:p>
      <w:pPr>
        <w:pStyle w:val="ListParagraph"/>
        <w:numPr>
          <w:ilvl w:val="0"/>
          <w:numId w:val="4"/>
        </w:numPr>
        <w:spacing w:after="80"/>
      </w:pPr>
      <w:r>
        <w:rPr>
          <w:sz w:val="22"/>
          <w:szCs w:val="22"/>
        </w:rPr>
        <w:t xml:space="preserve">Obtain the right for OEM to continue using the Licensed Technology;</w:t>
      </w:r>
    </w:p>
    <w:p>
      <w:pPr>
        <w:pStyle w:val="ListParagraph"/>
        <w:numPr>
          <w:ilvl w:val="0"/>
          <w:numId w:val="4"/>
        </w:numPr>
        <w:spacing w:after="80"/>
      </w:pPr>
      <w:r>
        <w:rPr>
          <w:sz w:val="22"/>
          <w:szCs w:val="22"/>
        </w:rPr>
        <w:t xml:space="preserve">Modify the Licensed Technology to be non-infringing;</w:t>
      </w:r>
    </w:p>
    <w:p>
      <w:pPr>
        <w:pStyle w:val="ListParagraph"/>
        <w:numPr>
          <w:ilvl w:val="0"/>
          <w:numId w:val="4"/>
        </w:numPr>
        <w:spacing w:after="80"/>
      </w:pPr>
      <w:r>
        <w:rPr>
          <w:sz w:val="22"/>
          <w:szCs w:val="22"/>
        </w:rPr>
        <w:t xml:space="preserve">Replace the Licensed Technology with a non-infringing equivalent;</w:t>
      </w:r>
    </w:p>
    <w:p>
      <w:pPr>
        <w:pStyle w:val="ListParagraph"/>
        <w:numPr>
          <w:ilvl w:val="0"/>
          <w:numId w:val="4"/>
        </w:numPr>
        <w:spacing w:after="80"/>
      </w:pPr>
      <w:r>
        <w:rPr>
          <w:sz w:val="22"/>
          <w:szCs w:val="22"/>
        </w:rPr>
        <w:t xml:space="preserve">Terminate this Agreement and refund prepaid fees for unused periods.</w:t>
      </w:r>
    </w:p>
    <w:p>
      <w:pPr>
        <w:pStyle w:val="ListParagraph"/>
        <w:numPr>
          <w:ilvl w:val="0"/>
          <w:numId w:val="11"/>
        </w:numPr>
        <w:spacing w:after="120"/>
      </w:pPr>
      <w:r>
        <w:rPr>
          <w:sz w:val="22"/>
          <w:szCs w:val="22"/>
        </w:rPr>
        <w:t xml:space="preserve">Exclusions. IVYAR shall have no obligation for claims arising from:</w:t>
      </w:r>
    </w:p>
    <w:p>
      <w:pPr>
        <w:pStyle w:val="ListParagraph"/>
        <w:numPr>
          <w:ilvl w:val="0"/>
          <w:numId w:val="4"/>
        </w:numPr>
        <w:spacing w:after="80"/>
      </w:pPr>
      <w:r>
        <w:rPr>
          <w:sz w:val="22"/>
          <w:szCs w:val="22"/>
        </w:rPr>
        <w:t xml:space="preserve">Modifications made by OEM;</w:t>
      </w:r>
    </w:p>
    <w:p>
      <w:pPr>
        <w:pStyle w:val="ListParagraph"/>
        <w:numPr>
          <w:ilvl w:val="0"/>
          <w:numId w:val="4"/>
        </w:numPr>
        <w:spacing w:after="80"/>
      </w:pPr>
      <w:r>
        <w:rPr>
          <w:sz w:val="22"/>
          <w:szCs w:val="22"/>
        </w:rPr>
        <w:t xml:space="preserve">Combination with non-IVYAR products;</w:t>
      </w:r>
    </w:p>
    <w:p>
      <w:pPr>
        <w:pStyle w:val="ListParagraph"/>
        <w:numPr>
          <w:ilvl w:val="0"/>
          <w:numId w:val="4"/>
        </w:numPr>
        <w:spacing w:after="80"/>
      </w:pPr>
      <w:r>
        <w:rPr>
          <w:sz w:val="22"/>
          <w:szCs w:val="22"/>
        </w:rPr>
        <w:t xml:space="preserve">Use outside the scope of the license;</w:t>
      </w:r>
    </w:p>
    <w:p>
      <w:pPr>
        <w:pStyle w:val="ListParagraph"/>
        <w:numPr>
          <w:ilvl w:val="0"/>
          <w:numId w:val="4"/>
        </w:numPr>
        <w:spacing w:after="80"/>
      </w:pPr>
      <w:r>
        <w:rPr>
          <w:sz w:val="22"/>
          <w:szCs w:val="22"/>
        </w:rPr>
        <w:t xml:space="preserve">OEM's failure to use Updates that would have avoided infringement.</w:t>
      </w:r>
    </w:p>
    <w:p>
      <w:pPr>
        <w:pStyle w:val="ListParagraph"/>
        <w:numPr>
          <w:ilvl w:val="0"/>
          <w:numId w:val="11"/>
        </w:numPr>
        <w:spacing w:after="120"/>
      </w:pPr>
      <w:r>
        <w:rPr>
          <w:sz w:val="22"/>
          <w:szCs w:val="22"/>
        </w:rPr>
        <w:t xml:space="preserve">OEM Indemnification. OEM shall defend, indemnify, and hold harmless IVYAR from third-party claims arising from:</w:t>
      </w:r>
    </w:p>
    <w:p>
      <w:pPr>
        <w:pStyle w:val="ListParagraph"/>
        <w:numPr>
          <w:ilvl w:val="0"/>
          <w:numId w:val="4"/>
        </w:numPr>
        <w:spacing w:after="80"/>
      </w:pPr>
      <w:r>
        <w:rPr>
          <w:sz w:val="22"/>
          <w:szCs w:val="22"/>
        </w:rPr>
        <w:t xml:space="preserve">OEM Products (excluding claims covered by IVYAR's indemnity);</w:t>
      </w:r>
    </w:p>
    <w:p>
      <w:pPr>
        <w:pStyle w:val="ListParagraph"/>
        <w:numPr>
          <w:ilvl w:val="0"/>
          <w:numId w:val="4"/>
        </w:numPr>
        <w:spacing w:after="80"/>
      </w:pPr>
      <w:r>
        <w:rPr>
          <w:sz w:val="22"/>
          <w:szCs w:val="22"/>
        </w:rPr>
        <w:t xml:space="preserve">OEM's modifications to the Licensed Technology;</w:t>
      </w:r>
    </w:p>
    <w:p>
      <w:pPr>
        <w:pStyle w:val="ListParagraph"/>
        <w:numPr>
          <w:ilvl w:val="0"/>
          <w:numId w:val="4"/>
        </w:numPr>
        <w:spacing w:after="80"/>
      </w:pPr>
      <w:r>
        <w:rPr>
          <w:sz w:val="22"/>
          <w:szCs w:val="22"/>
        </w:rPr>
        <w:t xml:space="preserve">OEM's breach of this Agreement;</w:t>
      </w:r>
    </w:p>
    <w:p>
      <w:pPr>
        <w:pStyle w:val="ListParagraph"/>
        <w:numPr>
          <w:ilvl w:val="0"/>
          <w:numId w:val="4"/>
        </w:numPr>
        <w:spacing w:after="80"/>
      </w:pPr>
      <w:r>
        <w:rPr>
          <w:sz w:val="22"/>
          <w:szCs w:val="22"/>
        </w:rPr>
        <w:t xml:space="preserve">OEM's violation of applicable laws.</w:t>
      </w:r>
    </w:p>
    <w:p>
      <w:pPr>
        <w:spacing w:before="360" w:after="120"/>
      </w:pPr>
      <w:r>
        <w:rPr>
          <w:b/>
          <w:bCs/>
          <w:sz w:val="24"/>
          <w:szCs w:val="24"/>
        </w:rPr>
        <w:t xml:space="preserve">ARTICLE 10. LIMITATION OF LIABILITY</w:t>
      </w:r>
    </w:p>
    <w:p>
      <w:pPr>
        <w:pStyle w:val="ListParagraph"/>
        <w:numPr>
          <w:ilvl w:val="0"/>
          <w:numId w:val="12"/>
        </w:numPr>
        <w:spacing w:after="120"/>
      </w:pPr>
      <w:r>
        <w:rPr>
          <w:sz w:val="22"/>
          <w:szCs w:val="22"/>
        </w:rPr>
        <w:t xml:space="preserve">Exclusion of Damages. NEITHER PARTY SHALL BE LIABLE FOR ANY INDIRECT, INCIDENTAL, SPECIAL, CONSEQUENTIAL, OR PUNITIVE DAMAGES, INCLUDING LOSS OF PROFITS, REVENUE, DATA, OR BUSINESS OPPORTUNITIES, ARISING OUT OF THIS AGREEMENT.</w:t>
      </w:r>
    </w:p>
    <w:p>
      <w:pPr>
        <w:pStyle w:val="ListParagraph"/>
        <w:numPr>
          <w:ilvl w:val="0"/>
          <w:numId w:val="12"/>
        </w:numPr>
        <w:spacing w:after="120"/>
      </w:pPr>
      <w:r>
        <w:rPr>
          <w:sz w:val="22"/>
          <w:szCs w:val="22"/>
        </w:rPr>
        <w:t xml:space="preserve">Cap on Liability. EXCEPT FOR BREACHES OF CONFIDENTIALITY, INDEMNIFICATION OBLIGATIONS, OR WILLFUL MISCONDUCT, EACH PARTY'S TOTAL LIABILITY SHALL NOT EXCEED THE GREATER OF:</w:t>
      </w:r>
    </w:p>
    <w:p>
      <w:pPr>
        <w:pStyle w:val="ListParagraph"/>
        <w:numPr>
          <w:ilvl w:val="0"/>
          <w:numId w:val="4"/>
        </w:numPr>
        <w:spacing w:after="80"/>
      </w:pPr>
      <w:r>
        <w:rPr>
          <w:sz w:val="22"/>
          <w:szCs w:val="22"/>
        </w:rPr>
        <w:t xml:space="preserve">Fees paid or payable by OEM in the twelve (12) months preceding the claim; or</w:t>
      </w:r>
    </w:p>
    <w:p>
      <w:pPr>
        <w:pStyle w:val="ListParagraph"/>
        <w:numPr>
          <w:ilvl w:val="0"/>
          <w:numId w:val="4"/>
        </w:numPr>
        <w:spacing w:after="80"/>
      </w:pPr>
      <w:r>
        <w:rPr>
          <w:sz w:val="22"/>
          <w:szCs w:val="22"/>
        </w:rPr>
        <w:t xml:space="preserve">Five Hundred Thousand Dollars ($500,000).</w:t>
      </w:r>
    </w:p>
    <w:p>
      <w:pPr>
        <w:pStyle w:val="ListParagraph"/>
        <w:numPr>
          <w:ilvl w:val="0"/>
          <w:numId w:val="12"/>
        </w:numPr>
        <w:spacing w:after="120"/>
      </w:pPr>
      <w:r>
        <w:rPr>
          <w:sz w:val="22"/>
          <w:szCs w:val="22"/>
        </w:rPr>
        <w:t xml:space="preserve">Essential Purpose. THE LIMITATIONS IN THIS ARTICLE SHALL APPLY NOTWITHSTANDING THE FAILURE OF THE ESSENTIAL PURPOSE OF ANY LIMITED REMEDY.</w:t>
      </w:r>
    </w:p>
    <w:p>
      <w:pPr>
        <w:spacing w:before="360" w:after="120"/>
      </w:pPr>
      <w:r>
        <w:rPr>
          <w:b/>
          <w:bCs/>
          <w:sz w:val="24"/>
          <w:szCs w:val="24"/>
        </w:rPr>
        <w:t xml:space="preserve">ARTICLE 11. TERM AND TERMINATION</w:t>
      </w:r>
    </w:p>
    <w:p>
      <w:pPr>
        <w:pStyle w:val="ListParagraph"/>
        <w:numPr>
          <w:ilvl w:val="0"/>
          <w:numId w:val="13"/>
        </w:numPr>
        <w:spacing w:after="120"/>
      </w:pPr>
      <w:r>
        <w:rPr>
          <w:sz w:val="22"/>
          <w:szCs w:val="22"/>
        </w:rPr>
        <w:t xml:space="preserve">Term. This Agreement shall commence on the Effective Date and continue for the Initial Term specified in Exhibit A. Thereafter, it shall automatically renew for successive one (1) year periods unless either Party provides ninety (90) days' written notice of non-renewal.</w:t>
      </w:r>
    </w:p>
    <w:p>
      <w:pPr>
        <w:pStyle w:val="ListParagraph"/>
        <w:numPr>
          <w:ilvl w:val="0"/>
          <w:numId w:val="13"/>
        </w:numPr>
        <w:spacing w:after="120"/>
      </w:pPr>
      <w:r>
        <w:rPr>
          <w:sz w:val="22"/>
          <w:szCs w:val="22"/>
        </w:rPr>
        <w:t xml:space="preserve">Termination for Cause. Either Party may terminate this Agreement immediately upon written notice if the other Party:</w:t>
      </w:r>
    </w:p>
    <w:p>
      <w:pPr>
        <w:pStyle w:val="ListParagraph"/>
        <w:numPr>
          <w:ilvl w:val="0"/>
          <w:numId w:val="4"/>
        </w:numPr>
        <w:spacing w:after="80"/>
      </w:pPr>
      <w:r>
        <w:rPr>
          <w:sz w:val="22"/>
          <w:szCs w:val="22"/>
        </w:rPr>
        <w:t xml:space="preserve">Materially breaches this Agreement and fails to cure within thirty (30) days of notice;</w:t>
      </w:r>
    </w:p>
    <w:p>
      <w:pPr>
        <w:pStyle w:val="ListParagraph"/>
        <w:numPr>
          <w:ilvl w:val="0"/>
          <w:numId w:val="4"/>
        </w:numPr>
        <w:spacing w:after="80"/>
      </w:pPr>
      <w:r>
        <w:rPr>
          <w:sz w:val="22"/>
          <w:szCs w:val="22"/>
        </w:rPr>
        <w:t xml:space="preserve">Becomes insolvent, files for bankruptcy, or ceases operations;</w:t>
      </w:r>
    </w:p>
    <w:p>
      <w:pPr>
        <w:pStyle w:val="ListParagraph"/>
        <w:numPr>
          <w:ilvl w:val="0"/>
          <w:numId w:val="4"/>
        </w:numPr>
        <w:spacing w:after="80"/>
      </w:pPr>
      <w:r>
        <w:rPr>
          <w:sz w:val="22"/>
          <w:szCs w:val="22"/>
        </w:rPr>
        <w:t xml:space="preserve">Assigns or attempts to assign without consent.</w:t>
      </w:r>
    </w:p>
    <w:p>
      <w:pPr>
        <w:pStyle w:val="ListParagraph"/>
        <w:numPr>
          <w:ilvl w:val="0"/>
          <w:numId w:val="13"/>
        </w:numPr>
        <w:spacing w:after="120"/>
      </w:pPr>
      <w:r>
        <w:rPr>
          <w:sz w:val="22"/>
          <w:szCs w:val="22"/>
        </w:rPr>
        <w:t xml:space="preserve">Termination for Convenience. Either Party may terminate for convenience upon one hundred eighty (180) days' written notice.</w:t>
      </w:r>
    </w:p>
    <w:p>
      <w:pPr>
        <w:pStyle w:val="ListParagraph"/>
        <w:numPr>
          <w:ilvl w:val="0"/>
          <w:numId w:val="13"/>
        </w:numPr>
        <w:spacing w:after="120"/>
      </w:pPr>
      <w:r>
        <w:rPr>
          <w:sz w:val="22"/>
          <w:szCs w:val="22"/>
        </w:rPr>
        <w:t xml:space="preserve">Effect of Termination. Upon termination or expiration:</w:t>
      </w:r>
    </w:p>
    <w:p>
      <w:pPr>
        <w:pStyle w:val="ListParagraph"/>
        <w:numPr>
          <w:ilvl w:val="0"/>
          <w:numId w:val="4"/>
        </w:numPr>
        <w:spacing w:after="80"/>
      </w:pPr>
      <w:r>
        <w:rPr>
          <w:sz w:val="22"/>
          <w:szCs w:val="22"/>
        </w:rPr>
        <w:t xml:space="preserve">All licenses granted herein shall terminate;</w:t>
      </w:r>
    </w:p>
    <w:p>
      <w:pPr>
        <w:pStyle w:val="ListParagraph"/>
        <w:numPr>
          <w:ilvl w:val="0"/>
          <w:numId w:val="4"/>
        </w:numPr>
        <w:spacing w:after="80"/>
      </w:pPr>
      <w:r>
        <w:rPr>
          <w:sz w:val="22"/>
          <w:szCs w:val="22"/>
        </w:rPr>
        <w:t xml:space="preserve">OEM shall cease distributing OEM Products containing Licensed Technology;</w:t>
      </w:r>
    </w:p>
    <w:p>
      <w:pPr>
        <w:pStyle w:val="ListParagraph"/>
        <w:numPr>
          <w:ilvl w:val="0"/>
          <w:numId w:val="4"/>
        </w:numPr>
        <w:spacing w:after="80"/>
      </w:pPr>
      <w:r>
        <w:rPr>
          <w:sz w:val="22"/>
          <w:szCs w:val="22"/>
        </w:rPr>
        <w:t xml:space="preserve">OEM shall return or destroy all copies of Licensed Technology and Confidential Information;</w:t>
      </w:r>
    </w:p>
    <w:p>
      <w:pPr>
        <w:pStyle w:val="ListParagraph"/>
        <w:numPr>
          <w:ilvl w:val="0"/>
          <w:numId w:val="4"/>
        </w:numPr>
        <w:spacing w:after="80"/>
      </w:pPr>
      <w:r>
        <w:rPr>
          <w:sz w:val="22"/>
          <w:szCs w:val="22"/>
        </w:rPr>
        <w:t xml:space="preserve">OEM shall pay all fees accrued through the termination date;</w:t>
      </w:r>
    </w:p>
    <w:p>
      <w:pPr>
        <w:pStyle w:val="ListParagraph"/>
        <w:numPr>
          <w:ilvl w:val="0"/>
          <w:numId w:val="4"/>
        </w:numPr>
        <w:spacing w:after="80"/>
      </w:pPr>
      <w:r>
        <w:rPr>
          <w:sz w:val="22"/>
          <w:szCs w:val="22"/>
        </w:rPr>
        <w:t xml:space="preserve">End User licenses granted prior to termination shall survive per their terms.</w:t>
      </w:r>
    </w:p>
    <w:p>
      <w:pPr>
        <w:pStyle w:val="ListParagraph"/>
        <w:numPr>
          <w:ilvl w:val="0"/>
          <w:numId w:val="13"/>
        </w:numPr>
        <w:spacing w:after="120"/>
      </w:pPr>
      <w:r>
        <w:rPr>
          <w:sz w:val="22"/>
          <w:szCs w:val="22"/>
        </w:rPr>
        <w:t xml:space="preserve">Wind-Down Period. Upon termination without cause, OEM may continue to support existing End Users for up to twelve (12) months, subject to continued Royalty payments.</w:t>
      </w:r>
    </w:p>
    <w:p>
      <w:pPr>
        <w:pStyle w:val="ListParagraph"/>
        <w:numPr>
          <w:ilvl w:val="0"/>
          <w:numId w:val="13"/>
        </w:numPr>
        <w:spacing w:after="120"/>
      </w:pPr>
      <w:r>
        <w:rPr>
          <w:sz w:val="22"/>
          <w:szCs w:val="22"/>
        </w:rPr>
        <w:t xml:space="preserve">Survival. Articles 1, 6, 7, 8, 9, 10, and 12 shall survive termination or expiration.</w:t>
      </w:r>
    </w:p>
    <w:p>
      <w:r>
        <w:br w:type="page"/>
      </w:r>
    </w:p>
    <w:p>
      <w:pPr>
        <w:spacing w:before="360" w:after="120"/>
      </w:pPr>
      <w:r>
        <w:rPr>
          <w:b/>
          <w:bCs/>
          <w:sz w:val="24"/>
          <w:szCs w:val="24"/>
        </w:rPr>
        <w:t xml:space="preserve">ARTICLE 12. GENERAL PROVISIONS</w:t>
      </w:r>
    </w:p>
    <w:p>
      <w:pPr>
        <w:pStyle w:val="ListParagraph"/>
        <w:numPr>
          <w:ilvl w:val="0"/>
          <w:numId w:val="14"/>
        </w:numPr>
        <w:spacing w:after="120"/>
      </w:pPr>
      <w:r>
        <w:rPr>
          <w:sz w:val="22"/>
          <w:szCs w:val="22"/>
        </w:rPr>
        <w:t xml:space="preserve">Governing Law. This Agreement shall be governed by the laws of the State of Delaware, without regard to conflict of laws principles.</w:t>
      </w:r>
    </w:p>
    <w:p>
      <w:pPr>
        <w:pStyle w:val="ListParagraph"/>
        <w:numPr>
          <w:ilvl w:val="0"/>
          <w:numId w:val="14"/>
        </w:numPr>
        <w:spacing w:after="120"/>
      </w:pPr>
      <w:r>
        <w:rPr>
          <w:sz w:val="22"/>
          <w:szCs w:val="22"/>
        </w:rPr>
        <w:t xml:space="preserve">Dispute Resolution. Any dispute arising out of this Agreement shall be resolved by binding arbitration administered by the American Arbitration Association under its Commercial Arbitration Rules in Wilmington, Delaware. The arbitrator's decision shall be final and binding.</w:t>
      </w:r>
    </w:p>
    <w:p>
      <w:pPr>
        <w:pStyle w:val="ListParagraph"/>
        <w:numPr>
          <w:ilvl w:val="0"/>
          <w:numId w:val="14"/>
        </w:numPr>
        <w:spacing w:after="120"/>
      </w:pPr>
      <w:r>
        <w:rPr>
          <w:sz w:val="22"/>
          <w:szCs w:val="22"/>
        </w:rPr>
        <w:t xml:space="preserve">Export Compliance. OEM shall comply with all applicable export control laws, including ITAR and EAR. OEM shall not export or re-export the Licensed Technology to prohibited countries, entities, or persons.</w:t>
      </w:r>
    </w:p>
    <w:p>
      <w:pPr>
        <w:pStyle w:val="ListParagraph"/>
        <w:numPr>
          <w:ilvl w:val="0"/>
          <w:numId w:val="14"/>
        </w:numPr>
        <w:spacing w:after="120"/>
      </w:pPr>
      <w:r>
        <w:rPr>
          <w:sz w:val="22"/>
          <w:szCs w:val="22"/>
        </w:rPr>
        <w:t xml:space="preserve">Force Majeure. Neither Party shall be liable for delays or failures due to causes beyond reasonable control, including acts of God, war, terrorism, pandemics, or government actions.</w:t>
      </w:r>
    </w:p>
    <w:p>
      <w:pPr>
        <w:pStyle w:val="ListParagraph"/>
        <w:numPr>
          <w:ilvl w:val="0"/>
          <w:numId w:val="14"/>
        </w:numPr>
        <w:spacing w:after="120"/>
      </w:pPr>
      <w:r>
        <w:rPr>
          <w:sz w:val="22"/>
          <w:szCs w:val="22"/>
        </w:rPr>
        <w:t xml:space="preserve">Assignment. OEM may not assign this Agreement without IVYAR's prior written consent. IVYAR may assign to any successor in interest. Any attempted assignment in violation hereof shall be void.</w:t>
      </w:r>
    </w:p>
    <w:p>
      <w:pPr>
        <w:pStyle w:val="ListParagraph"/>
        <w:numPr>
          <w:ilvl w:val="0"/>
          <w:numId w:val="14"/>
        </w:numPr>
        <w:spacing w:after="120"/>
      </w:pPr>
      <w:r>
        <w:rPr>
          <w:sz w:val="22"/>
          <w:szCs w:val="22"/>
        </w:rPr>
        <w:t xml:space="preserve">Notices. All notices shall be in writing and delivered to the addresses in the preamble via certified mail, overnight courier, or email with confirmation.</w:t>
      </w:r>
    </w:p>
    <w:p>
      <w:pPr>
        <w:pStyle w:val="ListParagraph"/>
        <w:numPr>
          <w:ilvl w:val="0"/>
          <w:numId w:val="14"/>
        </w:numPr>
        <w:spacing w:after="120"/>
      </w:pPr>
      <w:r>
        <w:rPr>
          <w:sz w:val="22"/>
          <w:szCs w:val="22"/>
        </w:rPr>
        <w:t xml:space="preserve">Entire Agreement. This Agreement, including all Exhibits, constitutes the entire agreement between the Parties regarding the subject matter hereof and supersedes all prior agreements.</w:t>
      </w:r>
    </w:p>
    <w:p>
      <w:pPr>
        <w:pStyle w:val="ListParagraph"/>
        <w:numPr>
          <w:ilvl w:val="0"/>
          <w:numId w:val="14"/>
        </w:numPr>
        <w:spacing w:after="120"/>
      </w:pPr>
      <w:r>
        <w:rPr>
          <w:sz w:val="22"/>
          <w:szCs w:val="22"/>
        </w:rPr>
        <w:t xml:space="preserve">Amendment. This Agreement may only be amended by written instrument signed by authorized representatives of both Parties.</w:t>
      </w:r>
    </w:p>
    <w:p>
      <w:pPr>
        <w:pStyle w:val="ListParagraph"/>
        <w:numPr>
          <w:ilvl w:val="0"/>
          <w:numId w:val="14"/>
        </w:numPr>
        <w:spacing w:after="120"/>
      </w:pPr>
      <w:r>
        <w:rPr>
          <w:sz w:val="22"/>
          <w:szCs w:val="22"/>
        </w:rPr>
        <w:t xml:space="preserve">Severability. If any provision is held invalid or unenforceable, the remaining provisions shall continue in full force.</w:t>
      </w:r>
    </w:p>
    <w:p>
      <w:pPr>
        <w:pStyle w:val="ListParagraph"/>
        <w:numPr>
          <w:ilvl w:val="0"/>
          <w:numId w:val="14"/>
        </w:numPr>
        <w:spacing w:after="120"/>
      </w:pPr>
      <w:r>
        <w:rPr>
          <w:sz w:val="22"/>
          <w:szCs w:val="22"/>
        </w:rPr>
        <w:t xml:space="preserve">Waiver. Failure to enforce any provision shall not constitute a waiver of such provision.</w:t>
      </w:r>
    </w:p>
    <w:p>
      <w:pPr>
        <w:pStyle w:val="ListParagraph"/>
        <w:numPr>
          <w:ilvl w:val="0"/>
          <w:numId w:val="14"/>
        </w:numPr>
        <w:spacing w:after="120"/>
      </w:pPr>
      <w:r>
        <w:rPr>
          <w:sz w:val="22"/>
          <w:szCs w:val="22"/>
        </w:rPr>
        <w:t xml:space="preserve">Counterparts. This Agreement may be executed in counterparts, including electronic signatures, each of which shall be deemed an original.</w:t>
      </w:r>
    </w:p>
    <w:p>
      <w:pPr>
        <w:pStyle w:val="ListParagraph"/>
        <w:numPr>
          <w:ilvl w:val="0"/>
          <w:numId w:val="14"/>
        </w:numPr>
        <w:spacing w:after="120"/>
      </w:pPr>
      <w:r>
        <w:rPr>
          <w:sz w:val="22"/>
          <w:szCs w:val="22"/>
        </w:rPr>
        <w:t xml:space="preserve">Independent Contractors. The Parties are independent contractors. Nothing herein creates an agency, partnership, or joint venture.</w:t>
      </w:r>
    </w:p>
    <w:p>
      <w:pPr>
        <w:spacing w:before="480"/>
      </w:pPr>
    </w:p>
    <w:p>
      <w:pPr>
        <w:spacing w:after="120"/>
      </w:pPr>
      <w:r>
        <w:rPr>
          <w:b/>
          <w:bCs/>
          <w:sz w:val="22"/>
          <w:szCs w:val="22"/>
        </w:rPr>
        <w:t xml:space="preserve">IN WITNESS WHEREOF, the Parties have executed this Agreement as of the Effective Date.</w:t>
      </w:r>
    </w:p>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IVYAR LLC (Licensor)</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OEM PARTNER (Licensee)</w:t>
            </w:r>
          </w:p>
        </w:tc>
      </w:tr>
      <w:tr>
        <w:tc>
          <w:tcPr>
            <w:tcW w:type="dxa" w:w="4500"/>
            <w:tcBorders>
              <w:top w:val="none" w:color="FFFFFF" w:sz="0"/>
              <w:left w:val="none" w:color="FFFFFF" w:sz="0"/>
              <w:bottom w:val="none" w:color="FFFFFF" w:sz="0"/>
              <w:right w:val="none" w:color="FFFFFF" w:sz="0"/>
            </w:tcBorders>
          </w:tcPr>
          <w:p>
            <w:pPr>
              <w:spacing w:before="36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36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r>
      <w:tr>
        <w:tc>
          <w:tcPr>
            <w:tcW w:type="dxa" w:w="4500"/>
            <w:tcBorders>
              <w:top w:val="none" w:color="FFFFFF" w:sz="0"/>
              <w:left w:val="none" w:color="FFFFFF" w:sz="0"/>
              <w:bottom w:val="none" w:color="FFFFFF" w:sz="0"/>
              <w:right w:val="none" w:color="FFFFFF" w:sz="0"/>
            </w:tcBorders>
          </w:tcPr>
          <w:p>
            <w:pPr>
              <w:spacing w:before="20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20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r>
      <w:tr>
        <w:tc>
          <w:tcPr>
            <w:tcW w:type="dxa" w:w="4500"/>
            <w:tcBorders>
              <w:top w:val="none" w:color="FFFFFF" w:sz="0"/>
              <w:left w:val="none" w:color="FFFFFF" w:sz="0"/>
              <w:bottom w:val="none" w:color="FFFFFF" w:sz="0"/>
              <w:right w:val="none" w:color="FFFFFF" w:sz="0"/>
            </w:tcBorders>
          </w:tcPr>
          <w:p>
            <w:pPr>
              <w:spacing w:before="20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20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r>
    </w:tbl>
    <w:p>
      <w:r>
        <w:br w:type="page"/>
      </w:r>
    </w:p>
    <w:p>
      <w:pPr>
        <w:spacing w:after="240"/>
        <w:jc w:val="center"/>
      </w:pPr>
      <w:r>
        <w:rPr>
          <w:b/>
          <w:bCs/>
          <w:sz w:val="28"/>
          <w:szCs w:val="28"/>
        </w:rPr>
        <w:t xml:space="preserve">EXHIBIT A</w:t>
      </w:r>
    </w:p>
    <w:p>
      <w:pPr>
        <w:spacing w:after="360"/>
        <w:jc w:val="center"/>
      </w:pPr>
      <w:r>
        <w:rPr>
          <w:b/>
          <w:bCs/>
          <w:sz w:val="24"/>
          <w:szCs w:val="24"/>
        </w:rPr>
        <w:t xml:space="preserve">LICENSED TECHNOLOGY AND SCOPE</w:t>
      </w:r>
    </w:p>
    <w:p>
      <w:pPr>
        <w:spacing w:after="120"/>
      </w:pPr>
      <w:r>
        <w:rPr>
          <w:b/>
          <w:bCs/>
          <w:sz w:val="22"/>
          <w:szCs w:val="22"/>
        </w:rPr>
        <w:t xml:space="preserve">1. OEM PARTNER INFORMATION</w:t>
      </w:r>
    </w:p>
    <w:p>
      <w:pPr>
        <w:spacing w:after="120"/>
      </w:pPr>
      <w:r>
        <w:rPr>
          <w:sz w:val="22"/>
          <w:szCs w:val="22"/>
        </w:rPr>
        <w:t xml:space="preserve">OEM Legal Name: _________________________________</w:t>
      </w:r>
    </w:p>
    <w:p>
      <w:pPr>
        <w:spacing w:after="120"/>
      </w:pPr>
      <w:r>
        <w:rPr>
          <w:sz w:val="22"/>
          <w:szCs w:val="22"/>
        </w:rPr>
        <w:t xml:space="preserve">Primary Contact: _________________________________</w:t>
      </w:r>
    </w:p>
    <w:p>
      <w:pPr>
        <w:spacing w:after="120"/>
      </w:pPr>
      <w:r>
        <w:rPr>
          <w:sz w:val="22"/>
          <w:szCs w:val="22"/>
        </w:rPr>
        <w:t xml:space="preserve">Email: _________________________________</w:t>
      </w:r>
    </w:p>
    <w:p>
      <w:pPr>
        <w:spacing w:after="120"/>
      </w:pPr>
      <w:r>
        <w:rPr>
          <w:sz w:val="22"/>
          <w:szCs w:val="22"/>
        </w:rPr>
        <w:t xml:space="preserve">Address: _________________________________</w:t>
      </w:r>
    </w:p>
    <w:p>
      <w:pPr>
        <w:spacing w:after="160"/>
      </w:pPr>
    </w:p>
    <w:p>
      <w:pPr>
        <w:spacing w:after="120"/>
      </w:pPr>
      <w:r>
        <w:rPr>
          <w:b/>
          <w:bCs/>
          <w:sz w:val="22"/>
          <w:szCs w:val="22"/>
        </w:rPr>
        <w:t xml:space="preserve">2. LICENSED TECHNOLOGY COMPONENTS</w:t>
      </w:r>
    </w:p>
    <w:p>
      <w:pPr>
        <w:spacing w:after="120"/>
      </w:pPr>
      <w:r>
        <w:rPr>
          <w:sz w:val="22"/>
          <w:szCs w:val="22"/>
        </w:rPr>
        <w:t xml:space="preserve">The following components of the IVYAR Platform are licensed under this Agreement:</w:t>
      </w:r>
    </w:p>
    <w:p>
      <w:pPr>
        <w:spacing w:after="80"/>
      </w:pPr>
    </w:p>
    <w:p>
      <w:pPr>
        <w:spacing w:after="120"/>
      </w:pPr>
      <w:r>
        <w:rPr>
          <w:sz w:val="22"/>
          <w:szCs w:val="22"/>
        </w:rPr>
        <w:t xml:space="preserve">[  ] Governance Portal APIs</w:t>
      </w:r>
    </w:p>
    <w:p>
      <w:pPr>
        <w:spacing w:after="120"/>
      </w:pPr>
      <w:r>
        <w:rPr>
          <w:sz w:val="22"/>
          <w:szCs w:val="22"/>
        </w:rPr>
        <w:t xml:space="preserve">[  ] Security Framework SDK</w:t>
      </w:r>
    </w:p>
    <w:p>
      <w:pPr>
        <w:spacing w:after="120"/>
      </w:pPr>
      <w:r>
        <w:rPr>
          <w:sz w:val="22"/>
          <w:szCs w:val="22"/>
        </w:rPr>
        <w:t xml:space="preserve">[  ] Compliance Engine APIs</w:t>
      </w:r>
    </w:p>
    <w:p>
      <w:pPr>
        <w:spacing w:after="120"/>
      </w:pPr>
      <w:r>
        <w:rPr>
          <w:sz w:val="22"/>
          <w:szCs w:val="22"/>
        </w:rPr>
        <w:t xml:space="preserve">[  ] Procurement Module APIs</w:t>
      </w:r>
    </w:p>
    <w:p>
      <w:pPr>
        <w:spacing w:after="120"/>
      </w:pPr>
      <w:r>
        <w:rPr>
          <w:sz w:val="22"/>
          <w:szCs w:val="22"/>
        </w:rPr>
        <w:t xml:space="preserve">[  ] Academy Integration Kit</w:t>
      </w:r>
    </w:p>
    <w:p>
      <w:pPr>
        <w:spacing w:after="120"/>
      </w:pPr>
      <w:r>
        <w:rPr>
          <w:sz w:val="22"/>
          <w:szCs w:val="22"/>
        </w:rPr>
        <w:t xml:space="preserve">[  ] Simulation Engine SDK</w:t>
      </w:r>
    </w:p>
    <w:p>
      <w:pPr>
        <w:spacing w:after="120"/>
      </w:pPr>
      <w:r>
        <w:rPr>
          <w:sz w:val="22"/>
          <w:szCs w:val="22"/>
        </w:rPr>
        <w:t xml:space="preserve">[  ] Ethical AI Engine APIs</w:t>
      </w:r>
    </w:p>
    <w:p>
      <w:pPr>
        <w:spacing w:after="120"/>
      </w:pPr>
      <w:r>
        <w:rPr>
          <w:sz w:val="22"/>
          <w:szCs w:val="22"/>
        </w:rPr>
        <w:t xml:space="preserve">[  ] Multi-Agent AI Framework</w:t>
      </w:r>
    </w:p>
    <w:p>
      <w:pPr>
        <w:spacing w:after="120"/>
      </w:pPr>
      <w:r>
        <w:rPr>
          <w:sz w:val="22"/>
          <w:szCs w:val="22"/>
        </w:rPr>
        <w:t xml:space="preserve">[  ] Other: _________________________________</w:t>
      </w:r>
    </w:p>
    <w:p>
      <w:pPr>
        <w:spacing w:after="160"/>
      </w:pPr>
    </w:p>
    <w:p>
      <w:pPr>
        <w:spacing w:after="120"/>
      </w:pPr>
      <w:r>
        <w:rPr>
          <w:b/>
          <w:bCs/>
          <w:sz w:val="22"/>
          <w:szCs w:val="22"/>
        </w:rPr>
        <w:t xml:space="preserve">3. SOURCE CODE ACCESS</w:t>
      </w:r>
    </w:p>
    <w:p>
      <w:pPr>
        <w:spacing w:after="120"/>
      </w:pPr>
      <w:r>
        <w:rPr>
          <w:sz w:val="22"/>
          <w:szCs w:val="22"/>
        </w:rPr>
        <w:t xml:space="preserve">[  ] Object Code Only</w:t>
      </w:r>
    </w:p>
    <w:p>
      <w:pPr>
        <w:spacing w:after="120"/>
      </w:pPr>
      <w:r>
        <w:rPr>
          <w:sz w:val="22"/>
          <w:szCs w:val="22"/>
        </w:rPr>
        <w:t xml:space="preserve">[  ] Object Code + Limited Source Code (APIs/interfaces only)</w:t>
      </w:r>
    </w:p>
    <w:p>
      <w:pPr>
        <w:spacing w:after="120"/>
      </w:pPr>
      <w:r>
        <w:rPr>
          <w:sz w:val="22"/>
          <w:szCs w:val="22"/>
        </w:rPr>
        <w:t xml:space="preserve">[  ] Full Source Code Access (subject to additional terms)</w:t>
      </w:r>
    </w:p>
    <w:p>
      <w:pPr>
        <w:spacing w:after="160"/>
      </w:pPr>
    </w:p>
    <w:p>
      <w:pPr>
        <w:spacing w:after="120"/>
      </w:pPr>
      <w:r>
        <w:rPr>
          <w:b/>
          <w:bCs/>
          <w:sz w:val="22"/>
          <w:szCs w:val="22"/>
        </w:rPr>
        <w:t xml:space="preserve">4. TERRITORY</w:t>
      </w:r>
    </w:p>
    <w:p>
      <w:pPr>
        <w:spacing w:after="120"/>
      </w:pPr>
      <w:r>
        <w:rPr>
          <w:sz w:val="22"/>
          <w:szCs w:val="22"/>
        </w:rPr>
        <w:t xml:space="preserve">Geographic Regions: _________________________________</w:t>
      </w:r>
    </w:p>
    <w:p>
      <w:pPr>
        <w:spacing w:after="120"/>
      </w:pPr>
      <w:r>
        <w:rPr>
          <w:sz w:val="22"/>
          <w:szCs w:val="22"/>
        </w:rPr>
        <w:t xml:space="preserve">Market Segments: _________________________________</w:t>
      </w:r>
    </w:p>
    <w:p>
      <w:pPr>
        <w:spacing w:after="120"/>
      </w:pPr>
      <w:r>
        <w:rPr>
          <w:sz w:val="22"/>
          <w:szCs w:val="22"/>
        </w:rPr>
        <w:t xml:space="preserve">Exclusivity: [  ] Non-Exclusive  [  ] Exclusive in Territory</w:t>
      </w:r>
    </w:p>
    <w:p>
      <w:pPr>
        <w:spacing w:after="160"/>
      </w:pPr>
    </w:p>
    <w:p>
      <w:pPr>
        <w:spacing w:after="120"/>
      </w:pPr>
      <w:r>
        <w:rPr>
          <w:b/>
          <w:bCs/>
          <w:sz w:val="22"/>
          <w:szCs w:val="22"/>
        </w:rPr>
        <w:t xml:space="preserve">5. INITIAL TERM</w:t>
      </w:r>
    </w:p>
    <w:p>
      <w:pPr>
        <w:spacing w:after="120"/>
      </w:pPr>
      <w:r>
        <w:rPr>
          <w:sz w:val="22"/>
          <w:szCs w:val="22"/>
        </w:rPr>
        <w:t xml:space="preserve">_______ years, commencing on the Effective Date</w:t>
      </w:r>
    </w:p>
    <w:p>
      <w:pPr>
        <w:spacing w:after="160"/>
      </w:pPr>
    </w:p>
    <w:p>
      <w:pPr>
        <w:spacing w:after="120"/>
      </w:pPr>
      <w:r>
        <w:rPr>
          <w:b/>
          <w:bCs/>
          <w:sz w:val="22"/>
          <w:szCs w:val="22"/>
        </w:rPr>
        <w:t xml:space="preserve">6. USAGE LIMITS</w:t>
      </w:r>
    </w:p>
    <w:p>
      <w:pPr>
        <w:spacing w:after="120"/>
      </w:pPr>
      <w:r>
        <w:rPr>
          <w:sz w:val="22"/>
          <w:szCs w:val="22"/>
        </w:rPr>
        <w:t xml:space="preserve">Maximum End Users: _________________________________</w:t>
      </w:r>
    </w:p>
    <w:p>
      <w:pPr>
        <w:spacing w:after="120"/>
      </w:pPr>
      <w:r>
        <w:rPr>
          <w:sz w:val="22"/>
          <w:szCs w:val="22"/>
        </w:rPr>
        <w:t xml:space="preserve">Maximum Deployments: _________________________________</w:t>
      </w:r>
    </w:p>
    <w:p>
      <w:pPr>
        <w:spacing w:after="120"/>
      </w:pPr>
      <w:r>
        <w:rPr>
          <w:sz w:val="22"/>
          <w:szCs w:val="22"/>
        </w:rPr>
        <w:t xml:space="preserve">API Call Limits: _________________________________</w:t>
      </w:r>
    </w:p>
    <w:p>
      <w:r>
        <w:br w:type="page"/>
      </w:r>
    </w:p>
    <w:p>
      <w:pPr>
        <w:spacing w:after="240"/>
        <w:jc w:val="center"/>
      </w:pPr>
      <w:r>
        <w:rPr>
          <w:b/>
          <w:bCs/>
          <w:sz w:val="28"/>
          <w:szCs w:val="28"/>
        </w:rPr>
        <w:t xml:space="preserve">EXHIBIT B</w:t>
      </w:r>
    </w:p>
    <w:p>
      <w:pPr>
        <w:spacing w:after="360"/>
        <w:jc w:val="center"/>
      </w:pPr>
      <w:r>
        <w:rPr>
          <w:b/>
          <w:bCs/>
          <w:sz w:val="24"/>
          <w:szCs w:val="24"/>
        </w:rPr>
        <w:t xml:space="preserve">OEM PRODUCTS</w:t>
      </w:r>
    </w:p>
    <w:p>
      <w:pPr>
        <w:spacing w:after="120"/>
      </w:pPr>
      <w:r>
        <w:rPr>
          <w:b/>
          <w:bCs/>
          <w:sz w:val="22"/>
          <w:szCs w:val="22"/>
        </w:rPr>
        <w:t xml:space="preserve">1. APPROVED OEM PRODUCTS</w:t>
      </w:r>
    </w:p>
    <w:p>
      <w:pPr>
        <w:spacing w:after="120"/>
      </w:pPr>
      <w:r>
        <w:rPr>
          <w:sz w:val="22"/>
          <w:szCs w:val="22"/>
        </w:rPr>
        <w:t xml:space="preserve">The following OEM Products are approved for integration with the Licensed Technology:</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Product Name</w:t>
            </w:r>
          </w:p>
        </w:tc>
        <w:tc>
          <w:tcPr>
            <w:tcW w:type="dxa" w:w="30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Target Market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
            </w:r>
          </w:p>
        </w:tc>
        <w:tc>
          <w:tcPr>
            <w:tcW w:type="dxa" w:w="3000"/>
            <w:tcBorders>
              <w:top w:val="single" w:color="CCCCCC" w:sz="1"/>
              <w:left w:val="single" w:color="CCCCCC" w:sz="1"/>
              <w:bottom w:val="single" w:color="CCCCCC" w:sz="1"/>
              <w:right w:val="single" w:color="CCCCCC" w:sz="1"/>
            </w:tcBorders>
          </w:tcPr>
          <w:p>
            <w:r>
              <w:rPr>
                <w:sz w:val="20"/>
                <w:szCs w:val="20"/>
              </w:rPr>
              <w:t xml:space="preserve"/>
            </w:r>
          </w:p>
        </w:tc>
        <w:tc>
          <w:tcPr>
            <w:tcW w:type="dxa" w:w="2860"/>
            <w:tcBorders>
              <w:top w:val="single" w:color="CCCCCC" w:sz="1"/>
              <w:left w:val="single" w:color="CCCCCC" w:sz="1"/>
              <w:bottom w:val="single" w:color="CCCCCC" w:sz="1"/>
              <w:right w:val="single" w:color="CCCCCC" w:sz="1"/>
            </w:tcBorders>
          </w:tcPr>
          <w:p>
            <w:r>
              <w:rPr>
                <w:sz w:val="20"/>
                <w:szCs w:val="20"/>
              </w:rPr>
              <w:t xml:space="preserve"/>
            </w:r>
          </w:p>
        </w:tc>
      </w:tr>
      <w:tr>
        <w:tc>
          <w:tcPr>
            <w:tcW w:type="dxa" w:w="3500"/>
            <w:tcBorders>
              <w:top w:val="single" w:color="CCCCCC" w:sz="1"/>
              <w:left w:val="single" w:color="CCCCCC" w:sz="1"/>
              <w:bottom w:val="single" w:color="CCCCCC" w:sz="1"/>
              <w:right w:val="single" w:color="CCCCCC" w:sz="1"/>
            </w:tcBorders>
          </w:tcPr>
          <w:p>
            <w:r>
              <w:rPr>
                <w:sz w:val="20"/>
                <w:szCs w:val="20"/>
              </w:rPr>
              <w:t xml:space="preserve"/>
            </w:r>
          </w:p>
        </w:tc>
        <w:tc>
          <w:tcPr>
            <w:tcW w:type="dxa" w:w="3000"/>
            <w:tcBorders>
              <w:top w:val="single" w:color="CCCCCC" w:sz="1"/>
              <w:left w:val="single" w:color="CCCCCC" w:sz="1"/>
              <w:bottom w:val="single" w:color="CCCCCC" w:sz="1"/>
              <w:right w:val="single" w:color="CCCCCC" w:sz="1"/>
            </w:tcBorders>
          </w:tcPr>
          <w:p>
            <w:r>
              <w:rPr>
                <w:sz w:val="20"/>
                <w:szCs w:val="20"/>
              </w:rPr>
              <w:t xml:space="preserve"/>
            </w:r>
          </w:p>
        </w:tc>
        <w:tc>
          <w:tcPr>
            <w:tcW w:type="dxa" w:w="2860"/>
            <w:tcBorders>
              <w:top w:val="single" w:color="CCCCCC" w:sz="1"/>
              <w:left w:val="single" w:color="CCCCCC" w:sz="1"/>
              <w:bottom w:val="single" w:color="CCCCCC" w:sz="1"/>
              <w:right w:val="single" w:color="CCCCCC" w:sz="1"/>
            </w:tcBorders>
          </w:tcPr>
          <w:p>
            <w:r>
              <w:rPr>
                <w:sz w:val="20"/>
                <w:szCs w:val="20"/>
              </w:rPr>
              <w:t xml:space="preserve"/>
            </w:r>
          </w:p>
        </w:tc>
      </w:tr>
      <w:tr>
        <w:tc>
          <w:tcPr>
            <w:tcW w:type="dxa" w:w="3500"/>
            <w:tcBorders>
              <w:top w:val="single" w:color="CCCCCC" w:sz="1"/>
              <w:left w:val="single" w:color="CCCCCC" w:sz="1"/>
              <w:bottom w:val="single" w:color="CCCCCC" w:sz="1"/>
              <w:right w:val="single" w:color="CCCCCC" w:sz="1"/>
            </w:tcBorders>
          </w:tcPr>
          <w:p>
            <w:r>
              <w:rPr>
                <w:sz w:val="20"/>
                <w:szCs w:val="20"/>
              </w:rPr>
              <w:t xml:space="preserve"/>
            </w:r>
          </w:p>
        </w:tc>
        <w:tc>
          <w:tcPr>
            <w:tcW w:type="dxa" w:w="3000"/>
            <w:tcBorders>
              <w:top w:val="single" w:color="CCCCCC" w:sz="1"/>
              <w:left w:val="single" w:color="CCCCCC" w:sz="1"/>
              <w:bottom w:val="single" w:color="CCCCCC" w:sz="1"/>
              <w:right w:val="single" w:color="CCCCCC" w:sz="1"/>
            </w:tcBorders>
          </w:tcPr>
          <w:p>
            <w:r>
              <w:rPr>
                <w:sz w:val="20"/>
                <w:szCs w:val="20"/>
              </w:rPr>
              <w:t xml:space="preserve"/>
            </w:r>
          </w:p>
        </w:tc>
        <w:tc>
          <w:tcPr>
            <w:tcW w:type="dxa" w:w="2860"/>
            <w:tcBorders>
              <w:top w:val="single" w:color="CCCCCC" w:sz="1"/>
              <w:left w:val="single" w:color="CCCCCC" w:sz="1"/>
              <w:bottom w:val="single" w:color="CCCCCC" w:sz="1"/>
              <w:right w:val="single" w:color="CCCCCC" w:sz="1"/>
            </w:tcBorders>
          </w:tcPr>
          <w:p>
            <w:r>
              <w:rPr>
                <w:sz w:val="20"/>
                <w:szCs w:val="20"/>
              </w:rPr>
              <w:t xml:space="preserve"/>
            </w:r>
          </w:p>
        </w:tc>
      </w:tr>
    </w:tbl>
    <w:p>
      <w:pPr>
        <w:spacing w:before="200"/>
      </w:pPr>
    </w:p>
    <w:p>
      <w:pPr>
        <w:spacing w:after="120"/>
      </w:pPr>
      <w:r>
        <w:rPr>
          <w:b/>
          <w:bCs/>
          <w:sz w:val="22"/>
          <w:szCs w:val="22"/>
        </w:rPr>
        <w:t xml:space="preserve">2. INTEGRATION REQUIREMENTS</w:t>
      </w:r>
    </w:p>
    <w:p>
      <w:pPr>
        <w:spacing w:after="120"/>
      </w:pPr>
      <w:r>
        <w:rPr>
          <w:sz w:val="22"/>
          <w:szCs w:val="22"/>
        </w:rPr>
        <w:t xml:space="preserve">OEM Products shall meet the following minimum integration requirements:</w:t>
      </w:r>
    </w:p>
    <w:p>
      <w:pPr>
        <w:pStyle w:val="ListParagraph"/>
        <w:numPr>
          <w:ilvl w:val="0"/>
          <w:numId w:val="15"/>
        </w:numPr>
        <w:spacing w:after="80"/>
      </w:pPr>
      <w:r>
        <w:rPr>
          <w:sz w:val="22"/>
          <w:szCs w:val="22"/>
        </w:rPr>
        <w:t xml:space="preserve">Licensed Technology shall not exceed 30% of total OEM Product functionality</w:t>
      </w:r>
    </w:p>
    <w:p>
      <w:pPr>
        <w:pStyle w:val="ListParagraph"/>
        <w:numPr>
          <w:ilvl w:val="0"/>
          <w:numId w:val="15"/>
        </w:numPr>
        <w:spacing w:after="80"/>
      </w:pPr>
      <w:r>
        <w:rPr>
          <w:sz w:val="22"/>
          <w:szCs w:val="22"/>
        </w:rPr>
        <w:t xml:space="preserve">Substantial OEM value-add required (specify): _________________________________</w:t>
      </w:r>
    </w:p>
    <w:p>
      <w:pPr>
        <w:pStyle w:val="ListParagraph"/>
        <w:numPr>
          <w:ilvl w:val="0"/>
          <w:numId w:val="15"/>
        </w:numPr>
        <w:spacing w:after="80"/>
      </w:pPr>
      <w:r>
        <w:rPr>
          <w:sz w:val="22"/>
          <w:szCs w:val="22"/>
        </w:rPr>
        <w:t xml:space="preserve">Minimum End User license restrictions: _________________________________</w:t>
      </w:r>
    </w:p>
    <w:p>
      <w:pPr>
        <w:spacing w:after="160"/>
      </w:pPr>
    </w:p>
    <w:p>
      <w:pPr>
        <w:spacing w:after="120"/>
      </w:pPr>
      <w:r>
        <w:rPr>
          <w:b/>
          <w:bCs/>
          <w:sz w:val="22"/>
          <w:szCs w:val="22"/>
        </w:rPr>
        <w:t xml:space="preserve">3. BRANDING REQUIREMENTS</w:t>
      </w:r>
    </w:p>
    <w:p>
      <w:pPr>
        <w:spacing w:after="120"/>
      </w:pPr>
      <w:r>
        <w:rPr>
          <w:sz w:val="22"/>
          <w:szCs w:val="22"/>
        </w:rPr>
        <w:t xml:space="preserve">"Powered by IVYAR" designation location: _________________________________</w:t>
      </w:r>
    </w:p>
    <w:p>
      <w:pPr>
        <w:spacing w:after="120"/>
      </w:pPr>
      <w:r>
        <w:rPr>
          <w:sz w:val="22"/>
          <w:szCs w:val="22"/>
        </w:rPr>
        <w:t xml:space="preserve">Copyright notice format: _________________________________</w:t>
      </w:r>
    </w:p>
    <w:p>
      <w:pPr>
        <w:spacing w:after="120"/>
      </w:pPr>
      <w:r>
        <w:rPr>
          <w:sz w:val="22"/>
          <w:szCs w:val="22"/>
        </w:rPr>
        <w:t xml:space="preserve">Additional attribution: _________________________________</w:t>
      </w:r>
    </w:p>
    <w:p>
      <w:r>
        <w:br w:type="page"/>
      </w:r>
    </w:p>
    <w:p>
      <w:pPr>
        <w:spacing w:after="240"/>
        <w:jc w:val="center"/>
      </w:pPr>
      <w:r>
        <w:rPr>
          <w:b/>
          <w:bCs/>
          <w:sz w:val="28"/>
          <w:szCs w:val="28"/>
        </w:rPr>
        <w:t xml:space="preserve">EXHIBIT C</w:t>
      </w:r>
    </w:p>
    <w:p>
      <w:pPr>
        <w:spacing w:after="360"/>
        <w:jc w:val="center"/>
      </w:pPr>
      <w:r>
        <w:rPr>
          <w:b/>
          <w:bCs/>
          <w:sz w:val="24"/>
          <w:szCs w:val="24"/>
        </w:rPr>
        <w:t xml:space="preserve">FEES AND ROYALTY SCHEDULE</w:t>
      </w:r>
    </w:p>
    <w:p>
      <w:pPr>
        <w:spacing w:after="120"/>
      </w:pPr>
      <w:r>
        <w:rPr>
          <w:b/>
          <w:bCs/>
          <w:sz w:val="22"/>
          <w:szCs w:val="22"/>
        </w:rPr>
        <w:t xml:space="preserve">1. INITIAL FEES</w:t>
      </w:r>
    </w:p>
    <w:p>
      <w:pPr>
        <w:spacing w:after="120"/>
      </w:pPr>
      <w:r>
        <w:rPr>
          <w:sz w:val="22"/>
          <w:szCs w:val="22"/>
        </w:rPr>
        <w:t xml:space="preserve">Integration Fee (one-time): $_______________</w:t>
      </w:r>
    </w:p>
    <w:p>
      <w:pPr>
        <w:spacing w:after="120"/>
      </w:pPr>
      <w:r>
        <w:rPr>
          <w:sz w:val="22"/>
          <w:szCs w:val="22"/>
        </w:rPr>
        <w:t xml:space="preserve">Training Fee: $_______________</w:t>
      </w:r>
    </w:p>
    <w:p>
      <w:pPr>
        <w:spacing w:after="120"/>
      </w:pPr>
      <w:r>
        <w:rPr>
          <w:sz w:val="22"/>
          <w:szCs w:val="22"/>
        </w:rPr>
        <w:t xml:space="preserve">Documentation/SDK Access: $_______________</w:t>
      </w:r>
    </w:p>
    <w:p>
      <w:pPr>
        <w:spacing w:after="160"/>
      </w:pPr>
    </w:p>
    <w:p>
      <w:pPr>
        <w:spacing w:after="120"/>
      </w:pPr>
      <w:r>
        <w:rPr>
          <w:b/>
          <w:bCs/>
          <w:sz w:val="22"/>
          <w:szCs w:val="22"/>
        </w:rPr>
        <w:t xml:space="preserve">2. ANNUAL MINIMUM COMMITMENT</w:t>
      </w:r>
    </w:p>
    <w:p>
      <w:pPr>
        <w:spacing w:after="120"/>
      </w:pPr>
      <w:r>
        <w:rPr>
          <w:sz w:val="22"/>
          <w:szCs w:val="22"/>
        </w:rPr>
        <w:t xml:space="preserve">Year 1: $_______________</w:t>
      </w:r>
    </w:p>
    <w:p>
      <w:pPr>
        <w:spacing w:after="120"/>
      </w:pPr>
      <w:r>
        <w:rPr>
          <w:sz w:val="22"/>
          <w:szCs w:val="22"/>
        </w:rPr>
        <w:t xml:space="preserve">Year 2: $_______________</w:t>
      </w:r>
    </w:p>
    <w:p>
      <w:pPr>
        <w:spacing w:after="120"/>
      </w:pPr>
      <w:r>
        <w:rPr>
          <w:sz w:val="22"/>
          <w:szCs w:val="22"/>
        </w:rPr>
        <w:t xml:space="preserve">Year 3+: $_______________</w:t>
      </w:r>
    </w:p>
    <w:p>
      <w:pPr>
        <w:spacing w:after="160"/>
      </w:pPr>
    </w:p>
    <w:p>
      <w:pPr>
        <w:spacing w:after="120"/>
      </w:pPr>
      <w:r>
        <w:rPr>
          <w:b/>
          <w:bCs/>
          <w:sz w:val="22"/>
          <w:szCs w:val="22"/>
        </w:rPr>
        <w:t xml:space="preserve">3. ROYALTY STRUCTURE</w:t>
      </w:r>
    </w:p>
    <w:p>
      <w:pPr>
        <w:spacing w:after="120"/>
      </w:pPr>
      <w:r>
        <w:rPr>
          <w:sz w:val="22"/>
          <w:szCs w:val="22"/>
        </w:rPr>
        <w:t xml:space="preserve">Select applicable model:</w:t>
      </w:r>
    </w:p>
    <w:p>
      <w:pPr>
        <w:spacing w:after="80"/>
      </w:pPr>
    </w:p>
    <w:p>
      <w:pPr>
        <w:spacing w:after="120"/>
      </w:pPr>
      <w:r>
        <w:rPr>
          <w:sz w:val="22"/>
          <w:szCs w:val="22"/>
        </w:rPr>
        <w:t xml:space="preserve">[  ] Per-Unit Royalty:</w:t>
      </w:r>
    </w:p>
    <w:p>
      <w:pPr>
        <w:spacing w:after="120"/>
      </w:pPr>
      <w:r>
        <w:rPr>
          <w:sz w:val="22"/>
          <w:szCs w:val="22"/>
        </w:rPr>
        <w:t xml:space="preserve">      $_______ per OEM Product unit distributed</w:t>
      </w:r>
    </w:p>
    <w:p>
      <w:pPr>
        <w:spacing w:after="80"/>
      </w:pPr>
    </w:p>
    <w:p>
      <w:pPr>
        <w:spacing w:after="120"/>
      </w:pPr>
      <w:r>
        <w:rPr>
          <w:sz w:val="22"/>
          <w:szCs w:val="22"/>
        </w:rPr>
        <w:t xml:space="preserve">[  ] Revenue Share:</w:t>
      </w:r>
    </w:p>
    <w:p>
      <w:pPr>
        <w:spacing w:after="120"/>
      </w:pPr>
      <w:r>
        <w:rPr>
          <w:sz w:val="22"/>
          <w:szCs w:val="22"/>
        </w:rPr>
        <w:t xml:space="preserve">      _______% of Net Revenue from OEM Products</w:t>
      </w:r>
    </w:p>
    <w:p>
      <w:pPr>
        <w:spacing w:after="80"/>
      </w:pPr>
    </w:p>
    <w:p>
      <w:pPr>
        <w:spacing w:after="120"/>
      </w:pPr>
      <w:r>
        <w:rPr>
          <w:sz w:val="22"/>
          <w:szCs w:val="22"/>
        </w:rPr>
        <w:t xml:space="preserve">[  ] Tiered Pricing: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Annual Volume (Units/Revenue)</w:t>
            </w:r>
          </w:p>
        </w:tc>
        <w:tc>
          <w:tcPr>
            <w:tcW w:type="dxa" w:w="468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Royalty Rate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0 - _______________</w:t>
            </w:r>
          </w:p>
        </w:tc>
        <w:tc>
          <w:tcPr>
            <w:tcW w:type="dxa" w:w="4680"/>
            <w:tcBorders>
              <w:top w:val="single" w:color="CCCCCC" w:sz="1"/>
              <w:left w:val="single" w:color="CCCCCC" w:sz="1"/>
              <w:bottom w:val="single" w:color="CCCCCC" w:sz="1"/>
              <w:right w:val="single" w:color="CCCCCC" w:sz="1"/>
            </w:tcBorders>
          </w:tcPr>
          <w:p>
            <w:pPr>
              <w:jc w:val="center"/>
            </w:pPr>
            <w:r>
              <w:rPr>
                <w:sz w:val="20"/>
                <w:szCs w:val="20"/>
              </w:rPr>
              <w:t xml:space="preserve">_______%</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_______________ - _______________</w:t>
            </w:r>
          </w:p>
        </w:tc>
        <w:tc>
          <w:tcPr>
            <w:tcW w:type="dxa" w:w="4680"/>
            <w:tcBorders>
              <w:top w:val="single" w:color="CCCCCC" w:sz="1"/>
              <w:left w:val="single" w:color="CCCCCC" w:sz="1"/>
              <w:bottom w:val="single" w:color="CCCCCC" w:sz="1"/>
              <w:right w:val="single" w:color="CCCCCC" w:sz="1"/>
            </w:tcBorders>
          </w:tcPr>
          <w:p>
            <w:pPr>
              <w:jc w:val="center"/>
            </w:pPr>
            <w:r>
              <w:rPr>
                <w:sz w:val="20"/>
                <w:szCs w:val="20"/>
              </w:rPr>
              <w:t xml:space="preserve">_______%</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_______________ +</w:t>
            </w:r>
          </w:p>
        </w:tc>
        <w:tc>
          <w:tcPr>
            <w:tcW w:type="dxa" w:w="4680"/>
            <w:tcBorders>
              <w:top w:val="single" w:color="CCCCCC" w:sz="1"/>
              <w:left w:val="single" w:color="CCCCCC" w:sz="1"/>
              <w:bottom w:val="single" w:color="CCCCCC" w:sz="1"/>
              <w:right w:val="single" w:color="CCCCCC" w:sz="1"/>
            </w:tcBorders>
          </w:tcPr>
          <w:p>
            <w:pPr>
              <w:jc w:val="center"/>
            </w:pPr>
            <w:r>
              <w:rPr>
                <w:sz w:val="20"/>
                <w:szCs w:val="20"/>
              </w:rPr>
              <w:t xml:space="preserve">_______%</w:t>
            </w:r>
          </w:p>
        </w:tc>
      </w:tr>
    </w:tbl>
    <w:p>
      <w:pPr>
        <w:spacing w:before="200"/>
      </w:pPr>
    </w:p>
    <w:p>
      <w:pPr>
        <w:spacing w:after="120"/>
      </w:pPr>
      <w:r>
        <w:rPr>
          <w:b/>
          <w:bCs/>
          <w:sz w:val="22"/>
          <w:szCs w:val="22"/>
        </w:rPr>
        <w:t xml:space="preserve">4. SUPPORT AND MAINTENANCE FEES</w:t>
      </w:r>
    </w:p>
    <w:p>
      <w:pPr>
        <w:spacing w:after="120"/>
      </w:pPr>
      <w:r>
        <w:rPr>
          <w:sz w:val="22"/>
          <w:szCs w:val="22"/>
        </w:rPr>
        <w:t xml:space="preserve">Annual Support Fee: $_____________ or _______% of License Fees</w:t>
      </w:r>
    </w:p>
    <w:p>
      <w:pPr>
        <w:spacing w:after="120"/>
      </w:pPr>
      <w:r>
        <w:rPr>
          <w:sz w:val="22"/>
          <w:szCs w:val="22"/>
        </w:rPr>
        <w:t xml:space="preserve">Premium Support (24/7): Additional $_____________/year</w:t>
      </w:r>
    </w:p>
    <w:p>
      <w:pPr>
        <w:spacing w:after="160"/>
      </w:pPr>
    </w:p>
    <w:p>
      <w:pPr>
        <w:spacing w:after="120"/>
      </w:pPr>
      <w:r>
        <w:rPr>
          <w:b/>
          <w:bCs/>
          <w:sz w:val="22"/>
          <w:szCs w:val="22"/>
        </w:rPr>
        <w:t xml:space="preserve">5. UPGRADE FEES</w:t>
      </w:r>
    </w:p>
    <w:p>
      <w:pPr>
        <w:spacing w:after="120"/>
      </w:pPr>
      <w:r>
        <w:rPr>
          <w:sz w:val="22"/>
          <w:szCs w:val="22"/>
        </w:rPr>
        <w:t xml:space="preserve">Major Version Upgrades: [  ] Included  [  ] Additional $_____________</w:t>
      </w:r>
    </w:p>
    <w:p>
      <w:pPr>
        <w:spacing w:after="160"/>
      </w:pPr>
    </w:p>
    <w:p>
      <w:pPr>
        <w:spacing w:after="120"/>
      </w:pPr>
      <w:r>
        <w:rPr>
          <w:b/>
          <w:bCs/>
          <w:sz w:val="22"/>
          <w:szCs w:val="22"/>
        </w:rPr>
        <w:t xml:space="preserve">6. PAYMENT SCHEDULE</w:t>
      </w:r>
    </w:p>
    <w:p>
      <w:pPr>
        <w:spacing w:after="120"/>
      </w:pPr>
      <w:r>
        <w:rPr>
          <w:sz w:val="22"/>
          <w:szCs w:val="22"/>
        </w:rPr>
        <w:t xml:space="preserve">[  ] Quarterly in arrears</w:t>
      </w:r>
    </w:p>
    <w:p>
      <w:pPr>
        <w:spacing w:after="120"/>
      </w:pPr>
      <w:r>
        <w:rPr>
          <w:sz w:val="22"/>
          <w:szCs w:val="22"/>
        </w:rPr>
        <w:t xml:space="preserve">[  ] Monthly in arrears</w:t>
      </w:r>
    </w:p>
    <w:p>
      <w:pPr>
        <w:spacing w:after="120"/>
      </w:pPr>
      <w:r>
        <w:rPr>
          <w:sz w:val="22"/>
          <w:szCs w:val="22"/>
        </w:rPr>
        <w:t xml:space="preserve">[  ] Annual prepayment (______% discount)</w:t>
      </w:r>
    </w:p>
    <w:p>
      <w:pPr>
        <w:spacing w:before="360"/>
      </w:pPr>
    </w:p>
    <w:p>
      <w:pPr>
        <w:jc w:val="center"/>
      </w:pPr>
      <w:r>
        <w:rPr>
          <w:i/>
          <w:iCs/>
          <w:color w:val="999999"/>
          <w:sz w:val="18"/>
          <w:szCs w:val="18"/>
        </w:rPr>
        <w:t xml:space="preserve">[END OF AGREEMENT]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OEM License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left"/>
      <w:pPr>
        <w:ind w:left="720" w:hanging="720"/>
      </w:pPr>
    </w:lvl>
  </w:abstractNum>
  <w:abstractNum w:abstractNumId="3" w15:restartNumberingAfterBreak="0">
    <w:multiLevelType w:val="hybridMultilevel"/>
    <w:lvl w:ilvl="0" w15:tentative="1">
      <w:start w:val="1"/>
      <w:numFmt w:val="decimal"/>
      <w:lvlText w:val="2.%1"/>
      <w:lvlJc w:val="left"/>
      <w:pPr>
        <w:ind w:left="720" w:hanging="720"/>
      </w:pPr>
    </w:lvl>
  </w:abstractNum>
  <w:abstractNum w:abstractNumId="4" w15:restartNumberingAfterBreak="0">
    <w:multiLevelType w:val="hybridMultilevel"/>
    <w:lvl w:ilvl="0" w15:tentative="1">
      <w:start w:val="1"/>
      <w:numFmt w:val="decimal"/>
      <w:lvlText w:val="3.%1"/>
      <w:lvlJc w:val="left"/>
      <w:pPr>
        <w:ind w:left="720" w:hanging="720"/>
      </w:pPr>
    </w:lvl>
  </w:abstractNum>
  <w:abstractNum w:abstractNumId="5" w15:restartNumberingAfterBreak="0">
    <w:multiLevelType w:val="hybridMultilevel"/>
    <w:lvl w:ilvl="0" w15:tentative="1">
      <w:start w:val="1"/>
      <w:numFmt w:val="decimal"/>
      <w:lvlText w:val="4.%1"/>
      <w:lvlJc w:val="left"/>
      <w:pPr>
        <w:ind w:left="720" w:hanging="720"/>
      </w:pPr>
    </w:lvl>
  </w:abstractNum>
  <w:abstractNum w:abstractNumId="6" w15:restartNumberingAfterBreak="0">
    <w:multiLevelType w:val="hybridMultilevel"/>
    <w:lvl w:ilvl="0" w15:tentative="1">
      <w:start w:val="1"/>
      <w:numFmt w:val="decimal"/>
      <w:lvlText w:val="5.%1"/>
      <w:lvlJc w:val="left"/>
      <w:pPr>
        <w:ind w:left="720" w:hanging="720"/>
      </w:pPr>
    </w:lvl>
  </w:abstractNum>
  <w:abstractNum w:abstractNumId="7" w15:restartNumberingAfterBreak="0">
    <w:multiLevelType w:val="hybridMultilevel"/>
    <w:lvl w:ilvl="0" w15:tentative="1">
      <w:start w:val="1"/>
      <w:numFmt w:val="decimal"/>
      <w:lvlText w:val="6.%1"/>
      <w:lvlJc w:val="left"/>
      <w:pPr>
        <w:ind w:left="720" w:hanging="720"/>
      </w:pPr>
    </w:lvl>
  </w:abstractNum>
  <w:abstractNum w:abstractNumId="8" w15:restartNumberingAfterBreak="0">
    <w:multiLevelType w:val="hybridMultilevel"/>
    <w:lvl w:ilvl="0" w15:tentative="1">
      <w:start w:val="1"/>
      <w:numFmt w:val="decimal"/>
      <w:lvlText w:val="7.%1"/>
      <w:lvlJc w:val="left"/>
      <w:pPr>
        <w:ind w:left="720" w:hanging="720"/>
      </w:pPr>
    </w:lvl>
  </w:abstractNum>
  <w:abstractNum w:abstractNumId="9" w15:restartNumberingAfterBreak="0">
    <w:multiLevelType w:val="hybridMultilevel"/>
    <w:lvl w:ilvl="0" w15:tentative="1">
      <w:start w:val="1"/>
      <w:numFmt w:val="decimal"/>
      <w:lvlText w:val="8.%1"/>
      <w:lvlJc w:val="left"/>
      <w:pPr>
        <w:ind w:left="720" w:hanging="720"/>
      </w:pPr>
    </w:lvl>
  </w:abstractNum>
  <w:abstractNum w:abstractNumId="10" w15:restartNumberingAfterBreak="0">
    <w:multiLevelType w:val="hybridMultilevel"/>
    <w:lvl w:ilvl="0" w15:tentative="1">
      <w:start w:val="1"/>
      <w:numFmt w:val="decimal"/>
      <w:lvlText w:val="9.%1"/>
      <w:lvlJc w:val="left"/>
      <w:pPr>
        <w:ind w:left="720" w:hanging="720"/>
      </w:pPr>
    </w:lvl>
  </w:abstractNum>
  <w:abstractNum w:abstractNumId="11" w15:restartNumberingAfterBreak="0">
    <w:multiLevelType w:val="hybridMultilevel"/>
    <w:lvl w:ilvl="0" w15:tentative="1">
      <w:start w:val="1"/>
      <w:numFmt w:val="decimal"/>
      <w:lvlText w:val="10.%1"/>
      <w:lvlJc w:val="left"/>
      <w:pPr>
        <w:ind w:left="720" w:hanging="720"/>
      </w:pPr>
    </w:lvl>
  </w:abstractNum>
  <w:abstractNum w:abstractNumId="12" w15:restartNumberingAfterBreak="0">
    <w:multiLevelType w:val="hybridMultilevel"/>
    <w:lvl w:ilvl="0" w15:tentative="1">
      <w:start w:val="1"/>
      <w:numFmt w:val="decimal"/>
      <w:lvlText w:val="11.%1"/>
      <w:lvlJc w:val="left"/>
      <w:pPr>
        <w:ind w:left="720" w:hanging="720"/>
      </w:pPr>
    </w:lvl>
  </w:abstractNum>
  <w:abstractNum w:abstractNumId="13" w15:restartNumberingAfterBreak="0">
    <w:multiLevelType w:val="hybridMultilevel"/>
    <w:lvl w:ilvl="0" w15:tentative="1">
      <w:start w:val="1"/>
      <w:numFmt w:val="decimal"/>
      <w:lvlText w:val="12.%1"/>
      <w:lvlJc w:val="left"/>
      <w:pPr>
        <w:ind w:left="720" w:hanging="720"/>
      </w:pPr>
    </w:lvl>
  </w:abstractNum>
  <w:abstractNum w:abstractNumId="14" w15:restartNumberingAfterBreak="0">
    <w:multiLevelType w:val="hybridMultilevel"/>
    <w:lvl w:ilvl="0" w15:tentative="1">
      <w:start w:val="1"/>
      <w:numFmt w:val="decimal"/>
      <w:lvlText w:val="13.%1"/>
      <w:lvlJc w:val="left"/>
      <w:pPr>
        <w:ind w:left="720" w:hanging="720"/>
      </w:pPr>
    </w:lvl>
  </w:abstractNum>
  <w:abstractNum w:abstractNumId="15" w15:restartNumberingAfterBreak="0">
    <w:multiLevelType w:val="hybridMultilevel"/>
    <w:lvl w:ilvl="0" w15:tentative="1">
      <w:start w:val="1"/>
      <w:numFmt w:val="decimal"/>
      <w:lvlText w:val="14.%1"/>
      <w:lvlJc w:val="left"/>
      <w:pPr>
        <w:ind w:left="720" w:hanging="720"/>
      </w:pPr>
    </w:lvl>
  </w:abstractNum>
  <w:abstractNum w:abstractNumId="16" w15:restartNumberingAfterBreak="0">
    <w:multiLevelType w:val="hybridMultilevel"/>
    <w:lvl w:ilvl="0" w15:tentative="1">
      <w:start w:val="1"/>
      <w:numFmt w:val="decimal"/>
      <w:lvlText w:val="15.%1"/>
      <w:lvlJc w:val="left"/>
      <w:pPr>
        <w:ind w:left="720" w:hanging="720"/>
      </w:pPr>
    </w:lvl>
  </w:abstractNum>
  <w:abstractNum w:abstractNumId="17" w15:restartNumberingAfterBreak="0">
    <w:multiLevelType w:val="hybridMultilevel"/>
    <w:lvl w:ilvl="0" w15:tentative="1">
      <w:start w:val="1"/>
      <w:numFmt w:val="lowerLetter"/>
      <w:lvlText w:val="(%1)"/>
      <w:lvlJc w:val="left"/>
      <w:pPr>
        <w:ind w:left="108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2025-12-29T23:47:57.246Z</dcterms:created>
  <dcterms:modified xsi:type="dcterms:W3CDTF">2025-12-29T23:47:57.247Z</dcterms:modified>
</cp:coreProperties>
</file>

<file path=docProps/custom.xml><?xml version="1.0" encoding="utf-8"?>
<Properties xmlns="http://schemas.openxmlformats.org/officeDocument/2006/custom-properties" xmlns:vt="http://schemas.openxmlformats.org/officeDocument/2006/docPropsVTypes"/>
</file>