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PRIVACY NOTICE</w:t>
      </w:r>
    </w:p>
    <w:p>
      <w:pPr>
        <w:spacing w:after="60"/>
        <w:jc w:val="center"/>
      </w:pPr>
      <w:r>
        <w:rPr>
          <w:sz w:val="24"/>
          <w:szCs w:val="24"/>
        </w:rPr>
        <w:t xml:space="preserve">IVYAR Governance, Security &amp; Defense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B365D" w:sz="12"/>
              <w:right w:val="none" w:color="FFFFFF" w:sz="0"/>
            </w:tcBorders>
          </w:tcPr>
          <w:p/>
        </w:tc>
      </w:tr>
    </w:tbl>
    <w:p>
      <w:pPr>
        <w:spacing w:before="240" w:after="360"/>
        <w:jc w:val="center"/>
      </w:pPr>
      <w:r>
        <w:rPr>
          <w:i/>
          <w:iCs/>
          <w:color w:val="666666"/>
          <w:sz w:val="20"/>
          <w:szCs w:val="20"/>
        </w:rPr>
        <w:t xml:space="preserve">Effective Date: January 1, 2024  |  Last Updated: December 2024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4"/>
              <w:bottom w:val="single" w:color="16A085" w:sz="1"/>
              <w:right w:val="single" w:color="16A085" w:sz="1"/>
            </w:tcBorders>
            <w:shd w:fill="F0FBF8" w:val="clear"/>
          </w:tcPr>
          <w:p>
            <w:pPr>
              <w:spacing w:before="160" w:after="160"/>
              <w:ind w:left="180" w:right="180"/>
            </w:pPr>
            <w:r>
              <w:rPr>
                <w:b/>
                <w:bCs/>
                <w:sz w:val="22"/>
                <w:szCs w:val="22"/>
              </w:rPr>
              <w:t xml:space="preserve">Your privacy matters to us. </w:t>
            </w:r>
            <w:r>
              <w:rPr>
                <w:sz w:val="22"/>
                <w:szCs w:val="22"/>
              </w:rPr>
              <w:t xml:space="preserve">This Privacy Notice explains how IVYAR LLC ("IVYAR," "we," "us," or "our") collects, uses, shares, and protects your personal information when you use our Platform. We are committed to protecting your privacy and ensuring transparency in our data practices.</w:t>
            </w:r>
          </w:p>
        </w:tc>
      </w:tr>
    </w:tbl>
    <w:p>
      <w:pPr>
        <w:spacing w:before="320" w:after="160"/>
      </w:pPr>
      <w:r>
        <w:rPr>
          <w:b/>
          <w:bCs/>
          <w:color w:val="1B365D"/>
          <w:sz w:val="24"/>
          <w:szCs w:val="24"/>
        </w:rPr>
        <w:t xml:space="preserve">1. WHO WE ARE</w:t>
      </w:r>
    </w:p>
    <w:p>
      <w:pPr>
        <w:spacing w:after="120"/>
      </w:pPr>
      <w:r>
        <w:rPr>
          <w:sz w:val="22"/>
          <w:szCs w:val="22"/>
        </w:rPr>
        <w:t xml:space="preserve">IVYAR LLC is a Delaware limited liability company that provides governance, security, and defense software solutions. We act as the data controller for personal information collected through our Platform.</w:t>
      </w:r>
    </w:p>
    <w:p>
      <w:pPr>
        <w:spacing w:before="120"/>
      </w:pPr>
    </w:p>
    <w:p>
      <w:pPr>
        <w:spacing w:after="40"/>
        <w:ind w:left="720"/>
      </w:pPr>
      <w:r>
        <w:rPr>
          <w:b/>
          <w:bCs/>
          <w:sz w:val="22"/>
          <w:szCs w:val="22"/>
        </w:rPr>
        <w:t xml:space="preserve">IVYAR LLC</w:t>
      </w:r>
    </w:p>
    <w:p>
      <w:pPr>
        <w:spacing w:after="40"/>
        <w:ind w:left="720"/>
      </w:pPr>
      <w:r>
        <w:rPr>
          <w:sz w:val="22"/>
          <w:szCs w:val="22"/>
        </w:rPr>
        <w:t xml:space="preserve">Data Protection Officer: privacy@ivyar.org</w:t>
      </w:r>
    </w:p>
    <w:p>
      <w:pPr>
        <w:spacing w:after="120"/>
        <w:ind w:left="720"/>
      </w:pPr>
      <w:r>
        <w:rPr>
          <w:sz w:val="22"/>
          <w:szCs w:val="22"/>
        </w:rPr>
        <w:t xml:space="preserve">Website: www.ivyar.org</w:t>
      </w:r>
    </w:p>
    <w:p>
      <w:pPr>
        <w:spacing w:before="320" w:after="160"/>
      </w:pPr>
      <w:r>
        <w:rPr>
          <w:b/>
          <w:bCs/>
          <w:color w:val="1B365D"/>
          <w:sz w:val="24"/>
          <w:szCs w:val="24"/>
        </w:rPr>
        <w:t xml:space="preserve">2. INFORMATION WE COLLECT</w:t>
      </w:r>
    </w:p>
    <w:p>
      <w:pPr>
        <w:spacing w:before="200" w:after="100"/>
      </w:pPr>
      <w:r>
        <w:rPr>
          <w:b/>
          <w:bCs/>
          <w:color w:val="0D1B2A"/>
          <w:sz w:val="22"/>
          <w:szCs w:val="22"/>
        </w:rPr>
        <w:t xml:space="preserve">2.1 Information You Provide Directly</w:t>
      </w:r>
    </w:p>
    <w:p>
      <w:pPr>
        <w:spacing w:after="120"/>
      </w:pPr>
      <w:r>
        <w:rPr>
          <w:sz w:val="22"/>
          <w:szCs w:val="22"/>
        </w:rPr>
        <w:t xml:space="preserve">We collect information that you voluntarily provide when using our Platform:</w:t>
      </w:r>
    </w:p>
    <w:p>
      <w:pPr>
        <w:pStyle w:val="ListParagraph"/>
        <w:numPr>
          <w:ilvl w:val="0"/>
          <w:numId w:val="2"/>
        </w:numPr>
        <w:spacing w:after="80"/>
      </w:pPr>
      <w:r>
        <w:rPr>
          <w:sz w:val="22"/>
          <w:szCs w:val="22"/>
        </w:rPr>
        <w:t xml:space="preserve">Account Information: Name, email address, job title, organization, phone number, and password</w:t>
      </w:r>
    </w:p>
    <w:p>
      <w:pPr>
        <w:pStyle w:val="ListParagraph"/>
        <w:numPr>
          <w:ilvl w:val="0"/>
          <w:numId w:val="2"/>
        </w:numPr>
        <w:spacing w:after="80"/>
      </w:pPr>
      <w:r>
        <w:rPr>
          <w:sz w:val="22"/>
          <w:szCs w:val="22"/>
        </w:rPr>
        <w:t xml:space="preserve">Profile Information: Professional biography, profile photo, role, and department</w:t>
      </w:r>
    </w:p>
    <w:p>
      <w:pPr>
        <w:pStyle w:val="ListParagraph"/>
        <w:numPr>
          <w:ilvl w:val="0"/>
          <w:numId w:val="2"/>
        </w:numPr>
        <w:spacing w:after="80"/>
      </w:pPr>
      <w:r>
        <w:rPr>
          <w:sz w:val="22"/>
          <w:szCs w:val="22"/>
        </w:rPr>
        <w:t xml:space="preserve">Payment Information: Billing address, payment card details (processed by secure third-party payment processors)</w:t>
      </w:r>
    </w:p>
    <w:p>
      <w:pPr>
        <w:pStyle w:val="ListParagraph"/>
        <w:numPr>
          <w:ilvl w:val="0"/>
          <w:numId w:val="2"/>
        </w:numPr>
        <w:spacing w:after="80"/>
      </w:pPr>
      <w:r>
        <w:rPr>
          <w:sz w:val="22"/>
          <w:szCs w:val="22"/>
        </w:rPr>
        <w:t xml:space="preserve">Communication Data: Messages, support requests, feedback, and correspondence with us</w:t>
      </w:r>
    </w:p>
    <w:p>
      <w:pPr>
        <w:pStyle w:val="ListParagraph"/>
        <w:numPr>
          <w:ilvl w:val="0"/>
          <w:numId w:val="2"/>
        </w:numPr>
        <w:spacing w:after="80"/>
      </w:pPr>
      <w:r>
        <w:rPr>
          <w:sz w:val="22"/>
          <w:szCs w:val="22"/>
        </w:rPr>
        <w:t xml:space="preserve">User Content: Documents, data, and materials you upload or create within the Platform</w:t>
      </w:r>
    </w:p>
    <w:p>
      <w:pPr>
        <w:spacing w:before="200" w:after="100"/>
      </w:pPr>
      <w:r>
        <w:rPr>
          <w:b/>
          <w:bCs/>
          <w:color w:val="0D1B2A"/>
          <w:sz w:val="22"/>
          <w:szCs w:val="22"/>
        </w:rPr>
        <w:t xml:space="preserve">2.2 Information Collected Automatically</w:t>
      </w:r>
    </w:p>
    <w:p>
      <w:pPr>
        <w:spacing w:after="120"/>
      </w:pPr>
      <w:r>
        <w:rPr>
          <w:sz w:val="22"/>
          <w:szCs w:val="22"/>
        </w:rPr>
        <w:t xml:space="preserve">When you access our Platform, we automatically collect certain information:</w:t>
      </w:r>
    </w:p>
    <w:p>
      <w:pPr>
        <w:pStyle w:val="ListParagraph"/>
        <w:numPr>
          <w:ilvl w:val="0"/>
          <w:numId w:val="2"/>
        </w:numPr>
        <w:spacing w:after="80"/>
      </w:pPr>
      <w:r>
        <w:rPr>
          <w:sz w:val="22"/>
          <w:szCs w:val="22"/>
        </w:rPr>
        <w:t xml:space="preserve">Device Information: IP address, browser type, operating system, device identifiers</w:t>
      </w:r>
    </w:p>
    <w:p>
      <w:pPr>
        <w:pStyle w:val="ListParagraph"/>
        <w:numPr>
          <w:ilvl w:val="0"/>
          <w:numId w:val="2"/>
        </w:numPr>
        <w:spacing w:after="80"/>
      </w:pPr>
      <w:r>
        <w:rPr>
          <w:sz w:val="22"/>
          <w:szCs w:val="22"/>
        </w:rPr>
        <w:t xml:space="preserve">Usage Data: Pages visited, features used, actions taken, time spent, click patterns</w:t>
      </w:r>
    </w:p>
    <w:p>
      <w:pPr>
        <w:pStyle w:val="ListParagraph"/>
        <w:numPr>
          <w:ilvl w:val="0"/>
          <w:numId w:val="2"/>
        </w:numPr>
        <w:spacing w:after="80"/>
      </w:pPr>
      <w:r>
        <w:rPr>
          <w:sz w:val="22"/>
          <w:szCs w:val="22"/>
        </w:rPr>
        <w:t xml:space="preserve">Log Data: Access times, error logs, referring URLs, system activity</w:t>
      </w:r>
    </w:p>
    <w:p>
      <w:pPr>
        <w:pStyle w:val="ListParagraph"/>
        <w:numPr>
          <w:ilvl w:val="0"/>
          <w:numId w:val="2"/>
        </w:numPr>
        <w:spacing w:after="80"/>
      </w:pPr>
      <w:r>
        <w:rPr>
          <w:sz w:val="22"/>
          <w:szCs w:val="22"/>
        </w:rPr>
        <w:t xml:space="preserve">Location Data: General geographic location based on IP address</w:t>
      </w:r>
    </w:p>
    <w:p>
      <w:pPr>
        <w:pStyle w:val="ListParagraph"/>
        <w:numPr>
          <w:ilvl w:val="0"/>
          <w:numId w:val="2"/>
        </w:numPr>
        <w:spacing w:after="80"/>
      </w:pPr>
      <w:r>
        <w:rPr>
          <w:sz w:val="22"/>
          <w:szCs w:val="22"/>
        </w:rPr>
        <w:t xml:space="preserve">Cookies and Tracking: Information collected through cookies, pixels, and similar technologies</w:t>
      </w:r>
    </w:p>
    <w:p>
      <w:pPr>
        <w:spacing w:before="200" w:after="100"/>
      </w:pPr>
      <w:r>
        <w:rPr>
          <w:b/>
          <w:bCs/>
          <w:color w:val="0D1B2A"/>
          <w:sz w:val="22"/>
          <w:szCs w:val="22"/>
        </w:rPr>
        <w:t xml:space="preserve">2.3 Information from Third Parties</w:t>
      </w:r>
    </w:p>
    <w:p>
      <w:pPr>
        <w:spacing w:after="120"/>
      </w:pPr>
      <w:r>
        <w:rPr>
          <w:sz w:val="22"/>
          <w:szCs w:val="22"/>
        </w:rPr>
        <w:t xml:space="preserve">We may receive information about you from:</w:t>
      </w:r>
    </w:p>
    <w:p>
      <w:pPr>
        <w:pStyle w:val="ListParagraph"/>
        <w:numPr>
          <w:ilvl w:val="0"/>
          <w:numId w:val="2"/>
        </w:numPr>
        <w:spacing w:after="80"/>
      </w:pPr>
      <w:r>
        <w:rPr>
          <w:sz w:val="22"/>
          <w:szCs w:val="22"/>
        </w:rPr>
        <w:t xml:space="preserve">Your Organization: Account administrators may provide information about authorized users</w:t>
      </w:r>
    </w:p>
    <w:p>
      <w:pPr>
        <w:pStyle w:val="ListParagraph"/>
        <w:numPr>
          <w:ilvl w:val="0"/>
          <w:numId w:val="2"/>
        </w:numPr>
        <w:spacing w:after="80"/>
      </w:pPr>
      <w:r>
        <w:rPr>
          <w:sz w:val="22"/>
          <w:szCs w:val="22"/>
        </w:rPr>
        <w:t xml:space="preserve">Identity Verification Services: For authentication and fraud prevention</w:t>
      </w:r>
    </w:p>
    <w:p>
      <w:pPr>
        <w:pStyle w:val="ListParagraph"/>
        <w:numPr>
          <w:ilvl w:val="0"/>
          <w:numId w:val="2"/>
        </w:numPr>
        <w:spacing w:after="80"/>
      </w:pPr>
      <w:r>
        <w:rPr>
          <w:sz w:val="22"/>
          <w:szCs w:val="22"/>
        </w:rPr>
        <w:t xml:space="preserve">Public Sources: Publicly available professional information</w:t>
      </w:r>
    </w:p>
    <w:p>
      <w:pPr>
        <w:pStyle w:val="ListParagraph"/>
        <w:numPr>
          <w:ilvl w:val="0"/>
          <w:numId w:val="2"/>
        </w:numPr>
        <w:spacing w:after="80"/>
      </w:pPr>
      <w:r>
        <w:rPr>
          <w:sz w:val="22"/>
          <w:szCs w:val="22"/>
        </w:rPr>
        <w:t xml:space="preserve">Integration Partners: If you connect third-party services to the Platform</w:t>
      </w:r>
    </w:p>
    <w:p>
      <w:pPr>
        <w:spacing w:before="320" w:after="160"/>
      </w:pPr>
      <w:r>
        <w:rPr>
          <w:b/>
          <w:bCs/>
          <w:color w:val="1B365D"/>
          <w:sz w:val="24"/>
          <w:szCs w:val="24"/>
        </w:rPr>
        <w:t xml:space="preserve">3. HOW WE USE YOUR INFORMATION</w:t>
      </w:r>
    </w:p>
    <w:p>
      <w:pPr>
        <w:spacing w:after="120"/>
      </w:pPr>
      <w:r>
        <w:rPr>
          <w:sz w:val="22"/>
          <w:szCs w:val="22"/>
        </w:rPr>
        <w:t xml:space="preserve">We use your personal information for the following purposes:</w:t>
      </w:r>
    </w:p>
    <w:p>
      <w:pPr>
        <w:spacing w:before="200" w:after="100"/>
      </w:pPr>
      <w:r>
        <w:rPr>
          <w:b/>
          <w:bCs/>
          <w:color w:val="0D1B2A"/>
          <w:sz w:val="22"/>
          <w:szCs w:val="22"/>
        </w:rPr>
        <w:t xml:space="preserve">3.1 Providing and Improving the Platform</w:t>
      </w:r>
    </w:p>
    <w:p>
      <w:pPr>
        <w:pStyle w:val="ListParagraph"/>
        <w:numPr>
          <w:ilvl w:val="0"/>
          <w:numId w:val="2"/>
        </w:numPr>
        <w:spacing w:after="80"/>
      </w:pPr>
      <w:r>
        <w:rPr>
          <w:sz w:val="22"/>
          <w:szCs w:val="22"/>
        </w:rPr>
        <w:t xml:space="preserve">Creating and managing your account</w:t>
      </w:r>
    </w:p>
    <w:p>
      <w:pPr>
        <w:pStyle w:val="ListParagraph"/>
        <w:numPr>
          <w:ilvl w:val="0"/>
          <w:numId w:val="2"/>
        </w:numPr>
        <w:spacing w:after="80"/>
      </w:pPr>
      <w:r>
        <w:rPr>
          <w:sz w:val="22"/>
          <w:szCs w:val="22"/>
        </w:rPr>
        <w:t xml:space="preserve">Providing access to Platform features and functionality</w:t>
      </w:r>
    </w:p>
    <w:p>
      <w:pPr>
        <w:pStyle w:val="ListParagraph"/>
        <w:numPr>
          <w:ilvl w:val="0"/>
          <w:numId w:val="2"/>
        </w:numPr>
        <w:spacing w:after="80"/>
      </w:pPr>
      <w:r>
        <w:rPr>
          <w:sz w:val="22"/>
          <w:szCs w:val="22"/>
        </w:rPr>
        <w:t xml:space="preserve">Processing transactions and sending related information</w:t>
      </w:r>
    </w:p>
    <w:p>
      <w:pPr>
        <w:pStyle w:val="ListParagraph"/>
        <w:numPr>
          <w:ilvl w:val="0"/>
          <w:numId w:val="2"/>
        </w:numPr>
        <w:spacing w:after="80"/>
      </w:pPr>
      <w:r>
        <w:rPr>
          <w:sz w:val="22"/>
          <w:szCs w:val="22"/>
        </w:rPr>
        <w:t xml:space="preserve">Providing customer support and responding to inquiries</w:t>
      </w:r>
    </w:p>
    <w:p>
      <w:pPr>
        <w:pStyle w:val="ListParagraph"/>
        <w:numPr>
          <w:ilvl w:val="0"/>
          <w:numId w:val="2"/>
        </w:numPr>
        <w:spacing w:after="80"/>
      </w:pPr>
      <w:r>
        <w:rPr>
          <w:sz w:val="22"/>
          <w:szCs w:val="22"/>
        </w:rPr>
        <w:t xml:space="preserve">Analyzing usage patterns to improve the Platform</w:t>
      </w:r>
    </w:p>
    <w:p>
      <w:pPr>
        <w:pStyle w:val="ListParagraph"/>
        <w:numPr>
          <w:ilvl w:val="0"/>
          <w:numId w:val="2"/>
        </w:numPr>
        <w:spacing w:after="80"/>
      </w:pPr>
      <w:r>
        <w:rPr>
          <w:sz w:val="22"/>
          <w:szCs w:val="22"/>
        </w:rPr>
        <w:t xml:space="preserve">Developing new features and services</w:t>
      </w:r>
    </w:p>
    <w:p>
      <w:pPr>
        <w:spacing w:before="200" w:after="100"/>
      </w:pPr>
      <w:r>
        <w:rPr>
          <w:b/>
          <w:bCs/>
          <w:color w:val="0D1B2A"/>
          <w:sz w:val="22"/>
          <w:szCs w:val="22"/>
        </w:rPr>
        <w:t xml:space="preserve">3.2 Communication</w:t>
      </w:r>
    </w:p>
    <w:p>
      <w:pPr>
        <w:pStyle w:val="ListParagraph"/>
        <w:numPr>
          <w:ilvl w:val="0"/>
          <w:numId w:val="2"/>
        </w:numPr>
        <w:spacing w:after="80"/>
      </w:pPr>
      <w:r>
        <w:rPr>
          <w:sz w:val="22"/>
          <w:szCs w:val="22"/>
        </w:rPr>
        <w:t xml:space="preserve">Sending service-related announcements and updates</w:t>
      </w:r>
    </w:p>
    <w:p>
      <w:pPr>
        <w:pStyle w:val="ListParagraph"/>
        <w:numPr>
          <w:ilvl w:val="0"/>
          <w:numId w:val="2"/>
        </w:numPr>
        <w:spacing w:after="80"/>
      </w:pPr>
      <w:r>
        <w:rPr>
          <w:sz w:val="22"/>
          <w:szCs w:val="22"/>
        </w:rPr>
        <w:t xml:space="preserve">Responding to your requests and inquiries</w:t>
      </w:r>
    </w:p>
    <w:p>
      <w:pPr>
        <w:pStyle w:val="ListParagraph"/>
        <w:numPr>
          <w:ilvl w:val="0"/>
          <w:numId w:val="2"/>
        </w:numPr>
        <w:spacing w:after="80"/>
      </w:pPr>
      <w:r>
        <w:rPr>
          <w:sz w:val="22"/>
          <w:szCs w:val="22"/>
        </w:rPr>
        <w:t xml:space="preserve">Sending marketing communications (with your consent where required)</w:t>
      </w:r>
    </w:p>
    <w:p>
      <w:pPr>
        <w:pStyle w:val="ListParagraph"/>
        <w:numPr>
          <w:ilvl w:val="0"/>
          <w:numId w:val="2"/>
        </w:numPr>
        <w:spacing w:after="80"/>
      </w:pPr>
      <w:r>
        <w:rPr>
          <w:sz w:val="22"/>
          <w:szCs w:val="22"/>
        </w:rPr>
        <w:t xml:space="preserve">Conducting surveys and collecting feedback</w:t>
      </w:r>
    </w:p>
    <w:p>
      <w:pPr>
        <w:spacing w:before="200" w:after="100"/>
      </w:pPr>
      <w:r>
        <w:rPr>
          <w:b/>
          <w:bCs/>
          <w:color w:val="0D1B2A"/>
          <w:sz w:val="22"/>
          <w:szCs w:val="22"/>
        </w:rPr>
        <w:t xml:space="preserve">3.3 Security and Compliance</w:t>
      </w:r>
    </w:p>
    <w:p>
      <w:pPr>
        <w:pStyle w:val="ListParagraph"/>
        <w:numPr>
          <w:ilvl w:val="0"/>
          <w:numId w:val="2"/>
        </w:numPr>
        <w:spacing w:after="80"/>
      </w:pPr>
      <w:r>
        <w:rPr>
          <w:sz w:val="22"/>
          <w:szCs w:val="22"/>
        </w:rPr>
        <w:t xml:space="preserve">Protecting the security and integrity of the Platform</w:t>
      </w:r>
    </w:p>
    <w:p>
      <w:pPr>
        <w:pStyle w:val="ListParagraph"/>
        <w:numPr>
          <w:ilvl w:val="0"/>
          <w:numId w:val="2"/>
        </w:numPr>
        <w:spacing w:after="80"/>
      </w:pPr>
      <w:r>
        <w:rPr>
          <w:sz w:val="22"/>
          <w:szCs w:val="22"/>
        </w:rPr>
        <w:t xml:space="preserve">Detecting and preventing fraud, abuse, and security incidents</w:t>
      </w:r>
    </w:p>
    <w:p>
      <w:pPr>
        <w:pStyle w:val="ListParagraph"/>
        <w:numPr>
          <w:ilvl w:val="0"/>
          <w:numId w:val="2"/>
        </w:numPr>
        <w:spacing w:after="80"/>
      </w:pPr>
      <w:r>
        <w:rPr>
          <w:sz w:val="22"/>
          <w:szCs w:val="22"/>
        </w:rPr>
        <w:t xml:space="preserve">Complying with legal obligations and responding to legal requests</w:t>
      </w:r>
    </w:p>
    <w:p>
      <w:pPr>
        <w:pStyle w:val="ListParagraph"/>
        <w:numPr>
          <w:ilvl w:val="0"/>
          <w:numId w:val="2"/>
        </w:numPr>
        <w:spacing w:after="80"/>
      </w:pPr>
      <w:r>
        <w:rPr>
          <w:sz w:val="22"/>
          <w:szCs w:val="22"/>
        </w:rPr>
        <w:t xml:space="preserve">Enforcing our Terms of Use and other policies</w:t>
      </w:r>
    </w:p>
    <w:p>
      <w:pPr>
        <w:pStyle w:val="ListParagraph"/>
        <w:numPr>
          <w:ilvl w:val="0"/>
          <w:numId w:val="2"/>
        </w:numPr>
        <w:spacing w:after="80"/>
      </w:pPr>
      <w:r>
        <w:rPr>
          <w:sz w:val="22"/>
          <w:szCs w:val="22"/>
        </w:rPr>
        <w:t xml:space="preserve">Conducting audits and maintaining records as required by law</w:t>
      </w:r>
    </w:p>
    <w:p>
      <w:r>
        <w:br w:type="page"/>
      </w:r>
    </w:p>
    <w:p>
      <w:pPr>
        <w:spacing w:before="320" w:after="160"/>
      </w:pPr>
      <w:r>
        <w:rPr>
          <w:b/>
          <w:bCs/>
          <w:color w:val="1B365D"/>
          <w:sz w:val="24"/>
          <w:szCs w:val="24"/>
        </w:rPr>
        <w:t xml:space="preserve">4. LEGAL BASIS FOR PROCESSING (EEA/UK USERS)</w:t>
      </w:r>
    </w:p>
    <w:p>
      <w:pPr>
        <w:spacing w:after="120"/>
      </w:pPr>
      <w:r>
        <w:rPr>
          <w:sz w:val="22"/>
          <w:szCs w:val="22"/>
        </w:rPr>
        <w:t xml:space="preserve">If you are located in the European Economic Area (EEA) or United Kingdom (UK), we process your personal data based on the following legal grounds: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Legal Basis</w:t>
            </w:r>
          </w:p>
        </w:tc>
        <w:tc>
          <w:tcPr>
            <w:tcW w:type="dxa" w:w="636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Contract Performance</w:t>
            </w:r>
          </w:p>
        </w:tc>
        <w:tc>
          <w:tcPr>
            <w:tcW w:type="dxa" w:w="6360"/>
            <w:tcBorders>
              <w:top w:val="single" w:color="CCCCCC" w:sz="1"/>
              <w:left w:val="single" w:color="CCCCCC" w:sz="1"/>
              <w:bottom w:val="single" w:color="CCCCCC" w:sz="1"/>
              <w:right w:val="single" w:color="CCCCCC" w:sz="1"/>
            </w:tcBorders>
          </w:tcPr>
          <w:p>
            <w:r>
              <w:rPr>
                <w:sz w:val="20"/>
                <w:szCs w:val="20"/>
              </w:rPr>
              <w:t xml:space="preserve">Providing the Platform, managing accounts, processing payments</w:t>
            </w:r>
          </w:p>
        </w:tc>
      </w:tr>
      <w:tr>
        <w:tc>
          <w:tcPr>
            <w:tcW w:type="dxa" w:w="3000"/>
            <w:tcBorders>
              <w:top w:val="single" w:color="CCCCCC" w:sz="1"/>
              <w:left w:val="single" w:color="CCCCCC" w:sz="1"/>
              <w:bottom w:val="single" w:color="CCCCCC" w:sz="1"/>
              <w:right w:val="single" w:color="CCCCCC" w:sz="1"/>
            </w:tcBorders>
            <w:shd w:fill="F8F9FA" w:val="clear"/>
          </w:tcPr>
          <w:p>
            <w:r>
              <w:rPr>
                <w:b/>
                <w:bCs/>
                <w:sz w:val="20"/>
                <w:szCs w:val="20"/>
              </w:rPr>
              <w:t xml:space="preserve">Legitimate Interests</w:t>
            </w:r>
          </w:p>
        </w:tc>
        <w:tc>
          <w:tcPr>
            <w:tcW w:type="dxa" w:w="6360"/>
            <w:tcBorders>
              <w:top w:val="single" w:color="CCCCCC" w:sz="1"/>
              <w:left w:val="single" w:color="CCCCCC" w:sz="1"/>
              <w:bottom w:val="single" w:color="CCCCCC" w:sz="1"/>
              <w:right w:val="single" w:color="CCCCCC" w:sz="1"/>
            </w:tcBorders>
            <w:shd w:fill="F8F9FA" w:val="clear"/>
          </w:tcPr>
          <w:p>
            <w:r>
              <w:rPr>
                <w:sz w:val="20"/>
                <w:szCs w:val="20"/>
              </w:rPr>
              <w:t xml:space="preserve">Improving services, security, analytics, fraud prevention</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Legal Obligation</w:t>
            </w:r>
          </w:p>
        </w:tc>
        <w:tc>
          <w:tcPr>
            <w:tcW w:type="dxa" w:w="6360"/>
            <w:tcBorders>
              <w:top w:val="single" w:color="CCCCCC" w:sz="1"/>
              <w:left w:val="single" w:color="CCCCCC" w:sz="1"/>
              <w:bottom w:val="single" w:color="CCCCCC" w:sz="1"/>
              <w:right w:val="single" w:color="CCCCCC" w:sz="1"/>
            </w:tcBorders>
          </w:tcPr>
          <w:p>
            <w:r>
              <w:rPr>
                <w:sz w:val="20"/>
                <w:szCs w:val="20"/>
              </w:rPr>
              <w:t xml:space="preserve">Compliance with laws, responding to legal requests, record-keeping</w:t>
            </w:r>
          </w:p>
        </w:tc>
      </w:tr>
      <w:tr>
        <w:tc>
          <w:tcPr>
            <w:tcW w:type="dxa" w:w="3000"/>
            <w:tcBorders>
              <w:top w:val="single" w:color="CCCCCC" w:sz="1"/>
              <w:left w:val="single" w:color="CCCCCC" w:sz="1"/>
              <w:bottom w:val="single" w:color="CCCCCC" w:sz="1"/>
              <w:right w:val="single" w:color="CCCCCC" w:sz="1"/>
            </w:tcBorders>
            <w:shd w:fill="F8F9FA" w:val="clear"/>
          </w:tcPr>
          <w:p>
            <w:r>
              <w:rPr>
                <w:b/>
                <w:bCs/>
                <w:sz w:val="20"/>
                <w:szCs w:val="20"/>
              </w:rPr>
              <w:t xml:space="preserve">Consent</w:t>
            </w:r>
          </w:p>
        </w:tc>
        <w:tc>
          <w:tcPr>
            <w:tcW w:type="dxa" w:w="6360"/>
            <w:tcBorders>
              <w:top w:val="single" w:color="CCCCCC" w:sz="1"/>
              <w:left w:val="single" w:color="CCCCCC" w:sz="1"/>
              <w:bottom w:val="single" w:color="CCCCCC" w:sz="1"/>
              <w:right w:val="single" w:color="CCCCCC" w:sz="1"/>
            </w:tcBorders>
            <w:shd w:fill="F8F9FA" w:val="clear"/>
          </w:tcPr>
          <w:p>
            <w:r>
              <w:rPr>
                <w:sz w:val="20"/>
                <w:szCs w:val="20"/>
              </w:rPr>
              <w:t xml:space="preserve">Marketing communications, optional cookies, special categories of data</w:t>
            </w:r>
          </w:p>
        </w:tc>
      </w:tr>
    </w:tbl>
    <w:p>
      <w:pPr>
        <w:spacing w:before="320" w:after="160"/>
      </w:pPr>
      <w:r>
        <w:rPr>
          <w:b/>
          <w:bCs/>
          <w:color w:val="1B365D"/>
          <w:sz w:val="24"/>
          <w:szCs w:val="24"/>
        </w:rPr>
        <w:t xml:space="preserve">5. HOW WE SHARE YOUR INFORMATION</w:t>
      </w:r>
    </w:p>
    <w:p>
      <w:pPr>
        <w:spacing w:after="120"/>
      </w:pPr>
      <w:r>
        <w:rPr>
          <w:sz w:val="22"/>
          <w:szCs w:val="22"/>
        </w:rPr>
        <w:t xml:space="preserve">We do not sell your personal information. We may share your information in the following circumstances:</w:t>
      </w:r>
    </w:p>
    <w:p>
      <w:pPr>
        <w:spacing w:before="200" w:after="100"/>
      </w:pPr>
      <w:r>
        <w:rPr>
          <w:b/>
          <w:bCs/>
          <w:color w:val="0D1B2A"/>
          <w:sz w:val="22"/>
          <w:szCs w:val="22"/>
        </w:rPr>
        <w:t xml:space="preserve">5.1 With Your Organization</w:t>
      </w:r>
    </w:p>
    <w:p>
      <w:pPr>
        <w:spacing w:after="120"/>
      </w:pPr>
      <w:r>
        <w:rPr>
          <w:sz w:val="22"/>
          <w:szCs w:val="22"/>
        </w:rPr>
        <w:t xml:space="preserve">If you access the Platform through an organizational account, your administrator may have access to your account information and usage data.</w:t>
      </w:r>
    </w:p>
    <w:p>
      <w:pPr>
        <w:spacing w:before="200" w:after="100"/>
      </w:pPr>
      <w:r>
        <w:rPr>
          <w:b/>
          <w:bCs/>
          <w:color w:val="0D1B2A"/>
          <w:sz w:val="22"/>
          <w:szCs w:val="22"/>
        </w:rPr>
        <w:t xml:space="preserve">5.2 Service Providers</w:t>
      </w:r>
    </w:p>
    <w:p>
      <w:pPr>
        <w:spacing w:after="120"/>
      </w:pPr>
      <w:r>
        <w:rPr>
          <w:sz w:val="22"/>
          <w:szCs w:val="22"/>
        </w:rPr>
        <w:t xml:space="preserve">We engage trusted third-party service providers who perform services on our behalf:</w:t>
      </w:r>
    </w:p>
    <w:p>
      <w:pPr>
        <w:pStyle w:val="ListParagraph"/>
        <w:numPr>
          <w:ilvl w:val="0"/>
          <w:numId w:val="2"/>
        </w:numPr>
        <w:spacing w:after="80"/>
      </w:pPr>
      <w:r>
        <w:rPr>
          <w:sz w:val="22"/>
          <w:szCs w:val="22"/>
        </w:rPr>
        <w:t xml:space="preserve">Cloud hosting and infrastructure providers</w:t>
      </w:r>
    </w:p>
    <w:p>
      <w:pPr>
        <w:pStyle w:val="ListParagraph"/>
        <w:numPr>
          <w:ilvl w:val="0"/>
          <w:numId w:val="2"/>
        </w:numPr>
        <w:spacing w:after="80"/>
      </w:pPr>
      <w:r>
        <w:rPr>
          <w:sz w:val="22"/>
          <w:szCs w:val="22"/>
        </w:rPr>
        <w:t xml:space="preserve">Payment processors</w:t>
      </w:r>
    </w:p>
    <w:p>
      <w:pPr>
        <w:pStyle w:val="ListParagraph"/>
        <w:numPr>
          <w:ilvl w:val="0"/>
          <w:numId w:val="2"/>
        </w:numPr>
        <w:spacing w:after="80"/>
      </w:pPr>
      <w:r>
        <w:rPr>
          <w:sz w:val="22"/>
          <w:szCs w:val="22"/>
        </w:rPr>
        <w:t xml:space="preserve">Analytics and monitoring services</w:t>
      </w:r>
    </w:p>
    <w:p>
      <w:pPr>
        <w:pStyle w:val="ListParagraph"/>
        <w:numPr>
          <w:ilvl w:val="0"/>
          <w:numId w:val="2"/>
        </w:numPr>
        <w:spacing w:after="80"/>
      </w:pPr>
      <w:r>
        <w:rPr>
          <w:sz w:val="22"/>
          <w:szCs w:val="22"/>
        </w:rPr>
        <w:t xml:space="preserve">Customer support platforms</w:t>
      </w:r>
    </w:p>
    <w:p>
      <w:pPr>
        <w:pStyle w:val="ListParagraph"/>
        <w:numPr>
          <w:ilvl w:val="0"/>
          <w:numId w:val="2"/>
        </w:numPr>
        <w:spacing w:after="80"/>
      </w:pPr>
      <w:r>
        <w:rPr>
          <w:sz w:val="22"/>
          <w:szCs w:val="22"/>
        </w:rPr>
        <w:t xml:space="preserve">Email and communication services</w:t>
      </w:r>
    </w:p>
    <w:p>
      <w:pPr>
        <w:pStyle w:val="ListParagraph"/>
        <w:numPr>
          <w:ilvl w:val="0"/>
          <w:numId w:val="2"/>
        </w:numPr>
        <w:spacing w:after="80"/>
      </w:pPr>
      <w:r>
        <w:rPr>
          <w:sz w:val="22"/>
          <w:szCs w:val="22"/>
        </w:rPr>
        <w:t xml:space="preserve">Security and fraud prevention services</w:t>
      </w:r>
    </w:p>
    <w:p>
      <w:pPr>
        <w:spacing w:before="200" w:after="100"/>
      </w:pPr>
      <w:r>
        <w:rPr>
          <w:b/>
          <w:bCs/>
          <w:color w:val="0D1B2A"/>
          <w:sz w:val="22"/>
          <w:szCs w:val="22"/>
        </w:rPr>
        <w:t xml:space="preserve">5.3 Legal and Compliance</w:t>
      </w:r>
    </w:p>
    <w:p>
      <w:pPr>
        <w:spacing w:after="120"/>
      </w:pPr>
      <w:r>
        <w:rPr>
          <w:sz w:val="22"/>
          <w:szCs w:val="22"/>
        </w:rPr>
        <w:t xml:space="preserve">We may disclose information when required by law or in response to valid legal requests, including:</w:t>
      </w:r>
    </w:p>
    <w:p>
      <w:pPr>
        <w:pStyle w:val="ListParagraph"/>
        <w:numPr>
          <w:ilvl w:val="0"/>
          <w:numId w:val="2"/>
        </w:numPr>
        <w:spacing w:after="80"/>
      </w:pPr>
      <w:r>
        <w:rPr>
          <w:sz w:val="22"/>
          <w:szCs w:val="22"/>
        </w:rPr>
        <w:t xml:space="preserve">Court orders, subpoenas, or legal process</w:t>
      </w:r>
    </w:p>
    <w:p>
      <w:pPr>
        <w:pStyle w:val="ListParagraph"/>
        <w:numPr>
          <w:ilvl w:val="0"/>
          <w:numId w:val="2"/>
        </w:numPr>
        <w:spacing w:after="80"/>
      </w:pPr>
      <w:r>
        <w:rPr>
          <w:sz w:val="22"/>
          <w:szCs w:val="22"/>
        </w:rPr>
        <w:t xml:space="preserve">Requests from law enforcement or government agencies</w:t>
      </w:r>
    </w:p>
    <w:p>
      <w:pPr>
        <w:pStyle w:val="ListParagraph"/>
        <w:numPr>
          <w:ilvl w:val="0"/>
          <w:numId w:val="2"/>
        </w:numPr>
        <w:spacing w:after="80"/>
      </w:pPr>
      <w:r>
        <w:rPr>
          <w:sz w:val="22"/>
          <w:szCs w:val="22"/>
        </w:rPr>
        <w:t xml:space="preserve">To protect our rights, property, or safety</w:t>
      </w:r>
    </w:p>
    <w:p>
      <w:pPr>
        <w:pStyle w:val="ListParagraph"/>
        <w:numPr>
          <w:ilvl w:val="0"/>
          <w:numId w:val="2"/>
        </w:numPr>
        <w:spacing w:after="80"/>
      </w:pPr>
      <w:r>
        <w:rPr>
          <w:sz w:val="22"/>
          <w:szCs w:val="22"/>
        </w:rPr>
        <w:t xml:space="preserve">In connection with investigations of fraud or security incidents</w:t>
      </w:r>
    </w:p>
    <w:p>
      <w:pPr>
        <w:spacing w:before="200" w:after="100"/>
      </w:pPr>
      <w:r>
        <w:rPr>
          <w:b/>
          <w:bCs/>
          <w:color w:val="0D1B2A"/>
          <w:sz w:val="22"/>
          <w:szCs w:val="22"/>
        </w:rPr>
        <w:t xml:space="preserve">5.4 Business Transfers</w:t>
      </w:r>
    </w:p>
    <w:p>
      <w:pPr>
        <w:spacing w:after="120"/>
      </w:pPr>
      <w:r>
        <w:rPr>
          <w:sz w:val="22"/>
          <w:szCs w:val="22"/>
        </w:rPr>
        <w:t xml:space="preserve">In connection with a merger, acquisition, bankruptcy, or sale of assets, your information may be transferred to the acquiring entity.</w:t>
      </w:r>
    </w:p>
    <w:p>
      <w:pPr>
        <w:spacing w:before="320" w:after="160"/>
      </w:pPr>
      <w:r>
        <w:rPr>
          <w:b/>
          <w:bCs/>
          <w:color w:val="1B365D"/>
          <w:sz w:val="24"/>
          <w:szCs w:val="24"/>
        </w:rPr>
        <w:t xml:space="preserve">6. INTERNATIONAL DATA TRANSFERS</w:t>
      </w:r>
    </w:p>
    <w:p>
      <w:pPr>
        <w:spacing w:after="120"/>
      </w:pPr>
      <w:r>
        <w:rPr>
          <w:sz w:val="22"/>
          <w:szCs w:val="22"/>
        </w:rPr>
        <w:t xml:space="preserve">Your information may be transferred to and processed in countries other than your country of residence, including the United States. When we transfer data internationally, we implement appropriate safeguards:</w:t>
      </w:r>
    </w:p>
    <w:p>
      <w:pPr>
        <w:pStyle w:val="ListParagraph"/>
        <w:numPr>
          <w:ilvl w:val="0"/>
          <w:numId w:val="2"/>
        </w:numPr>
        <w:spacing w:after="80"/>
      </w:pPr>
      <w:r>
        <w:rPr>
          <w:sz w:val="22"/>
          <w:szCs w:val="22"/>
        </w:rPr>
        <w:t xml:space="preserve">Standard Contractual Clauses (SCCs) approved by the European Commission</w:t>
      </w:r>
    </w:p>
    <w:p>
      <w:pPr>
        <w:pStyle w:val="ListParagraph"/>
        <w:numPr>
          <w:ilvl w:val="0"/>
          <w:numId w:val="2"/>
        </w:numPr>
        <w:spacing w:after="80"/>
      </w:pPr>
      <w:r>
        <w:rPr>
          <w:sz w:val="22"/>
          <w:szCs w:val="22"/>
        </w:rPr>
        <w:t xml:space="preserve">Adequacy decisions by relevant data protection authorities</w:t>
      </w:r>
    </w:p>
    <w:p>
      <w:pPr>
        <w:pStyle w:val="ListParagraph"/>
        <w:numPr>
          <w:ilvl w:val="0"/>
          <w:numId w:val="2"/>
        </w:numPr>
        <w:spacing w:after="80"/>
      </w:pPr>
      <w:r>
        <w:rPr>
          <w:sz w:val="22"/>
          <w:szCs w:val="22"/>
        </w:rPr>
        <w:t xml:space="preserve">Binding Corporate Rules where applicable</w:t>
      </w:r>
    </w:p>
    <w:p>
      <w:pPr>
        <w:pStyle w:val="ListParagraph"/>
        <w:numPr>
          <w:ilvl w:val="0"/>
          <w:numId w:val="2"/>
        </w:numPr>
        <w:spacing w:after="80"/>
      </w:pPr>
      <w:r>
        <w:rPr>
          <w:sz w:val="22"/>
          <w:szCs w:val="22"/>
        </w:rPr>
        <w:t xml:space="preserve">Your explicit consent where appropriate</w:t>
      </w:r>
    </w:p>
    <w:p>
      <w:pPr>
        <w:spacing w:after="120"/>
      </w:pPr>
      <w:r>
        <w:rPr>
          <w:sz w:val="22"/>
          <w:szCs w:val="22"/>
        </w:rPr>
        <w:t xml:space="preserve">You may request a copy of the safeguards we use by contacting us at privacy@ivyar.org.</w:t>
      </w:r>
    </w:p>
    <w:p>
      <w:pPr>
        <w:spacing w:before="320" w:after="160"/>
      </w:pPr>
      <w:r>
        <w:rPr>
          <w:b/>
          <w:bCs/>
          <w:color w:val="1B365D"/>
          <w:sz w:val="24"/>
          <w:szCs w:val="24"/>
        </w:rPr>
        <w:t xml:space="preserve">7. DATA RETENTION</w:t>
      </w:r>
    </w:p>
    <w:p>
      <w:pPr>
        <w:spacing w:after="120"/>
      </w:pPr>
      <w:r>
        <w:rPr>
          <w:sz w:val="22"/>
          <w:szCs w:val="22"/>
        </w:rPr>
        <w:t xml:space="preserve">We retain your personal information for as long as necessary to:</w:t>
      </w:r>
    </w:p>
    <w:p>
      <w:pPr>
        <w:pStyle w:val="ListParagraph"/>
        <w:numPr>
          <w:ilvl w:val="0"/>
          <w:numId w:val="2"/>
        </w:numPr>
        <w:spacing w:after="80"/>
      </w:pPr>
      <w:r>
        <w:rPr>
          <w:sz w:val="22"/>
          <w:szCs w:val="22"/>
        </w:rPr>
        <w:t xml:space="preserve">Provide the Platform and fulfill the purposes described in this Notice</w:t>
      </w:r>
    </w:p>
    <w:p>
      <w:pPr>
        <w:pStyle w:val="ListParagraph"/>
        <w:numPr>
          <w:ilvl w:val="0"/>
          <w:numId w:val="2"/>
        </w:numPr>
        <w:spacing w:after="80"/>
      </w:pPr>
      <w:r>
        <w:rPr>
          <w:sz w:val="22"/>
          <w:szCs w:val="22"/>
        </w:rPr>
        <w:t xml:space="preserve">Comply with legal, regulatory, and contractual obligations</w:t>
      </w:r>
    </w:p>
    <w:p>
      <w:pPr>
        <w:pStyle w:val="ListParagraph"/>
        <w:numPr>
          <w:ilvl w:val="0"/>
          <w:numId w:val="2"/>
        </w:numPr>
        <w:spacing w:after="80"/>
      </w:pPr>
      <w:r>
        <w:rPr>
          <w:sz w:val="22"/>
          <w:szCs w:val="22"/>
        </w:rPr>
        <w:t xml:space="preserve">Resolve disputes and enforce our agreements</w:t>
      </w:r>
    </w:p>
    <w:p>
      <w:pPr>
        <w:pStyle w:val="ListParagraph"/>
        <w:numPr>
          <w:ilvl w:val="0"/>
          <w:numId w:val="2"/>
        </w:numPr>
        <w:spacing w:after="80"/>
      </w:pPr>
      <w:r>
        <w:rPr>
          <w:sz w:val="22"/>
          <w:szCs w:val="22"/>
        </w:rPr>
        <w:t xml:space="preserve">Maintain business records for legitimate purposes</w:t>
      </w:r>
    </w:p>
    <w:p>
      <w:pPr>
        <w:spacing w:before="120"/>
      </w:pPr>
    </w:p>
    <w:p>
      <w:pPr>
        <w:spacing w:after="120"/>
      </w:pPr>
      <w:r>
        <w:rPr>
          <w:sz w:val="22"/>
          <w:szCs w:val="22"/>
        </w:rPr>
        <w:t xml:space="preserve">When we no longer need your personal information, we will securely delete or anonymize it. Specific retention periods depend on the type of data and applicable legal requirements.</w:t>
      </w:r>
    </w:p>
    <w:p>
      <w:r>
        <w:br w:type="page"/>
      </w:r>
    </w:p>
    <w:p>
      <w:pPr>
        <w:spacing w:before="320" w:after="160"/>
      </w:pPr>
      <w:r>
        <w:rPr>
          <w:b/>
          <w:bCs/>
          <w:color w:val="1B365D"/>
          <w:sz w:val="24"/>
          <w:szCs w:val="24"/>
        </w:rPr>
        <w:t xml:space="preserve">8. YOUR PRIVACY RIGHTS</w:t>
      </w:r>
    </w:p>
    <w:p>
      <w:pPr>
        <w:spacing w:after="120"/>
      </w:pPr>
      <w:r>
        <w:rPr>
          <w:sz w:val="22"/>
          <w:szCs w:val="22"/>
        </w:rPr>
        <w:t xml:space="preserve">Depending on your location, you may have the following rights regarding your personal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Right</w:t>
            </w:r>
          </w:p>
        </w:tc>
        <w:tc>
          <w:tcPr>
            <w:tcW w:type="dxa" w:w="686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Access</w:t>
            </w:r>
          </w:p>
        </w:tc>
        <w:tc>
          <w:tcPr>
            <w:tcW w:type="dxa" w:w="6860"/>
            <w:tcBorders>
              <w:top w:val="single" w:color="CCCCCC" w:sz="1"/>
              <w:left w:val="single" w:color="CCCCCC" w:sz="1"/>
              <w:bottom w:val="single" w:color="CCCCCC" w:sz="1"/>
              <w:right w:val="single" w:color="CCCCCC" w:sz="1"/>
            </w:tcBorders>
          </w:tcPr>
          <w:p>
            <w:r>
              <w:rPr>
                <w:sz w:val="20"/>
                <w:szCs w:val="20"/>
              </w:rPr>
              <w:t xml:space="preserve">Request a copy of the personal information we hold about you</w:t>
            </w:r>
          </w:p>
        </w:tc>
      </w:tr>
      <w:tr>
        <w:tc>
          <w:tcPr>
            <w:tcW w:type="dxa" w:w="2500"/>
            <w:tcBorders>
              <w:top w:val="single" w:color="CCCCCC" w:sz="1"/>
              <w:left w:val="single" w:color="CCCCCC" w:sz="1"/>
              <w:bottom w:val="single" w:color="CCCCCC" w:sz="1"/>
              <w:right w:val="single" w:color="CCCCCC" w:sz="1"/>
            </w:tcBorders>
            <w:shd w:fill="F8F9FA" w:val="clear"/>
          </w:tcPr>
          <w:p>
            <w:r>
              <w:rPr>
                <w:b/>
                <w:bCs/>
                <w:sz w:val="20"/>
                <w:szCs w:val="20"/>
              </w:rPr>
              <w:t xml:space="preserve">Rectification</w:t>
            </w:r>
          </w:p>
        </w:tc>
        <w:tc>
          <w:tcPr>
            <w:tcW w:type="dxa" w:w="6860"/>
            <w:tcBorders>
              <w:top w:val="single" w:color="CCCCCC" w:sz="1"/>
              <w:left w:val="single" w:color="CCCCCC" w:sz="1"/>
              <w:bottom w:val="single" w:color="CCCCCC" w:sz="1"/>
              <w:right w:val="single" w:color="CCCCCC" w:sz="1"/>
            </w:tcBorders>
            <w:shd w:fill="F8F9FA" w:val="clear"/>
          </w:tcPr>
          <w:p>
            <w:r>
              <w:rPr>
                <w:sz w:val="20"/>
                <w:szCs w:val="20"/>
              </w:rPr>
              <w:t xml:space="preserve">Request correction of inaccurate or incomplete personal information</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Erasure</w:t>
            </w:r>
          </w:p>
        </w:tc>
        <w:tc>
          <w:tcPr>
            <w:tcW w:type="dxa" w:w="6860"/>
            <w:tcBorders>
              <w:top w:val="single" w:color="CCCCCC" w:sz="1"/>
              <w:left w:val="single" w:color="CCCCCC" w:sz="1"/>
              <w:bottom w:val="single" w:color="CCCCCC" w:sz="1"/>
              <w:right w:val="single" w:color="CCCCCC" w:sz="1"/>
            </w:tcBorders>
          </w:tcPr>
          <w:p>
            <w:r>
              <w:rPr>
                <w:sz w:val="20"/>
                <w:szCs w:val="20"/>
              </w:rPr>
              <w:t xml:space="preserve">Request deletion of your personal information (subject to exceptions)</w:t>
            </w:r>
          </w:p>
        </w:tc>
      </w:tr>
      <w:tr>
        <w:tc>
          <w:tcPr>
            <w:tcW w:type="dxa" w:w="2500"/>
            <w:tcBorders>
              <w:top w:val="single" w:color="CCCCCC" w:sz="1"/>
              <w:left w:val="single" w:color="CCCCCC" w:sz="1"/>
              <w:bottom w:val="single" w:color="CCCCCC" w:sz="1"/>
              <w:right w:val="single" w:color="CCCCCC" w:sz="1"/>
            </w:tcBorders>
            <w:shd w:fill="F8F9FA" w:val="clear"/>
          </w:tcPr>
          <w:p>
            <w:r>
              <w:rPr>
                <w:b/>
                <w:bCs/>
                <w:sz w:val="20"/>
                <w:szCs w:val="20"/>
              </w:rPr>
              <w:t xml:space="preserve">Restriction</w:t>
            </w:r>
          </w:p>
        </w:tc>
        <w:tc>
          <w:tcPr>
            <w:tcW w:type="dxa" w:w="6860"/>
            <w:tcBorders>
              <w:top w:val="single" w:color="CCCCCC" w:sz="1"/>
              <w:left w:val="single" w:color="CCCCCC" w:sz="1"/>
              <w:bottom w:val="single" w:color="CCCCCC" w:sz="1"/>
              <w:right w:val="single" w:color="CCCCCC" w:sz="1"/>
            </w:tcBorders>
            <w:shd w:fill="F8F9FA" w:val="clear"/>
          </w:tcPr>
          <w:p>
            <w:r>
              <w:rPr>
                <w:sz w:val="20"/>
                <w:szCs w:val="20"/>
              </w:rPr>
              <w:t xml:space="preserve">Request limitation of processing in certain circumstances</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Portability</w:t>
            </w:r>
          </w:p>
        </w:tc>
        <w:tc>
          <w:tcPr>
            <w:tcW w:type="dxa" w:w="6860"/>
            <w:tcBorders>
              <w:top w:val="single" w:color="CCCCCC" w:sz="1"/>
              <w:left w:val="single" w:color="CCCCCC" w:sz="1"/>
              <w:bottom w:val="single" w:color="CCCCCC" w:sz="1"/>
              <w:right w:val="single" w:color="CCCCCC" w:sz="1"/>
            </w:tcBorders>
          </w:tcPr>
          <w:p>
            <w:r>
              <w:rPr>
                <w:sz w:val="20"/>
                <w:szCs w:val="20"/>
              </w:rPr>
              <w:t xml:space="preserve">Receive your data in a structured, machine-readable format</w:t>
            </w:r>
          </w:p>
        </w:tc>
      </w:tr>
      <w:tr>
        <w:tc>
          <w:tcPr>
            <w:tcW w:type="dxa" w:w="2500"/>
            <w:tcBorders>
              <w:top w:val="single" w:color="CCCCCC" w:sz="1"/>
              <w:left w:val="single" w:color="CCCCCC" w:sz="1"/>
              <w:bottom w:val="single" w:color="CCCCCC" w:sz="1"/>
              <w:right w:val="single" w:color="CCCCCC" w:sz="1"/>
            </w:tcBorders>
            <w:shd w:fill="F8F9FA" w:val="clear"/>
          </w:tcPr>
          <w:p>
            <w:r>
              <w:rPr>
                <w:b/>
                <w:bCs/>
                <w:sz w:val="20"/>
                <w:szCs w:val="20"/>
              </w:rPr>
              <w:t xml:space="preserve">Objection</w:t>
            </w:r>
          </w:p>
        </w:tc>
        <w:tc>
          <w:tcPr>
            <w:tcW w:type="dxa" w:w="6860"/>
            <w:tcBorders>
              <w:top w:val="single" w:color="CCCCCC" w:sz="1"/>
              <w:left w:val="single" w:color="CCCCCC" w:sz="1"/>
              <w:bottom w:val="single" w:color="CCCCCC" w:sz="1"/>
              <w:right w:val="single" w:color="CCCCCC" w:sz="1"/>
            </w:tcBorders>
            <w:shd w:fill="F8F9FA" w:val="clear"/>
          </w:tcPr>
          <w:p>
            <w:r>
              <w:rPr>
                <w:sz w:val="20"/>
                <w:szCs w:val="20"/>
              </w:rPr>
              <w:t xml:space="preserve">Object to processing based on legitimate interests or for marketing</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Withdraw Consent</w:t>
            </w:r>
          </w:p>
        </w:tc>
        <w:tc>
          <w:tcPr>
            <w:tcW w:type="dxa" w:w="6860"/>
            <w:tcBorders>
              <w:top w:val="single" w:color="CCCCCC" w:sz="1"/>
              <w:left w:val="single" w:color="CCCCCC" w:sz="1"/>
              <w:bottom w:val="single" w:color="CCCCCC" w:sz="1"/>
              <w:right w:val="single" w:color="CCCCCC" w:sz="1"/>
            </w:tcBorders>
          </w:tcPr>
          <w:p>
            <w:r>
              <w:rPr>
                <w:sz w:val="20"/>
                <w:szCs w:val="20"/>
              </w:rPr>
              <w:t xml:space="preserve">Withdraw consent at any time (where processing is based on consent)</w:t>
            </w:r>
          </w:p>
        </w:tc>
      </w:tr>
      <w:tr>
        <w:tc>
          <w:tcPr>
            <w:tcW w:type="dxa" w:w="2500"/>
            <w:tcBorders>
              <w:top w:val="single" w:color="CCCCCC" w:sz="1"/>
              <w:left w:val="single" w:color="CCCCCC" w:sz="1"/>
              <w:bottom w:val="single" w:color="CCCCCC" w:sz="1"/>
              <w:right w:val="single" w:color="CCCCCC" w:sz="1"/>
            </w:tcBorders>
            <w:shd w:fill="F8F9FA" w:val="clear"/>
          </w:tcPr>
          <w:p>
            <w:r>
              <w:rPr>
                <w:b/>
                <w:bCs/>
                <w:sz w:val="20"/>
                <w:szCs w:val="20"/>
              </w:rPr>
              <w:t xml:space="preserve">Complaint</w:t>
            </w:r>
          </w:p>
        </w:tc>
        <w:tc>
          <w:tcPr>
            <w:tcW w:type="dxa" w:w="6860"/>
            <w:tcBorders>
              <w:top w:val="single" w:color="CCCCCC" w:sz="1"/>
              <w:left w:val="single" w:color="CCCCCC" w:sz="1"/>
              <w:bottom w:val="single" w:color="CCCCCC" w:sz="1"/>
              <w:right w:val="single" w:color="CCCCCC" w:sz="1"/>
            </w:tcBorders>
            <w:shd w:fill="F8F9FA" w:val="clear"/>
          </w:tcPr>
          <w:p>
            <w:r>
              <w:rPr>
                <w:sz w:val="20"/>
                <w:szCs w:val="20"/>
              </w:rPr>
              <w:t xml:space="preserve">Lodge a complaint with a supervisory authority</w:t>
            </w:r>
          </w:p>
        </w:tc>
      </w:tr>
    </w:tbl>
    <w:p>
      <w:pPr>
        <w:spacing w:before="160"/>
      </w:pPr>
    </w:p>
    <w:p>
      <w:pPr>
        <w:spacing w:after="120"/>
      </w:pPr>
      <w:r>
        <w:rPr>
          <w:sz w:val="22"/>
          <w:szCs w:val="22"/>
        </w:rPr>
        <w:t xml:space="preserve">To exercise your rights, please contact us at privacy@ivyar.org. We will respond to your request within the timeframe required by applicable law (typically 30 days).</w:t>
      </w:r>
    </w:p>
    <w:p>
      <w:pPr>
        <w:spacing w:before="320" w:after="160"/>
      </w:pPr>
      <w:r>
        <w:rPr>
          <w:b/>
          <w:bCs/>
          <w:color w:val="1B365D"/>
          <w:sz w:val="24"/>
          <w:szCs w:val="24"/>
        </w:rPr>
        <w:t xml:space="preserve">9. CALIFORNIA PRIVACY RIGHTS (CCPA/CPRA)</w:t>
      </w:r>
    </w:p>
    <w:p>
      <w:pPr>
        <w:spacing w:after="120"/>
      </w:pPr>
      <w:r>
        <w:rPr>
          <w:sz w:val="22"/>
          <w:szCs w:val="22"/>
        </w:rPr>
        <w:t xml:space="preserve">If you are a California resident, you have additional rights under the California Consumer Privacy Act (CCPA) and California Privacy Rights Act (CPRA):</w:t>
      </w:r>
    </w:p>
    <w:p>
      <w:pPr>
        <w:pStyle w:val="ListParagraph"/>
        <w:numPr>
          <w:ilvl w:val="0"/>
          <w:numId w:val="2"/>
        </w:numPr>
        <w:spacing w:after="80"/>
      </w:pPr>
      <w:r>
        <w:rPr>
          <w:sz w:val="22"/>
          <w:szCs w:val="22"/>
        </w:rPr>
        <w:t xml:space="preserve">Right to Know: Request disclosure of the categories and specific pieces of personal information we collect</w:t>
      </w:r>
    </w:p>
    <w:p>
      <w:pPr>
        <w:pStyle w:val="ListParagraph"/>
        <w:numPr>
          <w:ilvl w:val="0"/>
          <w:numId w:val="2"/>
        </w:numPr>
        <w:spacing w:after="80"/>
      </w:pPr>
      <w:r>
        <w:rPr>
          <w:sz w:val="22"/>
          <w:szCs w:val="22"/>
        </w:rPr>
        <w:t xml:space="preserve">Right to Delete: Request deletion of your personal information</w:t>
      </w:r>
    </w:p>
    <w:p>
      <w:pPr>
        <w:pStyle w:val="ListParagraph"/>
        <w:numPr>
          <w:ilvl w:val="0"/>
          <w:numId w:val="2"/>
        </w:numPr>
        <w:spacing w:after="80"/>
      </w:pPr>
      <w:r>
        <w:rPr>
          <w:sz w:val="22"/>
          <w:szCs w:val="22"/>
        </w:rPr>
        <w:t xml:space="preserve">Right to Correct: Request correction of inaccurate personal information</w:t>
      </w:r>
    </w:p>
    <w:p>
      <w:pPr>
        <w:pStyle w:val="ListParagraph"/>
        <w:numPr>
          <w:ilvl w:val="0"/>
          <w:numId w:val="2"/>
        </w:numPr>
        <w:spacing w:after="80"/>
      </w:pPr>
      <w:r>
        <w:rPr>
          <w:sz w:val="22"/>
          <w:szCs w:val="22"/>
        </w:rPr>
        <w:t xml:space="preserve">Right to Opt-Out: Opt out of the sale or sharing of personal information (we do not sell personal information)</w:t>
      </w:r>
    </w:p>
    <w:p>
      <w:pPr>
        <w:pStyle w:val="ListParagraph"/>
        <w:numPr>
          <w:ilvl w:val="0"/>
          <w:numId w:val="2"/>
        </w:numPr>
        <w:spacing w:after="80"/>
      </w:pPr>
      <w:r>
        <w:rPr>
          <w:sz w:val="22"/>
          <w:szCs w:val="22"/>
        </w:rPr>
        <w:t xml:space="preserve">Right to Non-Discrimination: We will not discriminate against you for exercising your privacy rights</w:t>
      </w:r>
    </w:p>
    <w:p>
      <w:pPr>
        <w:spacing w:before="120"/>
      </w:pPr>
    </w:p>
    <w:p>
      <w:pPr>
        <w:spacing w:after="120"/>
      </w:pPr>
      <w:r>
        <w:rPr>
          <w:sz w:val="22"/>
          <w:szCs w:val="22"/>
        </w:rPr>
        <w:t xml:space="preserve">To submit a request, contact us at privacy@ivyar.org or call [toll-free number]. We may verify your identity before processing your request.</w:t>
      </w:r>
    </w:p>
    <w:p>
      <w:pPr>
        <w:spacing w:before="320" w:after="160"/>
      </w:pPr>
      <w:r>
        <w:rPr>
          <w:b/>
          <w:bCs/>
          <w:color w:val="1B365D"/>
          <w:sz w:val="24"/>
          <w:szCs w:val="24"/>
        </w:rPr>
        <w:t xml:space="preserve">10. COOKIES AND TRACKING TECHNOLOGIES</w:t>
      </w:r>
    </w:p>
    <w:p>
      <w:pPr>
        <w:spacing w:after="120"/>
      </w:pPr>
      <w:r>
        <w:rPr>
          <w:sz w:val="22"/>
          <w:szCs w:val="22"/>
        </w:rPr>
        <w:t xml:space="preserve">We use cookies and similar technologies to collect information and improve the Platform:</w:t>
      </w:r>
    </w:p>
    <w:p>
      <w:pPr>
        <w:spacing w:before="200" w:after="100"/>
      </w:pPr>
      <w:r>
        <w:rPr>
          <w:b/>
          <w:bCs/>
          <w:color w:val="0D1B2A"/>
          <w:sz w:val="22"/>
          <w:szCs w:val="22"/>
        </w:rPr>
        <w:t xml:space="preserve">10.1 Types of Cookies</w:t>
      </w:r>
    </w:p>
    <w:p>
      <w:pPr>
        <w:pStyle w:val="ListParagraph"/>
        <w:numPr>
          <w:ilvl w:val="0"/>
          <w:numId w:val="2"/>
        </w:numPr>
        <w:spacing w:after="80"/>
      </w:pPr>
      <w:r>
        <w:rPr>
          <w:sz w:val="22"/>
          <w:szCs w:val="22"/>
        </w:rPr>
        <w:t xml:space="preserve">Essential Cookies: Required for the Platform to function properly</w:t>
      </w:r>
    </w:p>
    <w:p>
      <w:pPr>
        <w:pStyle w:val="ListParagraph"/>
        <w:numPr>
          <w:ilvl w:val="0"/>
          <w:numId w:val="2"/>
        </w:numPr>
        <w:spacing w:after="80"/>
      </w:pPr>
      <w:r>
        <w:rPr>
          <w:sz w:val="22"/>
          <w:szCs w:val="22"/>
        </w:rPr>
        <w:t xml:space="preserve">Analytics Cookies: Help us understand how users interact with the Platform</w:t>
      </w:r>
    </w:p>
    <w:p>
      <w:pPr>
        <w:pStyle w:val="ListParagraph"/>
        <w:numPr>
          <w:ilvl w:val="0"/>
          <w:numId w:val="2"/>
        </w:numPr>
        <w:spacing w:after="80"/>
      </w:pPr>
      <w:r>
        <w:rPr>
          <w:sz w:val="22"/>
          <w:szCs w:val="22"/>
        </w:rPr>
        <w:t xml:space="preserve">Functional Cookies: Remember your preferences and settings</w:t>
      </w:r>
    </w:p>
    <w:p>
      <w:pPr>
        <w:pStyle w:val="ListParagraph"/>
        <w:numPr>
          <w:ilvl w:val="0"/>
          <w:numId w:val="2"/>
        </w:numPr>
        <w:spacing w:after="80"/>
      </w:pPr>
      <w:r>
        <w:rPr>
          <w:sz w:val="22"/>
          <w:szCs w:val="22"/>
        </w:rPr>
        <w:t xml:space="preserve">Marketing Cookies: Used to deliver relevant advertisements (with consent)</w:t>
      </w:r>
    </w:p>
    <w:p>
      <w:pPr>
        <w:spacing w:before="200" w:after="100"/>
      </w:pPr>
      <w:r>
        <w:rPr>
          <w:b/>
          <w:bCs/>
          <w:color w:val="0D1B2A"/>
          <w:sz w:val="22"/>
          <w:szCs w:val="22"/>
        </w:rPr>
        <w:t xml:space="preserve">10.2 Managing Cookies</w:t>
      </w:r>
    </w:p>
    <w:p>
      <w:pPr>
        <w:spacing w:after="120"/>
      </w:pPr>
      <w:r>
        <w:rPr>
          <w:sz w:val="22"/>
          <w:szCs w:val="22"/>
        </w:rPr>
        <w:t xml:space="preserve">You can control cookies through your browser settings. Note that disabling certain cookies may affect Platform functionality. For more information, see our Cookie Policy at www.ivyar.org/cookies.</w:t>
      </w:r>
    </w:p>
    <w:p>
      <w:pPr>
        <w:spacing w:before="200" w:after="100"/>
      </w:pPr>
      <w:r>
        <w:rPr>
          <w:b/>
          <w:bCs/>
          <w:color w:val="0D1B2A"/>
          <w:sz w:val="22"/>
          <w:szCs w:val="22"/>
        </w:rPr>
        <w:t xml:space="preserve">10.3 Do Not Track</w:t>
      </w:r>
    </w:p>
    <w:p>
      <w:pPr>
        <w:spacing w:after="120"/>
      </w:pPr>
      <w:r>
        <w:rPr>
          <w:sz w:val="22"/>
          <w:szCs w:val="22"/>
        </w:rPr>
        <w:t xml:space="preserve">Some browsers include a "Do Not Track" feature. Our Platform does not currently respond to Do Not Track signals.</w:t>
      </w:r>
    </w:p>
    <w:p>
      <w:pPr>
        <w:spacing w:before="320" w:after="160"/>
      </w:pPr>
      <w:r>
        <w:rPr>
          <w:b/>
          <w:bCs/>
          <w:color w:val="1B365D"/>
          <w:sz w:val="24"/>
          <w:szCs w:val="24"/>
        </w:rPr>
        <w:t xml:space="preserve">11. DATA SECURITY</w:t>
      </w:r>
    </w:p>
    <w:p>
      <w:pPr>
        <w:spacing w:after="120"/>
      </w:pPr>
      <w:r>
        <w:rPr>
          <w:sz w:val="22"/>
          <w:szCs w:val="22"/>
        </w:rPr>
        <w:t xml:space="preserve">We implement comprehensive security measures to protect your personal information:</w:t>
      </w:r>
    </w:p>
    <w:p>
      <w:pPr>
        <w:pStyle w:val="ListParagraph"/>
        <w:numPr>
          <w:ilvl w:val="0"/>
          <w:numId w:val="2"/>
        </w:numPr>
        <w:spacing w:after="80"/>
      </w:pPr>
      <w:r>
        <w:rPr>
          <w:sz w:val="22"/>
          <w:szCs w:val="22"/>
        </w:rPr>
        <w:t xml:space="preserve">Encryption of data in transit (TLS 1.3) and at rest (AES-256)</w:t>
      </w:r>
    </w:p>
    <w:p>
      <w:pPr>
        <w:pStyle w:val="ListParagraph"/>
        <w:numPr>
          <w:ilvl w:val="0"/>
          <w:numId w:val="2"/>
        </w:numPr>
        <w:spacing w:after="80"/>
      </w:pPr>
      <w:r>
        <w:rPr>
          <w:sz w:val="22"/>
          <w:szCs w:val="22"/>
        </w:rPr>
        <w:t xml:space="preserve">Multi-factor authentication and access controls</w:t>
      </w:r>
    </w:p>
    <w:p>
      <w:pPr>
        <w:pStyle w:val="ListParagraph"/>
        <w:numPr>
          <w:ilvl w:val="0"/>
          <w:numId w:val="2"/>
        </w:numPr>
        <w:spacing w:after="80"/>
      </w:pPr>
      <w:r>
        <w:rPr>
          <w:sz w:val="22"/>
          <w:szCs w:val="22"/>
        </w:rPr>
        <w:t xml:space="preserve">Regular security assessments and penetration testing</w:t>
      </w:r>
    </w:p>
    <w:p>
      <w:pPr>
        <w:pStyle w:val="ListParagraph"/>
        <w:numPr>
          <w:ilvl w:val="0"/>
          <w:numId w:val="2"/>
        </w:numPr>
        <w:spacing w:after="80"/>
      </w:pPr>
      <w:r>
        <w:rPr>
          <w:sz w:val="22"/>
          <w:szCs w:val="22"/>
        </w:rPr>
        <w:t xml:space="preserve">SOC 2 Type II compliance</w:t>
      </w:r>
    </w:p>
    <w:p>
      <w:pPr>
        <w:pStyle w:val="ListParagraph"/>
        <w:numPr>
          <w:ilvl w:val="0"/>
          <w:numId w:val="2"/>
        </w:numPr>
        <w:spacing w:after="80"/>
      </w:pPr>
      <w:r>
        <w:rPr>
          <w:sz w:val="22"/>
          <w:szCs w:val="22"/>
        </w:rPr>
        <w:t xml:space="preserve">Employee security training and background checks</w:t>
      </w:r>
    </w:p>
    <w:p>
      <w:pPr>
        <w:pStyle w:val="ListParagraph"/>
        <w:numPr>
          <w:ilvl w:val="0"/>
          <w:numId w:val="2"/>
        </w:numPr>
        <w:spacing w:after="80"/>
      </w:pPr>
      <w:r>
        <w:rPr>
          <w:sz w:val="22"/>
          <w:szCs w:val="22"/>
        </w:rPr>
        <w:t xml:space="preserve">Incident response and breach notification procedures</w:t>
      </w:r>
    </w:p>
    <w:p>
      <w:pPr>
        <w:spacing w:before="120"/>
      </w:pPr>
    </w:p>
    <w:p>
      <w:pPr>
        <w:spacing w:after="120"/>
      </w:pPr>
      <w:r>
        <w:rPr>
          <w:sz w:val="22"/>
          <w:szCs w:val="22"/>
        </w:rPr>
        <w:t xml:space="preserve">While we strive to protect your information, no method of transmission or storage is completely secure. We cannot guarantee absolute security.</w:t>
      </w:r>
    </w:p>
    <w:p>
      <w:r>
        <w:br w:type="page"/>
      </w:r>
    </w:p>
    <w:p>
      <w:pPr>
        <w:spacing w:before="320" w:after="160"/>
      </w:pPr>
      <w:r>
        <w:rPr>
          <w:b/>
          <w:bCs/>
          <w:color w:val="1B365D"/>
          <w:sz w:val="24"/>
          <w:szCs w:val="24"/>
        </w:rPr>
        <w:t xml:space="preserve">12. CHILDREN'S PRIVACY</w:t>
      </w:r>
    </w:p>
    <w:p>
      <w:pPr>
        <w:spacing w:after="120"/>
      </w:pPr>
      <w:r>
        <w:rPr>
          <w:sz w:val="22"/>
          <w:szCs w:val="22"/>
        </w:rPr>
        <w:t xml:space="preserve">The Platform is not intended for children under 18 years of age. We do not knowingly collect personal information from children. If we learn that we have collected personal information from a child, we will take steps to delete such information promptly.</w:t>
      </w:r>
    </w:p>
    <w:p>
      <w:pPr>
        <w:spacing w:after="120"/>
      </w:pPr>
      <w:r>
        <w:rPr>
          <w:sz w:val="22"/>
          <w:szCs w:val="22"/>
        </w:rPr>
        <w:t xml:space="preserve">If you believe we have collected information from a child, please contact us at privacy@ivyar.org.</w:t>
      </w:r>
    </w:p>
    <w:p>
      <w:pPr>
        <w:spacing w:before="320" w:after="160"/>
      </w:pPr>
      <w:r>
        <w:rPr>
          <w:b/>
          <w:bCs/>
          <w:color w:val="1B365D"/>
          <w:sz w:val="24"/>
          <w:szCs w:val="24"/>
        </w:rPr>
        <w:t xml:space="preserve">13. THIRD-PARTY LINKS AND SERVICES</w:t>
      </w:r>
    </w:p>
    <w:p>
      <w:pPr>
        <w:spacing w:after="120"/>
      </w:pPr>
      <w:r>
        <w:rPr>
          <w:sz w:val="22"/>
          <w:szCs w:val="22"/>
        </w:rPr>
        <w:t xml:space="preserve">The Platform may contain links to third-party websites or services that are not operated by IVYAR. We are not responsible for the privacy practices of these third parties. We encourage you to review the privacy policies of any third-party services you access.</w:t>
      </w:r>
    </w:p>
    <w:p>
      <w:pPr>
        <w:spacing w:before="320" w:after="160"/>
      </w:pPr>
      <w:r>
        <w:rPr>
          <w:b/>
          <w:bCs/>
          <w:color w:val="1B365D"/>
          <w:sz w:val="24"/>
          <w:szCs w:val="24"/>
        </w:rPr>
        <w:t xml:space="preserve">14. CHANGES TO THIS PRIVACY NOTICE</w:t>
      </w:r>
    </w:p>
    <w:p>
      <w:pPr>
        <w:spacing w:after="120"/>
      </w:pPr>
      <w:r>
        <w:rPr>
          <w:sz w:val="22"/>
          <w:szCs w:val="22"/>
        </w:rPr>
        <w:t xml:space="preserve">We may update this Privacy Notice from time to time to reflect changes in our practices, technologies, legal requirements, or other factors. When we make material changes, we will:</w:t>
      </w:r>
    </w:p>
    <w:p>
      <w:pPr>
        <w:pStyle w:val="ListParagraph"/>
        <w:numPr>
          <w:ilvl w:val="0"/>
          <w:numId w:val="2"/>
        </w:numPr>
        <w:spacing w:after="80"/>
      </w:pPr>
      <w:r>
        <w:rPr>
          <w:sz w:val="22"/>
          <w:szCs w:val="22"/>
        </w:rPr>
        <w:t xml:space="preserve">Update the "Last Updated" date at the top of this Notice</w:t>
      </w:r>
    </w:p>
    <w:p>
      <w:pPr>
        <w:pStyle w:val="ListParagraph"/>
        <w:numPr>
          <w:ilvl w:val="0"/>
          <w:numId w:val="2"/>
        </w:numPr>
        <w:spacing w:after="80"/>
      </w:pPr>
      <w:r>
        <w:rPr>
          <w:sz w:val="22"/>
          <w:szCs w:val="22"/>
        </w:rPr>
        <w:t xml:space="preserve">Notify you via email or through the Platform (for material changes)</w:t>
      </w:r>
    </w:p>
    <w:p>
      <w:pPr>
        <w:pStyle w:val="ListParagraph"/>
        <w:numPr>
          <w:ilvl w:val="0"/>
          <w:numId w:val="2"/>
        </w:numPr>
        <w:spacing w:after="80"/>
      </w:pPr>
      <w:r>
        <w:rPr>
          <w:sz w:val="22"/>
          <w:szCs w:val="22"/>
        </w:rPr>
        <w:t xml:space="preserve">Obtain your consent where required by applicable law</w:t>
      </w:r>
    </w:p>
    <w:p>
      <w:pPr>
        <w:spacing w:before="120"/>
      </w:pPr>
    </w:p>
    <w:p>
      <w:pPr>
        <w:spacing w:after="120"/>
      </w:pPr>
      <w:r>
        <w:rPr>
          <w:sz w:val="22"/>
          <w:szCs w:val="22"/>
        </w:rPr>
        <w:t xml:space="preserve">We encourage you to review this Notice periodically. Your continued use of the Platform after changes become effective constitutes your acceptance of the revised Notice.</w:t>
      </w:r>
    </w:p>
    <w:p>
      <w:pPr>
        <w:spacing w:before="320" w:after="160"/>
      </w:pPr>
      <w:r>
        <w:rPr>
          <w:b/>
          <w:bCs/>
          <w:color w:val="1B365D"/>
          <w:sz w:val="24"/>
          <w:szCs w:val="24"/>
        </w:rPr>
        <w:t xml:space="preserve">15. CONTACT US</w:t>
      </w:r>
    </w:p>
    <w:p>
      <w:pPr>
        <w:spacing w:after="120"/>
      </w:pPr>
      <w:r>
        <w:rPr>
          <w:sz w:val="22"/>
          <w:szCs w:val="22"/>
        </w:rPr>
        <w:t xml:space="preserve">If you have questions, concerns, or requests regarding this Privacy Notice or our data practices, please contact us:</w:t>
      </w:r>
    </w:p>
    <w:p>
      <w:pPr>
        <w:spacing w:before="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
              <w:left w:val="single" w:color="1B365D" w:sz="1"/>
              <w:bottom w:val="single" w:color="1B365D" w:sz="1"/>
              <w:right w:val="single" w:color="1B365D" w:sz="1"/>
            </w:tcBorders>
            <w:shd w:fill="F0F4F8" w:val="clear"/>
          </w:tcPr>
          <w:p>
            <w:pPr>
              <w:spacing w:before="160" w:after="80"/>
              <w:ind w:left="360"/>
            </w:pPr>
            <w:r>
              <w:rPr>
                <w:b/>
                <w:bCs/>
                <w:sz w:val="22"/>
                <w:szCs w:val="22"/>
              </w:rPr>
              <w:t xml:space="preserve">IVYAR LLC — Privacy Team</w:t>
            </w:r>
          </w:p>
          <w:p>
            <w:pPr>
              <w:spacing w:after="40"/>
              <w:ind w:left="360"/>
            </w:pPr>
            <w:r>
              <w:rPr>
                <w:sz w:val="22"/>
                <w:szCs w:val="22"/>
              </w:rPr>
              <w:t xml:space="preserve">Data Protection Officer: privacy@ivyar.org</w:t>
            </w:r>
          </w:p>
          <w:p>
            <w:pPr>
              <w:spacing w:after="40"/>
              <w:ind w:left="360"/>
            </w:pPr>
            <w:r>
              <w:rPr>
                <w:sz w:val="22"/>
                <w:szCs w:val="22"/>
              </w:rPr>
              <w:t xml:space="preserve">General Inquiries: info@ivyar.org</w:t>
            </w:r>
          </w:p>
          <w:p>
            <w:pPr>
              <w:spacing w:after="160"/>
              <w:ind w:left="360"/>
            </w:pPr>
            <w:r>
              <w:rPr>
                <w:sz w:val="22"/>
                <w:szCs w:val="22"/>
              </w:rPr>
              <w:t xml:space="preserve">Website: www.ivyar.org/privacy</w:t>
            </w:r>
          </w:p>
        </w:tc>
      </w:tr>
    </w:tbl>
    <w:p>
      <w:pPr>
        <w:spacing w:before="240"/>
      </w:pPr>
    </w:p>
    <w:p>
      <w:pPr>
        <w:spacing w:before="200" w:after="100"/>
      </w:pPr>
      <w:r>
        <w:rPr>
          <w:b/>
          <w:bCs/>
          <w:color w:val="0D1B2A"/>
          <w:sz w:val="22"/>
          <w:szCs w:val="22"/>
        </w:rPr>
        <w:t xml:space="preserve">EU/EEA Representative</w:t>
      </w:r>
    </w:p>
    <w:p>
      <w:pPr>
        <w:spacing w:after="120"/>
      </w:pPr>
      <w:r>
        <w:rPr>
          <w:sz w:val="22"/>
          <w:szCs w:val="22"/>
        </w:rPr>
        <w:t xml:space="preserve">If you are located in the European Union or European Economic Area, you may also contact our EU representative:</w:t>
      </w:r>
    </w:p>
    <w:p>
      <w:pPr>
        <w:spacing w:before="80" w:after="40"/>
        <w:ind w:left="720"/>
      </w:pPr>
      <w:r>
        <w:rPr>
          <w:sz w:val="22"/>
          <w:szCs w:val="22"/>
        </w:rPr>
        <w:t xml:space="preserve">[EU Representative Name]</w:t>
      </w:r>
    </w:p>
    <w:p>
      <w:pPr>
        <w:spacing w:after="120"/>
        <w:ind w:left="720"/>
      </w:pPr>
      <w:r>
        <w:rPr>
          <w:sz w:val="22"/>
          <w:szCs w:val="22"/>
        </w:rPr>
        <w:t xml:space="preserve">[EU Representative Address and Contact]</w:t>
      </w:r>
    </w:p>
    <w:p>
      <w:pPr>
        <w:spacing w:before="200" w:after="100"/>
      </w:pPr>
      <w:r>
        <w:rPr>
          <w:b/>
          <w:bCs/>
          <w:color w:val="0D1B2A"/>
          <w:sz w:val="22"/>
          <w:szCs w:val="22"/>
        </w:rPr>
        <w:t xml:space="preserve">UK Representative</w:t>
      </w:r>
    </w:p>
    <w:p>
      <w:pPr>
        <w:spacing w:after="120"/>
      </w:pPr>
      <w:r>
        <w:rPr>
          <w:sz w:val="22"/>
          <w:szCs w:val="22"/>
        </w:rPr>
        <w:t xml:space="preserve">If you are located in the United Kingdom, you may also contact our UK representative:</w:t>
      </w:r>
    </w:p>
    <w:p>
      <w:pPr>
        <w:spacing w:before="80" w:after="40"/>
        <w:ind w:left="720"/>
      </w:pPr>
      <w:r>
        <w:rPr>
          <w:sz w:val="22"/>
          <w:szCs w:val="22"/>
        </w:rPr>
        <w:t xml:space="preserve">[UK Representative Name]</w:t>
      </w:r>
    </w:p>
    <w:p>
      <w:pPr>
        <w:spacing w:after="120"/>
        <w:ind w:left="720"/>
      </w:pPr>
      <w:r>
        <w:rPr>
          <w:sz w:val="22"/>
          <w:szCs w:val="22"/>
        </w:rPr>
        <w:t xml:space="preserve">[UK Representative Address and Contact]</w:t>
      </w:r>
    </w:p>
    <w:p>
      <w:pPr>
        <w:spacing w:before="2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2"/>
              <w:left w:val="none" w:color="FFFFFF" w:sz="0"/>
              <w:bottom w:val="none" w:color="FFFFFF" w:sz="0"/>
              <w:right w:val="none" w:color="FFFFFF" w:sz="0"/>
            </w:tcBorders>
          </w:tcPr>
          <w:p/>
        </w:tc>
      </w:tr>
    </w:tbl>
    <w:p>
      <w:pPr>
        <w:spacing w:before="240"/>
        <w:jc w:val="center"/>
      </w:pPr>
      <w:r>
        <w:rPr>
          <w:i/>
          <w:iCs/>
          <w:color w:val="666666"/>
          <w:sz w:val="20"/>
          <w:szCs w:val="20"/>
        </w:rPr>
        <w:t xml:space="preserve">© 2024 IVYAR LLC. All Rights Reserved.</w:t>
      </w:r>
    </w:p>
    <w:p>
      <w:pPr>
        <w:jc w:val="center"/>
      </w:pPr>
      <w:r>
        <w:rPr>
          <w:i/>
          <w:iCs/>
          <w:color w:val="999999"/>
          <w:sz w:val="18"/>
          <w:szCs w:val="18"/>
        </w:rPr>
        <w:t xml:space="preserve">This Privacy Notice is provided in English. Translations may be provided for convenience.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IVYAR Platform — Privacy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2025-12-29T23:30:10.995Z</dcterms:created>
  <dcterms:modified xsi:type="dcterms:W3CDTF">2025-12-29T23:30:10.996Z</dcterms:modified>
</cp:coreProperties>
</file>

<file path=docProps/custom.xml><?xml version="1.0" encoding="utf-8"?>
<Properties xmlns="http://schemas.openxmlformats.org/officeDocument/2006/custom-properties" xmlns:vt="http://schemas.openxmlformats.org/officeDocument/2006/docPropsVTypes"/>
</file>