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5419" w14:textId="1647C215" w:rsidR="00854CC5" w:rsidRDefault="00E33E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CF">
        <w:rPr>
          <w:rFonts w:ascii="Times New Roman" w:hAnsi="Times New Roman" w:cs="Times New Roman"/>
          <w:b/>
          <w:bCs/>
          <w:sz w:val="32"/>
          <w:szCs w:val="32"/>
        </w:rPr>
        <w:t xml:space="preserve">Оценка влияния </w:t>
      </w:r>
      <w:r>
        <w:rPr>
          <w:rFonts w:ascii="Times New Roman" w:hAnsi="Times New Roman" w:cs="Times New Roman"/>
          <w:b/>
          <w:bCs/>
          <w:sz w:val="32"/>
          <w:szCs w:val="32"/>
        </w:rPr>
        <w:t>инструментов</w:t>
      </w:r>
      <w:r w:rsidRPr="00E33ECF">
        <w:rPr>
          <w:rFonts w:ascii="Times New Roman" w:hAnsi="Times New Roman" w:cs="Times New Roman"/>
          <w:b/>
          <w:bCs/>
          <w:sz w:val="32"/>
          <w:szCs w:val="32"/>
        </w:rPr>
        <w:t xml:space="preserve"> кредитной политики на экономический рост России</w:t>
      </w:r>
    </w:p>
    <w:p w14:paraId="27B3BA94" w14:textId="510CBB42" w:rsidR="00E33ECF" w:rsidRDefault="00E33E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Яромир Гусев</w:t>
      </w:r>
    </w:p>
    <w:p w14:paraId="647FF9E4" w14:textId="325FE404" w:rsidR="009345B1" w:rsidRDefault="00E33ECF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работы. </w:t>
      </w:r>
      <w:r>
        <w:rPr>
          <w:rFonts w:ascii="Times New Roman" w:hAnsi="Times New Roman" w:cs="Times New Roman"/>
          <w:sz w:val="24"/>
          <w:szCs w:val="24"/>
        </w:rPr>
        <w:t>Оценка влияния современной денежно-кредитной политики Банка России на экономический рост в стране.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Актуальность работы. </w:t>
      </w:r>
      <w:r>
        <w:rPr>
          <w:rFonts w:ascii="Times New Roman" w:hAnsi="Times New Roman" w:cs="Times New Roman"/>
          <w:sz w:val="24"/>
          <w:szCs w:val="24"/>
        </w:rPr>
        <w:t xml:space="preserve">В условиях глобальных экономических изменений и финансовых турбулентностей, а также ослабления рубля, роста темпов инфляции, введения санкций против ряда российских компаний, пандемии и </w:t>
      </w:r>
      <w:r w:rsidR="009345B1">
        <w:rPr>
          <w:rFonts w:ascii="Times New Roman" w:hAnsi="Times New Roman" w:cs="Times New Roman"/>
          <w:sz w:val="24"/>
          <w:szCs w:val="24"/>
        </w:rPr>
        <w:t>прочего, оценка влияния кредитной политики на экономический рост в стране может помочь ей адаптироваться к внешним воздействиям.</w:t>
      </w:r>
      <w:r w:rsidR="009345B1">
        <w:rPr>
          <w:rFonts w:ascii="Times New Roman" w:hAnsi="Times New Roman" w:cs="Times New Roman"/>
          <w:sz w:val="24"/>
          <w:szCs w:val="24"/>
        </w:rPr>
        <w:br/>
      </w:r>
      <w:r w:rsidR="009345B1">
        <w:rPr>
          <w:rFonts w:ascii="Times New Roman" w:hAnsi="Times New Roman" w:cs="Times New Roman"/>
          <w:b/>
          <w:bCs/>
          <w:sz w:val="24"/>
          <w:szCs w:val="24"/>
        </w:rPr>
        <w:t xml:space="preserve">Методология. </w:t>
      </w:r>
      <w:r w:rsidR="009345B1">
        <w:rPr>
          <w:rFonts w:ascii="Times New Roman" w:hAnsi="Times New Roman" w:cs="Times New Roman"/>
          <w:sz w:val="24"/>
          <w:szCs w:val="24"/>
        </w:rPr>
        <w:t>Регрессионный анализ, позволяющий построить регрессионную модель на основании независимых факторов.</w:t>
      </w:r>
    </w:p>
    <w:p w14:paraId="36794F1C" w14:textId="0210832E" w:rsidR="009345B1" w:rsidRDefault="002676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Экономическая политика каждой страны должна быть направлена на стимулирование экономического развития на стабильном уровне. Один из главных инструментов государства, способствующих комфортному росту экономики – кредитная политика, которая является составной частью общегосударственной экономической политики. В течение последних лет случилось 2 события, существенно повлиявших на мировую экономику: финансово-экономический кризис 2008-2009 гг. и пандемия 2020-2022 гг. </w:t>
      </w:r>
      <w:r w:rsidR="00DA54AB">
        <w:rPr>
          <w:rFonts w:ascii="Times New Roman" w:hAnsi="Times New Roman" w:cs="Times New Roman"/>
          <w:sz w:val="24"/>
          <w:szCs w:val="24"/>
        </w:rPr>
        <w:t>Кроме того, на Россию также повлиял ввод санкций со стороны стран коллективного запада в 2014 году. В связи с этим среднегодовой темп роста мировой экономики в 2009-2020 гг. составил около 4%, а в России примерно 1,4%. Также наряду с низкими темпами роста экономики в большинстве стран наблюдается рост государственного долга, уменьшение потребительского спроса, сокращение бюджетных расходов и пр. Данная экономическая ситуация актуализирует оценку влияния инструментов кредитной политики на экономический рост в различных странах мира.</w:t>
      </w:r>
    </w:p>
    <w:p w14:paraId="7CAAB031" w14:textId="0AE98407" w:rsidR="00E33ECF" w:rsidRDefault="00612B8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Еще раз отметим, что сейчас реализация кредитной политики в России затруднена различными факторами: с</w:t>
      </w:r>
      <w:r w:rsidRPr="00612B83">
        <w:rPr>
          <w:rFonts w:ascii="Times New Roman" w:hAnsi="Times New Roman" w:cs="Times New Roman"/>
          <w:sz w:val="24"/>
          <w:szCs w:val="24"/>
        </w:rPr>
        <w:t>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2B83">
        <w:rPr>
          <w:rFonts w:ascii="Times New Roman" w:hAnsi="Times New Roman" w:cs="Times New Roman"/>
          <w:sz w:val="24"/>
          <w:szCs w:val="24"/>
        </w:rPr>
        <w:t>объема экспортной выручки, отток капитала,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2B83">
        <w:rPr>
          <w:rFonts w:ascii="Times New Roman" w:hAnsi="Times New Roman" w:cs="Times New Roman"/>
          <w:sz w:val="24"/>
          <w:szCs w:val="24"/>
        </w:rPr>
        <w:t>технологические и финансовые санкции со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2B83">
        <w:rPr>
          <w:rFonts w:ascii="Times New Roman" w:hAnsi="Times New Roman" w:cs="Times New Roman"/>
          <w:sz w:val="24"/>
          <w:szCs w:val="24"/>
        </w:rPr>
        <w:t xml:space="preserve">стороны </w:t>
      </w:r>
      <w:r>
        <w:rPr>
          <w:rFonts w:ascii="Times New Roman" w:hAnsi="Times New Roman" w:cs="Times New Roman"/>
          <w:sz w:val="24"/>
          <w:szCs w:val="24"/>
        </w:rPr>
        <w:t xml:space="preserve">запада, </w:t>
      </w:r>
      <w:r w:rsidRPr="00612B83">
        <w:rPr>
          <w:rFonts w:ascii="Times New Roman" w:hAnsi="Times New Roman" w:cs="Times New Roman"/>
          <w:sz w:val="24"/>
          <w:szCs w:val="24"/>
        </w:rPr>
        <w:t>структурные диспропорции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2B83">
        <w:rPr>
          <w:rFonts w:ascii="Times New Roman" w:hAnsi="Times New Roman" w:cs="Times New Roman"/>
          <w:sz w:val="24"/>
          <w:szCs w:val="24"/>
        </w:rPr>
        <w:t>в экономике, деиндустриализация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2B83">
        <w:rPr>
          <w:rFonts w:ascii="Times New Roman" w:hAnsi="Times New Roman" w:cs="Times New Roman"/>
          <w:sz w:val="24"/>
          <w:szCs w:val="24"/>
        </w:rPr>
        <w:t>производительных сил, зависимость 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2B83">
        <w:rPr>
          <w:rFonts w:ascii="Times New Roman" w:hAnsi="Times New Roman" w:cs="Times New Roman"/>
          <w:sz w:val="24"/>
          <w:szCs w:val="24"/>
        </w:rPr>
        <w:t>импорта в базовых секторах экономики</w:t>
      </w:r>
      <w:r>
        <w:rPr>
          <w:rFonts w:ascii="Times New Roman" w:hAnsi="Times New Roman" w:cs="Times New Roman"/>
          <w:sz w:val="24"/>
          <w:szCs w:val="24"/>
        </w:rPr>
        <w:t>. Данные факторы не позволяют экономике России в полной</w:t>
      </w:r>
      <w:r>
        <w:rPr>
          <w:rFonts w:ascii="Times New Roman" w:hAnsi="Times New Roman" w:cs="Times New Roman"/>
          <w:sz w:val="24"/>
          <w:szCs w:val="24"/>
        </w:rPr>
        <w:tab/>
        <w:t xml:space="preserve"> мере использовать все возможности для роста. </w:t>
      </w:r>
    </w:p>
    <w:p w14:paraId="3B7AC75A" w14:textId="6526031C" w:rsidR="00612B83" w:rsidRDefault="00612B8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оценки влияния инструментов кредитной политики на экономический рост России была построена регрессионная модель. За целевую переменную был взят ВВП (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612B8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За независимые переменные были взяты: ключевая ставка в процентах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12B83">
        <w:rPr>
          <w:rFonts w:ascii="Times New Roman" w:hAnsi="Times New Roman" w:cs="Times New Roman"/>
          <w:sz w:val="24"/>
          <w:szCs w:val="24"/>
        </w:rPr>
        <w:t xml:space="preserve">1), </w:t>
      </w:r>
      <w:r>
        <w:rPr>
          <w:rFonts w:ascii="Times New Roman" w:hAnsi="Times New Roman" w:cs="Times New Roman"/>
          <w:sz w:val="24"/>
          <w:szCs w:val="24"/>
        </w:rPr>
        <w:t xml:space="preserve">денежная масса </w:t>
      </w:r>
      <w:r w:rsidR="00171CCB">
        <w:rPr>
          <w:rFonts w:ascii="Times New Roman" w:hAnsi="Times New Roman" w:cs="Times New Roman"/>
          <w:sz w:val="24"/>
          <w:szCs w:val="24"/>
        </w:rPr>
        <w:t xml:space="preserve">(М2) </w:t>
      </w:r>
      <w:r>
        <w:rPr>
          <w:rFonts w:ascii="Times New Roman" w:hAnsi="Times New Roman" w:cs="Times New Roman"/>
          <w:sz w:val="24"/>
          <w:szCs w:val="24"/>
        </w:rPr>
        <w:t>в млрд руб.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12B83">
        <w:rPr>
          <w:rFonts w:ascii="Times New Roman" w:hAnsi="Times New Roman" w:cs="Times New Roman"/>
          <w:sz w:val="24"/>
          <w:szCs w:val="24"/>
        </w:rPr>
        <w:t xml:space="preserve">2), </w:t>
      </w:r>
      <w:r w:rsidR="00BD06EE">
        <w:rPr>
          <w:rFonts w:ascii="Times New Roman" w:hAnsi="Times New Roman" w:cs="Times New Roman"/>
          <w:sz w:val="24"/>
          <w:szCs w:val="24"/>
        </w:rPr>
        <w:t>стоимость бивалютной корзины в руб</w:t>
      </w:r>
      <w:r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12B83">
        <w:rPr>
          <w:rFonts w:ascii="Times New Roman" w:hAnsi="Times New Roman" w:cs="Times New Roman"/>
          <w:sz w:val="24"/>
          <w:szCs w:val="24"/>
        </w:rPr>
        <w:t xml:space="preserve">3), </w:t>
      </w:r>
      <w:r>
        <w:rPr>
          <w:rFonts w:ascii="Times New Roman" w:hAnsi="Times New Roman" w:cs="Times New Roman"/>
          <w:sz w:val="24"/>
          <w:szCs w:val="24"/>
        </w:rPr>
        <w:t>объемы</w:t>
      </w:r>
      <w:r w:rsidR="00BD06EE">
        <w:rPr>
          <w:rFonts w:ascii="Times New Roman" w:hAnsi="Times New Roman" w:cs="Times New Roman"/>
          <w:sz w:val="24"/>
          <w:szCs w:val="24"/>
        </w:rPr>
        <w:t xml:space="preserve"> денежных средств кредитных организаций на корреспондентских счетах в Банке России</w:t>
      </w:r>
      <w:r w:rsidRPr="00612B83"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12B83">
        <w:rPr>
          <w:rFonts w:ascii="Times New Roman" w:hAnsi="Times New Roman" w:cs="Times New Roman"/>
          <w:sz w:val="24"/>
          <w:szCs w:val="24"/>
        </w:rPr>
        <w:t xml:space="preserve">4), </w:t>
      </w:r>
      <w:r>
        <w:rPr>
          <w:rFonts w:ascii="Times New Roman" w:hAnsi="Times New Roman" w:cs="Times New Roman"/>
          <w:sz w:val="24"/>
          <w:szCs w:val="24"/>
        </w:rPr>
        <w:t>темп инфляции в процентах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12B83">
        <w:rPr>
          <w:rFonts w:ascii="Times New Roman" w:hAnsi="Times New Roman" w:cs="Times New Roman"/>
          <w:sz w:val="24"/>
          <w:szCs w:val="24"/>
        </w:rPr>
        <w:t>5)</w:t>
      </w:r>
    </w:p>
    <w:p w14:paraId="7E5243AD" w14:textId="7BA5FBAA" w:rsidR="006B23A3" w:rsidRDefault="006B23A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построена матрица парных коэффициентов корреляции (рис. 1)</w:t>
      </w:r>
    </w:p>
    <w:p w14:paraId="448FE58C" w14:textId="29B49FBF" w:rsidR="006B23A3" w:rsidRDefault="006B23A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EC6261" wp14:editId="32AD5B04">
            <wp:extent cx="4818380" cy="3824605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рис. 1</w:t>
      </w:r>
    </w:p>
    <w:p w14:paraId="116126F3" w14:textId="55C10CCC" w:rsidR="006B23A3" w:rsidRDefault="006B23A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матрице видно, что все факторы имеют связь с объясняющей переменной, а также наличие мультиколлинеарности. Была построена модель на всех факторах (рис. 2)</w:t>
      </w:r>
    </w:p>
    <w:p w14:paraId="6A14D728" w14:textId="0316A78F" w:rsidR="006B23A3" w:rsidRDefault="006B23A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8F659C" wp14:editId="77C6B50C">
            <wp:extent cx="2782582" cy="4071068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101" cy="40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рис. 2</w:t>
      </w:r>
    </w:p>
    <w:p w14:paraId="1726D665" w14:textId="1C6D1787" w:rsidR="006B23A3" w:rsidRDefault="006B23A3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построения качественной и точной модели необходимо провести сравнительную оценку и исключение некоторых факторов. Значимость коэффициента корреляции проверяется при помощи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B23A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критерия Стьюдента. Вычисляется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B23A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критерий Стьюдента для </w:t>
      </w:r>
      <w:r>
        <w:rPr>
          <w:rFonts w:ascii="Times New Roman" w:hAnsi="Times New Roman" w:cs="Times New Roman"/>
          <w:sz w:val="24"/>
          <w:szCs w:val="24"/>
        </w:rPr>
        <w:lastRenderedPageBreak/>
        <w:t>заданного числа степеней свободы 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- 2</w:t>
      </w:r>
      <w:r w:rsidRPr="006B23A3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и уровня значимости </w:t>
      </w:r>
      <w:r w:rsidRPr="006B23A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B23A3">
        <w:rPr>
          <w:rFonts w:ascii="Times New Roman" w:hAnsi="Times New Roman" w:cs="Times New Roman"/>
          <w:sz w:val="24"/>
          <w:szCs w:val="24"/>
        </w:rPr>
        <w:t xml:space="preserve"> = 0,05)</w:t>
      </w:r>
      <w:r>
        <w:rPr>
          <w:rFonts w:ascii="Times New Roman" w:hAnsi="Times New Roman" w:cs="Times New Roman"/>
          <w:sz w:val="24"/>
          <w:szCs w:val="24"/>
        </w:rPr>
        <w:t xml:space="preserve">, после чего он сравнивается с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B23A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критическим. В нашем случае наименьший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B23A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критерий у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B23A3">
        <w:rPr>
          <w:rFonts w:ascii="Times New Roman" w:hAnsi="Times New Roman" w:cs="Times New Roman"/>
          <w:sz w:val="24"/>
          <w:szCs w:val="24"/>
        </w:rPr>
        <w:t>5 (</w:t>
      </w:r>
      <w:r>
        <w:rPr>
          <w:rFonts w:ascii="Times New Roman" w:hAnsi="Times New Roman" w:cs="Times New Roman"/>
          <w:sz w:val="24"/>
          <w:szCs w:val="24"/>
        </w:rPr>
        <w:t>темп инфляции</w:t>
      </w:r>
      <w:r w:rsidRPr="006B23A3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а также у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B23A3"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>наименьший коэффициент корреляции, следовательно его целесообразно исключить из модели. И так далее до момента, пока в модели останутся только статистически значимые факторы (рис. 3)</w:t>
      </w:r>
    </w:p>
    <w:p w14:paraId="202C694A" w14:textId="424D7E74" w:rsidR="00EE107C" w:rsidRDefault="00EE107C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06D35A" wp14:editId="5EF6E70D">
            <wp:extent cx="2558874" cy="33395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500" cy="33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рис.</w:t>
      </w:r>
      <w:r w:rsidR="009A0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39F4E50" w14:textId="77777777" w:rsidR="00EB0861" w:rsidRDefault="00EE107C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видно, что в модели остались только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E107C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E107C">
        <w:rPr>
          <w:rFonts w:ascii="Times New Roman" w:hAnsi="Times New Roman" w:cs="Times New Roman"/>
          <w:sz w:val="24"/>
          <w:szCs w:val="24"/>
        </w:rPr>
        <w:t>2 (</w:t>
      </w:r>
      <w:r w:rsidR="00EB0861">
        <w:rPr>
          <w:rFonts w:ascii="Times New Roman" w:hAnsi="Times New Roman" w:cs="Times New Roman"/>
          <w:sz w:val="24"/>
          <w:szCs w:val="24"/>
        </w:rPr>
        <w:t xml:space="preserve">ключевая ставка и денежная масса </w:t>
      </w:r>
      <w:r w:rsidR="00EB086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EB0861" w:rsidRPr="00EB0861">
        <w:rPr>
          <w:rFonts w:ascii="Times New Roman" w:hAnsi="Times New Roman" w:cs="Times New Roman"/>
          <w:sz w:val="24"/>
          <w:szCs w:val="24"/>
        </w:rPr>
        <w:t xml:space="preserve">2 </w:t>
      </w:r>
      <w:r w:rsidR="00EB0861">
        <w:rPr>
          <w:rFonts w:ascii="Times New Roman" w:hAnsi="Times New Roman" w:cs="Times New Roman"/>
          <w:sz w:val="24"/>
          <w:szCs w:val="24"/>
        </w:rPr>
        <w:t>соответственно).</w:t>
      </w:r>
    </w:p>
    <w:p w14:paraId="40B2F255" w14:textId="0F0BE7CC" w:rsidR="00EB0861" w:rsidRDefault="00EB0861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проведен тест Уайта на гетероскедастичность. </w:t>
      </w:r>
      <w:r w:rsidRPr="00EB0861">
        <w:rPr>
          <w:rFonts w:ascii="Times New Roman" w:hAnsi="Times New Roman" w:cs="Times New Roman"/>
          <w:sz w:val="24"/>
          <w:szCs w:val="24"/>
        </w:rPr>
        <w:t>Гетероскедастичность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B0861">
        <w:rPr>
          <w:rFonts w:ascii="Times New Roman" w:hAnsi="Times New Roman" w:cs="Times New Roman"/>
          <w:sz w:val="24"/>
          <w:szCs w:val="24"/>
        </w:rPr>
        <w:t>статистическое явление, касающееся изменчивости (разброса) ошибок модел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B086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0861">
        <w:rPr>
          <w:rFonts w:ascii="Times New Roman" w:hAnsi="Times New Roman" w:cs="Times New Roman"/>
          <w:sz w:val="24"/>
          <w:szCs w:val="24"/>
        </w:rPr>
        <w:t>Гетероскедастичность возникает, когда дисперсия остатков не постоянна. Иными словами, разброс ошибок изменяется в зависимости от уровня независимых переменных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5DF292" w14:textId="228E4A93" w:rsidR="00EB0861" w:rsidRDefault="00EB0861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010568" wp14:editId="416BBE8C">
            <wp:simplePos x="0" y="0"/>
            <wp:positionH relativeFrom="column">
              <wp:posOffset>1242</wp:posOffset>
            </wp:positionH>
            <wp:positionV relativeFrom="paragraph">
              <wp:posOffset>-2430</wp:posOffset>
            </wp:positionV>
            <wp:extent cx="2127662" cy="636105"/>
            <wp:effectExtent l="0" t="0" r="635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662" cy="63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Исходя из того, что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B086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EB0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Лагранжевского множителя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086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статистики Фишера больше 0.05, есть основания полагать, что нет статистически значимых доказательств гетероскедастичности.</w:t>
      </w:r>
    </w:p>
    <w:p w14:paraId="47CFB455" w14:textId="430CA5F9" w:rsidR="00EB0861" w:rsidRDefault="00EB0861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был построен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B086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B0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EB0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остатков</w:t>
      </w:r>
      <w:r w:rsidR="009A0A07">
        <w:rPr>
          <w:rFonts w:ascii="Times New Roman" w:hAnsi="Times New Roman" w:cs="Times New Roman"/>
          <w:sz w:val="24"/>
          <w:szCs w:val="24"/>
        </w:rPr>
        <w:t xml:space="preserve"> (рис. 4)</w:t>
      </w:r>
      <w:r>
        <w:rPr>
          <w:rFonts w:ascii="Times New Roman" w:hAnsi="Times New Roman" w:cs="Times New Roman"/>
          <w:sz w:val="24"/>
          <w:szCs w:val="24"/>
        </w:rPr>
        <w:t>, исходя из которого можно визуально проверить нормальность распределения остатков.</w:t>
      </w:r>
    </w:p>
    <w:p w14:paraId="40AD99B5" w14:textId="4CCB694A" w:rsidR="00EB0861" w:rsidRDefault="00EB0861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6BA9EF" wp14:editId="3B2479C8">
            <wp:simplePos x="0" y="0"/>
            <wp:positionH relativeFrom="column">
              <wp:posOffset>1242</wp:posOffset>
            </wp:positionH>
            <wp:positionV relativeFrom="paragraph">
              <wp:posOffset>-3700</wp:posOffset>
            </wp:positionV>
            <wp:extent cx="2512613" cy="2014039"/>
            <wp:effectExtent l="0" t="0" r="2540" b="571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13" cy="201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0A07">
        <w:rPr>
          <w:rFonts w:ascii="Times New Roman" w:hAnsi="Times New Roman" w:cs="Times New Roman"/>
          <w:sz w:val="24"/>
          <w:szCs w:val="24"/>
        </w:rPr>
        <w:t>Так как левый хвост ниже линии, а правый хвост выше линии, а точки посередине близки к линии, можно сделать вывод, что остатки скорее всего распределены нормально.</w:t>
      </w:r>
    </w:p>
    <w:p w14:paraId="329320F6" w14:textId="5164587B" w:rsidR="009A0A07" w:rsidRDefault="009A0A07" w:rsidP="00612B83">
      <w:pPr>
        <w:rPr>
          <w:rFonts w:ascii="Times New Roman" w:hAnsi="Times New Roman" w:cs="Times New Roman"/>
          <w:sz w:val="24"/>
          <w:szCs w:val="24"/>
        </w:rPr>
      </w:pPr>
    </w:p>
    <w:p w14:paraId="11A33BBB" w14:textId="3E372EA1" w:rsidR="009A0A07" w:rsidRDefault="009A0A07" w:rsidP="00612B83">
      <w:pPr>
        <w:rPr>
          <w:rFonts w:ascii="Times New Roman" w:hAnsi="Times New Roman" w:cs="Times New Roman"/>
          <w:sz w:val="24"/>
          <w:szCs w:val="24"/>
        </w:rPr>
      </w:pPr>
    </w:p>
    <w:p w14:paraId="6604AB15" w14:textId="5C24213D" w:rsidR="009A0A07" w:rsidRDefault="009A0A07" w:rsidP="00612B83">
      <w:pPr>
        <w:rPr>
          <w:rFonts w:ascii="Times New Roman" w:hAnsi="Times New Roman" w:cs="Times New Roman"/>
          <w:sz w:val="24"/>
          <w:szCs w:val="24"/>
        </w:rPr>
      </w:pPr>
    </w:p>
    <w:p w14:paraId="711C0E7A" w14:textId="05011C23" w:rsidR="009A0A07" w:rsidRDefault="009A0A07" w:rsidP="00612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</w:t>
      </w:r>
    </w:p>
    <w:p w14:paraId="25C8FB36" w14:textId="77777777" w:rsidR="005301ED" w:rsidRPr="0093066A" w:rsidRDefault="009A0A07" w:rsidP="00612B83">
      <w:pPr>
        <w:rPr>
          <w:rFonts w:ascii="Times New Roman" w:hAnsi="Times New Roman" w:cs="Times New Roman"/>
          <w:sz w:val="24"/>
          <w:szCs w:val="24"/>
        </w:rPr>
      </w:pPr>
      <w:r w:rsidRPr="0093066A">
        <w:rPr>
          <w:rFonts w:ascii="Times New Roman" w:hAnsi="Times New Roman" w:cs="Times New Roman"/>
          <w:sz w:val="24"/>
          <w:szCs w:val="24"/>
        </w:rPr>
        <w:lastRenderedPageBreak/>
        <w:t xml:space="preserve">Далее был проведен тест Дарбина-Уотсона на автокорреляцию. Его значение оказалось равно 1,528. </w:t>
      </w:r>
      <w:r w:rsidRPr="0093066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3066A">
        <w:rPr>
          <w:rFonts w:ascii="Times New Roman" w:hAnsi="Times New Roman" w:cs="Times New Roman"/>
          <w:sz w:val="24"/>
          <w:szCs w:val="24"/>
        </w:rPr>
        <w:t xml:space="preserve">1 и </w:t>
      </w:r>
      <w:r w:rsidRPr="0093066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3066A">
        <w:rPr>
          <w:rFonts w:ascii="Times New Roman" w:hAnsi="Times New Roman" w:cs="Times New Roman"/>
          <w:sz w:val="24"/>
          <w:szCs w:val="24"/>
        </w:rPr>
        <w:t>2 (критические значения для теста)</w:t>
      </w:r>
      <w:r w:rsidR="005301ED" w:rsidRPr="0093066A">
        <w:rPr>
          <w:rFonts w:ascii="Times New Roman" w:hAnsi="Times New Roman" w:cs="Times New Roman"/>
          <w:sz w:val="24"/>
          <w:szCs w:val="24"/>
        </w:rPr>
        <w:t xml:space="preserve"> для данной модели равны 1,15 и 1,51 соответственно. </w:t>
      </w:r>
      <w:r w:rsidR="005301ED" w:rsidRPr="001D5EF9">
        <w:rPr>
          <w:rFonts w:ascii="Times New Roman" w:hAnsi="Times New Roman" w:cs="Times New Roman"/>
          <w:sz w:val="24"/>
          <w:szCs w:val="24"/>
        </w:rPr>
        <w:t xml:space="preserve">1,528 &gt; </w:t>
      </w:r>
      <w:r w:rsidR="005301ED" w:rsidRPr="0093066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301ED" w:rsidRPr="001D5EF9">
        <w:rPr>
          <w:rFonts w:ascii="Times New Roman" w:hAnsi="Times New Roman" w:cs="Times New Roman"/>
          <w:sz w:val="24"/>
          <w:szCs w:val="24"/>
        </w:rPr>
        <w:t xml:space="preserve">2, </w:t>
      </w:r>
      <w:r w:rsidR="005301ED" w:rsidRPr="0093066A">
        <w:rPr>
          <w:rFonts w:ascii="Times New Roman" w:hAnsi="Times New Roman" w:cs="Times New Roman"/>
          <w:sz w:val="24"/>
          <w:szCs w:val="24"/>
        </w:rPr>
        <w:t>следовательно можно утверждать, что в модели отсутствует автокорреляция.</w:t>
      </w:r>
    </w:p>
    <w:p w14:paraId="46F1605E" w14:textId="1E254817" w:rsidR="0093066A" w:rsidRDefault="005301ED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93066A">
        <w:rPr>
          <w:rFonts w:ascii="Times New Roman" w:hAnsi="Times New Roman" w:cs="Times New Roman"/>
          <w:sz w:val="24"/>
          <w:szCs w:val="24"/>
        </w:rPr>
        <w:t xml:space="preserve">Для проверки мультиколлинеарности был проведен </w:t>
      </w:r>
      <w:r w:rsidRPr="0093066A">
        <w:rPr>
          <w:rFonts w:ascii="Times New Roman" w:hAnsi="Times New Roman" w:cs="Times New Roman"/>
          <w:sz w:val="24"/>
          <w:szCs w:val="24"/>
          <w:lang w:val="en-US"/>
        </w:rPr>
        <w:t>VIF</w:t>
      </w:r>
      <w:r w:rsidRPr="0093066A">
        <w:rPr>
          <w:rFonts w:ascii="Times New Roman" w:hAnsi="Times New Roman" w:cs="Times New Roman"/>
          <w:sz w:val="24"/>
          <w:szCs w:val="24"/>
        </w:rPr>
        <w:t xml:space="preserve"> – тест.</w:t>
      </w:r>
      <w:r>
        <w:rPr>
          <w:rFonts w:ascii="Times New Roman" w:hAnsi="Times New Roman" w:cs="Times New Roman"/>
        </w:rPr>
        <w:t xml:space="preserve"> </w:t>
      </w:r>
      <w:r w:rsidRPr="005301ED">
        <w:rPr>
          <w:rFonts w:ascii="Times New Roman" w:hAnsi="Times New Roman" w:cs="Times New Roman"/>
          <w:sz w:val="24"/>
          <w:szCs w:val="24"/>
        </w:rPr>
        <w:t>При рассчете VIF для каждой переменной, значение VIF близкое к 1 указывает на отсутствие</w:t>
      </w:r>
      <w:r w:rsidR="0093066A">
        <w:rPr>
          <w:rFonts w:ascii="Times New Roman" w:hAnsi="Times New Roman" w:cs="Times New Roman"/>
          <w:sz w:val="24"/>
          <w:szCs w:val="24"/>
        </w:rPr>
        <w:t xml:space="preserve"> </w:t>
      </w:r>
      <w:r w:rsidRPr="005301ED">
        <w:rPr>
          <w:rFonts w:ascii="Times New Roman" w:hAnsi="Times New Roman" w:cs="Times New Roman"/>
          <w:sz w:val="24"/>
          <w:szCs w:val="24"/>
        </w:rPr>
        <w:t>мультиколлинеарности, а более высокие значения могут свидетельствовать о наличии мультиколлинеарности. Обычно, если VIF превышает 10 (или даже 5, в зависимости от того, какие критерии используются), это может считаться сигналом о проблеме мультиколлинеарности.</w:t>
      </w:r>
      <w:r>
        <w:rPr>
          <w:rFonts w:ascii="Times New Roman" w:hAnsi="Times New Roman" w:cs="Times New Roman"/>
          <w:sz w:val="24"/>
          <w:szCs w:val="24"/>
        </w:rPr>
        <w:t xml:space="preserve"> В данном случае для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301E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301ED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значения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VIF</w:t>
      </w:r>
      <w:r w:rsidRPr="005301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равны соответственно</w:t>
      </w:r>
      <w:r w:rsidR="009306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1,3 и 1,3 (в модели 2 фактора), </w:t>
      </w:r>
      <w:r w:rsidR="0093066A">
        <w:rPr>
          <w:rFonts w:ascii="Times New Roman" w:hAnsi="Times New Roman" w:cs="Times New Roman"/>
          <w:sz w:val="24"/>
          <w:szCs w:val="24"/>
        </w:rPr>
        <w:t>что свидетельствует об отстуствии мультиколлинеарности.</w:t>
      </w:r>
    </w:p>
    <w:p w14:paraId="174B5195" w14:textId="3F856F96" w:rsidR="0093066A" w:rsidRDefault="0093066A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6DC1A34" w14:textId="1662397E" w:rsidR="0093066A" w:rsidRDefault="0093066A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была проверена статистическая значимость всех факторов и самого уравнения.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3066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критическое = 2,07. </w:t>
      </w:r>
      <w:r w:rsidR="00FE1409" w:rsidRPr="00FE1409">
        <w:rPr>
          <w:rFonts w:ascii="Times New Roman" w:hAnsi="Times New Roman" w:cs="Times New Roman"/>
          <w:sz w:val="24"/>
          <w:szCs w:val="24"/>
        </w:rPr>
        <w:t>|</w:t>
      </w:r>
      <w:r w:rsidR="00FE140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E1409" w:rsidRPr="00FE1409">
        <w:rPr>
          <w:rFonts w:ascii="Times New Roman" w:hAnsi="Times New Roman" w:cs="Times New Roman"/>
          <w:sz w:val="24"/>
          <w:szCs w:val="24"/>
        </w:rPr>
        <w:t>-</w:t>
      </w:r>
      <w:r w:rsidR="00FE1409">
        <w:rPr>
          <w:rFonts w:ascii="Times New Roman" w:hAnsi="Times New Roman" w:cs="Times New Roman"/>
          <w:sz w:val="24"/>
          <w:szCs w:val="24"/>
        </w:rPr>
        <w:t>статистика</w:t>
      </w:r>
      <w:r w:rsidR="00FE1409" w:rsidRPr="00FE1409">
        <w:rPr>
          <w:rFonts w:ascii="Times New Roman" w:hAnsi="Times New Roman" w:cs="Times New Roman"/>
          <w:sz w:val="24"/>
          <w:szCs w:val="24"/>
        </w:rPr>
        <w:t>|</w:t>
      </w:r>
      <w:r w:rsidR="00FE1409">
        <w:rPr>
          <w:rFonts w:ascii="Times New Roman" w:hAnsi="Times New Roman" w:cs="Times New Roman"/>
          <w:sz w:val="24"/>
          <w:szCs w:val="24"/>
        </w:rPr>
        <w:t xml:space="preserve"> для каждого фактора больше </w:t>
      </w:r>
      <w:r w:rsidR="00FE1409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E1409" w:rsidRPr="00FE1409">
        <w:rPr>
          <w:rFonts w:ascii="Times New Roman" w:hAnsi="Times New Roman" w:cs="Times New Roman"/>
          <w:sz w:val="24"/>
          <w:szCs w:val="24"/>
        </w:rPr>
        <w:t>-</w:t>
      </w:r>
      <w:r w:rsidR="00FE1409">
        <w:rPr>
          <w:rFonts w:ascii="Times New Roman" w:hAnsi="Times New Roman" w:cs="Times New Roman"/>
          <w:sz w:val="24"/>
          <w:szCs w:val="24"/>
        </w:rPr>
        <w:t>критического, следовательно все факторы значимы.</w:t>
      </w:r>
      <w:r w:rsidR="00FE1409" w:rsidRPr="00FE1409">
        <w:rPr>
          <w:rFonts w:ascii="Times New Roman" w:hAnsi="Times New Roman" w:cs="Times New Roman"/>
          <w:sz w:val="24"/>
          <w:szCs w:val="24"/>
        </w:rPr>
        <w:t xml:space="preserve"> </w:t>
      </w:r>
      <w:r w:rsidR="00FE140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E1409" w:rsidRPr="00FE1409">
        <w:rPr>
          <w:rFonts w:ascii="Times New Roman" w:hAnsi="Times New Roman" w:cs="Times New Roman"/>
          <w:sz w:val="24"/>
          <w:szCs w:val="24"/>
        </w:rPr>
        <w:t>-</w:t>
      </w:r>
      <w:r w:rsidR="00FE1409">
        <w:rPr>
          <w:rFonts w:ascii="Times New Roman" w:hAnsi="Times New Roman" w:cs="Times New Roman"/>
          <w:sz w:val="24"/>
          <w:szCs w:val="24"/>
        </w:rPr>
        <w:t xml:space="preserve">критическое = 2,05. </w:t>
      </w:r>
      <w:r w:rsidR="00FE140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E1409" w:rsidRPr="00FE1409">
        <w:rPr>
          <w:rFonts w:ascii="Times New Roman" w:hAnsi="Times New Roman" w:cs="Times New Roman"/>
          <w:sz w:val="24"/>
          <w:szCs w:val="24"/>
        </w:rPr>
        <w:t>-</w:t>
      </w:r>
      <w:r w:rsidR="00FE1409">
        <w:rPr>
          <w:rFonts w:ascii="Times New Roman" w:hAnsi="Times New Roman" w:cs="Times New Roman"/>
          <w:sz w:val="24"/>
          <w:szCs w:val="24"/>
        </w:rPr>
        <w:t xml:space="preserve">статистика </w:t>
      </w:r>
      <w:r w:rsidR="00FE1409" w:rsidRPr="00FE1409">
        <w:rPr>
          <w:rFonts w:ascii="Times New Roman" w:hAnsi="Times New Roman" w:cs="Times New Roman"/>
          <w:sz w:val="24"/>
          <w:szCs w:val="24"/>
        </w:rPr>
        <w:t xml:space="preserve">&gt; </w:t>
      </w:r>
      <w:r w:rsidR="00FE140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E1409" w:rsidRPr="00FE1409">
        <w:rPr>
          <w:rFonts w:ascii="Times New Roman" w:hAnsi="Times New Roman" w:cs="Times New Roman"/>
          <w:sz w:val="24"/>
          <w:szCs w:val="24"/>
        </w:rPr>
        <w:t>-</w:t>
      </w:r>
      <w:r w:rsidR="00FE1409">
        <w:rPr>
          <w:rFonts w:ascii="Times New Roman" w:hAnsi="Times New Roman" w:cs="Times New Roman"/>
          <w:sz w:val="24"/>
          <w:szCs w:val="24"/>
        </w:rPr>
        <w:t>критическое, следовательно уравнение также значимо.</w:t>
      </w:r>
    </w:p>
    <w:p w14:paraId="11339596" w14:textId="4DC0CC06" w:rsidR="00FE140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85FE5FB" w14:textId="0CAB4081" w:rsidR="00FE140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уравнение и все факторы значимы, отсутствует гетероскедастичность, автокорреляция и мультиколлинеарность, а также остатки распределены нормально, можно считать, что модель адекватна.</w:t>
      </w:r>
    </w:p>
    <w:p w14:paraId="20D65920" w14:textId="3C133C9D" w:rsidR="00FE140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9091D97" w14:textId="6DED1BB6" w:rsidR="00FE140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Используя данные из рис. 3, составим уравнение регрессии:</w:t>
      </w:r>
    </w:p>
    <w:p w14:paraId="3C4CF699" w14:textId="7B954048" w:rsidR="00FE1409" w:rsidRPr="001D5EF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D5EF9">
        <w:rPr>
          <w:rFonts w:ascii="Times New Roman" w:hAnsi="Times New Roman" w:cs="Times New Roman"/>
          <w:sz w:val="24"/>
          <w:szCs w:val="24"/>
        </w:rPr>
        <w:t xml:space="preserve"> = 22270 – 620,4689 *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D5EF9">
        <w:rPr>
          <w:rFonts w:ascii="Times New Roman" w:hAnsi="Times New Roman" w:cs="Times New Roman"/>
          <w:sz w:val="24"/>
          <w:szCs w:val="24"/>
        </w:rPr>
        <w:t xml:space="preserve">1 + 1,9372 *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D5EF9">
        <w:rPr>
          <w:rFonts w:ascii="Times New Roman" w:hAnsi="Times New Roman" w:cs="Times New Roman"/>
          <w:sz w:val="24"/>
          <w:szCs w:val="24"/>
        </w:rPr>
        <w:t>2</w:t>
      </w:r>
    </w:p>
    <w:p w14:paraId="27D01766" w14:textId="751E7D97" w:rsidR="00FE1409" w:rsidRPr="001D5EF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DC50C62" w14:textId="2ED6A33D" w:rsidR="00FE140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детерминации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E1409">
        <w:rPr>
          <w:rFonts w:ascii="Times New Roman" w:hAnsi="Times New Roman" w:cs="Times New Roman"/>
          <w:sz w:val="24"/>
          <w:szCs w:val="24"/>
        </w:rPr>
        <w:t xml:space="preserve">^2 = 0,991, </w:t>
      </w:r>
      <w:r>
        <w:rPr>
          <w:rFonts w:ascii="Times New Roman" w:hAnsi="Times New Roman" w:cs="Times New Roman"/>
          <w:sz w:val="24"/>
          <w:szCs w:val="24"/>
        </w:rPr>
        <w:t>что говорит о сильной зависимости между уровнем ВВП и переменными факторами.</w:t>
      </w:r>
    </w:p>
    <w:p w14:paraId="7B4132D3" w14:textId="0F47B66D" w:rsidR="00FE1409" w:rsidRDefault="00FE1409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EE0E785" w14:textId="126E6378" w:rsidR="00534678" w:rsidRDefault="00FE1409" w:rsidP="00534678">
      <w:pPr>
        <w:pStyle w:val="HTML"/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уменьшении </w:t>
      </w:r>
      <w:r w:rsidR="00534678">
        <w:rPr>
          <w:rFonts w:ascii="Times New Roman" w:hAnsi="Times New Roman" w:cs="Times New Roman"/>
          <w:sz w:val="24"/>
          <w:szCs w:val="24"/>
        </w:rPr>
        <w:t xml:space="preserve">целевой ставки с 6,75 до 5 при прежнем уровне денежной массы М2, ВВП стало равно </w:t>
      </w:r>
      <w:r w:rsidR="00534678" w:rsidRPr="00534678">
        <w:rPr>
          <w:rFonts w:ascii="Times New Roman" w:hAnsi="Times New Roman" w:cs="Times New Roman"/>
          <w:sz w:val="24"/>
          <w:szCs w:val="24"/>
        </w:rPr>
        <w:t>132792.928 с доверительным интервалом [128758.016, 136827.841] (</w:t>
      </w:r>
      <w:r w:rsidR="00534678">
        <w:rPr>
          <w:rFonts w:ascii="Times New Roman" w:hAnsi="Times New Roman" w:cs="Times New Roman"/>
          <w:sz w:val="24"/>
          <w:szCs w:val="24"/>
        </w:rPr>
        <w:t xml:space="preserve">до этого было 131014). </w:t>
      </w:r>
    </w:p>
    <w:p w14:paraId="4FE54900" w14:textId="77777777" w:rsidR="00534678" w:rsidRDefault="00534678" w:rsidP="00534678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3B0033B" w14:textId="13D9A759" w:rsidR="00534678" w:rsidRDefault="00534678" w:rsidP="00534678">
      <w:pPr>
        <w:pStyle w:val="HTML"/>
        <w:rPr>
          <w:rFonts w:ascii="Times New Roman" w:hAnsi="Times New Roman" w:cs="Times New Roman"/>
          <w:sz w:val="24"/>
          <w:szCs w:val="24"/>
        </w:rPr>
      </w:pPr>
      <w:r w:rsidRPr="00534678">
        <w:rPr>
          <w:rFonts w:ascii="Times New Roman" w:hAnsi="Times New Roman" w:cs="Times New Roman"/>
          <w:b/>
          <w:bCs/>
          <w:sz w:val="24"/>
          <w:szCs w:val="24"/>
        </w:rPr>
        <w:t>Вывод.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4678">
        <w:rPr>
          <w:rFonts w:ascii="Times New Roman" w:hAnsi="Times New Roman" w:cs="Times New Roman"/>
          <w:sz w:val="24"/>
          <w:szCs w:val="24"/>
        </w:rPr>
        <w:t>Большое количество неиспользуемых свободных денежных средств в национальной экономике является фактором, способствующим застою из-за сниженного денежного потенциала, связанного с повышением денежной массы. Значительное опережение роста депозитного рынка по сравнению с кредитным оказывает неблагоприятное воздействие на экономический эффект от функционирования банковской системы. Несмотря на значительный денежный оборот, банки сталкиваются с трудностью в нахождении пользователей для предоставления кредитных ресурсов.</w:t>
      </w:r>
    </w:p>
    <w:p w14:paraId="00CD07C2" w14:textId="4278DC0E" w:rsidR="00534678" w:rsidRPr="00534678" w:rsidRDefault="00534678" w:rsidP="00534678">
      <w:pPr>
        <w:pStyle w:val="HTML"/>
        <w:rPr>
          <w:rFonts w:ascii="Times New Roman" w:hAnsi="Times New Roman" w:cs="Times New Roman"/>
          <w:sz w:val="24"/>
          <w:szCs w:val="24"/>
        </w:rPr>
      </w:pPr>
      <w:r w:rsidRPr="00534678">
        <w:rPr>
          <w:rFonts w:ascii="Times New Roman" w:hAnsi="Times New Roman" w:cs="Times New Roman"/>
          <w:sz w:val="24"/>
          <w:szCs w:val="24"/>
        </w:rPr>
        <w:t>Результаты проведенного анализа позволяют заключить, что современная экономическая ситуация в России, отмеченная замедлением темпов экономического роста и производительности, указывает на применение Банком России политики, направленной на сдерживание, а не на стимулирование денежно-кредитных процессов.</w:t>
      </w:r>
    </w:p>
    <w:p w14:paraId="4D2E2B1E" w14:textId="0767F472" w:rsidR="00FE1409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534678">
        <w:rPr>
          <w:rFonts w:ascii="Times New Roman" w:hAnsi="Times New Roman" w:cs="Times New Roman"/>
          <w:sz w:val="24"/>
          <w:szCs w:val="24"/>
        </w:rPr>
        <w:t xml:space="preserve">Обеспечение устойчивых темпов экономического роста и повышение благосостояния общества сопряжены с несколькими ключевыми условиями. Среди них важными являются уменьшение уязвимости экономики к изменениям во внешних условиях и решение структурных проблем внутри страны. Эти проблемы проявились не только в период экономического спада после снижения цен на нефть в 2014 году, но и в предшествующем этому периоде замедленной экономической динамики, даже при благоприятных условиях на мировых товарных рынках. Для достижения устойчивого экономического роста необходим переход к инвестиционно-инновационной модели, что </w:t>
      </w:r>
      <w:r w:rsidRPr="00534678">
        <w:rPr>
          <w:rFonts w:ascii="Times New Roman" w:hAnsi="Times New Roman" w:cs="Times New Roman"/>
          <w:sz w:val="24"/>
          <w:szCs w:val="24"/>
        </w:rPr>
        <w:lastRenderedPageBreak/>
        <w:t>невозможно без повышения эффективности инструментов денежно-кредитной политики государства.</w:t>
      </w:r>
    </w:p>
    <w:p w14:paraId="3A1961F3" w14:textId="7F328C2C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ключевых шагов к совершенствованию денежно-кредитной политики – снижение ключевой ставки в стране для роста денежного предложения и стимулирования развития реального сектора экономики.</w:t>
      </w:r>
    </w:p>
    <w:p w14:paraId="513882CC" w14:textId="7FFEAE09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8679EFB" w14:textId="6A4AEC02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74CE6FC" w14:textId="3C463EB8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DE0E545" w14:textId="67C86C65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EF340ED" w14:textId="250E7C98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7CEAB69" w14:textId="0E92ACF8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C02670F" w14:textId="7338706E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73E1ED3" w14:textId="05317007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4A37B2F" w14:textId="1EB98E39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F91D382" w14:textId="4C73DE4B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423C9D3" w14:textId="3C0270AE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4A9928F" w14:textId="38685F80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7248C64" w14:textId="702A9877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D27F9A7" w14:textId="71A14F36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468B8C3" w14:textId="5084EB47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642E5DA" w14:textId="1F78949E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FEA429E" w14:textId="090AA3B5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837176A" w14:textId="748A3457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506F11A" w14:textId="265C6A42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2652A89" w14:textId="19F1C7A1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B841B5D" w14:textId="461AC19C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B825D35" w14:textId="1671D8D7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8985FE9" w14:textId="78A44322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0B07938" w14:textId="1D273B94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5255544" w14:textId="0444C389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D0E0A3A" w14:textId="7EAB3A65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9EC210B" w14:textId="42BC4949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C544864" w14:textId="5869FA1F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4AD5046" w14:textId="37ED858A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E28DF91" w14:textId="71158EBF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31223C1" w14:textId="49F29262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79E68952" w14:textId="1C2F192F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55E5E66E" w14:textId="6FC5F94D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8F9FC08" w14:textId="49467887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F8AA0AC" w14:textId="7442A0DA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B21B824" w14:textId="17A21B1E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0F6FFCD" w14:textId="5EC03443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2D733E5" w14:textId="44D209F6" w:rsid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48D5025A" w14:textId="77777777" w:rsidR="00534678" w:rsidRPr="00534678" w:rsidRDefault="00534678" w:rsidP="0093066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A0D56DC" w14:textId="65061EDE" w:rsidR="0093066A" w:rsidRDefault="00534678" w:rsidP="0093066A">
      <w:pPr>
        <w:pStyle w:val="HTML"/>
        <w:rPr>
          <w:rFonts w:ascii="Times New Roman" w:hAnsi="Times New Roman" w:cs="Times New Roman"/>
          <w:b/>
          <w:bCs/>
          <w:sz w:val="24"/>
          <w:szCs w:val="24"/>
        </w:rPr>
      </w:pPr>
      <w:r w:rsidRPr="00534678">
        <w:rPr>
          <w:rFonts w:ascii="Times New Roman" w:hAnsi="Times New Roman" w:cs="Times New Roman"/>
          <w:b/>
          <w:bCs/>
          <w:sz w:val="24"/>
          <w:szCs w:val="24"/>
        </w:rPr>
        <w:t>Источники:</w:t>
      </w:r>
    </w:p>
    <w:p w14:paraId="36DB1B44" w14:textId="59903344" w:rsid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https://уровень-инфляции.рф/таблицы-инфляции</w:t>
        </w:r>
      </w:hyperlink>
    </w:p>
    <w:p w14:paraId="0C0BAADF" w14:textId="6F44BD1F" w:rsid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https://base.garant.ru/10180094/</w:t>
        </w:r>
      </w:hyperlink>
    </w:p>
    <w:p w14:paraId="3B1834D7" w14:textId="72CED459" w:rsid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https://www.cbr.ru/hd_base/</w:t>
        </w:r>
      </w:hyperlink>
    </w:p>
    <w:p w14:paraId="03B55033" w14:textId="7969DACE" w:rsid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https://doi.org/10.1016/j.jinteco.2016.10.002</w:t>
        </w:r>
      </w:hyperlink>
    </w:p>
    <w:p w14:paraId="6CFC15D5" w14:textId="17DECA9D" w:rsid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https://ru.wikipedia.org/wiki/Валовой_внутренний_продукт_России</w:t>
        </w:r>
      </w:hyperlink>
    </w:p>
    <w:p w14:paraId="590F9EC2" w14:textId="3E77C7D3" w:rsid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https://fred.stlouisfed.org/series/MYAGM2RUM189N</w:t>
        </w:r>
      </w:hyperlink>
    </w:p>
    <w:p w14:paraId="1439CBBD" w14:textId="40D4A1B2" w:rsidR="00534678" w:rsidRPr="00534678" w:rsidRDefault="001D5EF9" w:rsidP="0093066A">
      <w:pPr>
        <w:pStyle w:val="HTML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534678" w:rsidRPr="00534678">
          <w:rPr>
            <w:rStyle w:val="a3"/>
            <w:rFonts w:ascii="Times New Roman" w:hAnsi="Times New Roman" w:cs="Times New Roman"/>
            <w:sz w:val="24"/>
            <w:szCs w:val="24"/>
          </w:rPr>
          <w:t>https://www.imf.org/en/Data</w:t>
        </w:r>
      </w:hyperlink>
    </w:p>
    <w:sectPr w:rsidR="00534678" w:rsidRPr="00534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52"/>
    <w:rsid w:val="00123970"/>
    <w:rsid w:val="00171CCB"/>
    <w:rsid w:val="001D5EF9"/>
    <w:rsid w:val="00267664"/>
    <w:rsid w:val="005301ED"/>
    <w:rsid w:val="00534678"/>
    <w:rsid w:val="00612B83"/>
    <w:rsid w:val="006B23A3"/>
    <w:rsid w:val="00854CC5"/>
    <w:rsid w:val="0093066A"/>
    <w:rsid w:val="009345B1"/>
    <w:rsid w:val="00942788"/>
    <w:rsid w:val="009A0A07"/>
    <w:rsid w:val="00BD06EE"/>
    <w:rsid w:val="00DA54AB"/>
    <w:rsid w:val="00E33ECF"/>
    <w:rsid w:val="00EB0861"/>
    <w:rsid w:val="00EE107C"/>
    <w:rsid w:val="00FD6152"/>
    <w:rsid w:val="00FE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690EC"/>
  <w15:chartTrackingRefBased/>
  <w15:docId w15:val="{D971509A-770D-4CB9-8605-E2ADBDAC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30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301E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53467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467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346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i.org/10.1016/j.jinteco.2016.10.00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br.ru/hd_bas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mf.org/en/Dat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base.garant.ru/10180094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fred.stlouisfed.org/series/MYAGM2RUM189N" TargetMode="External"/><Relationship Id="rId10" Type="http://schemas.openxmlformats.org/officeDocument/2006/relationships/hyperlink" Target="https://&#1091;&#1088;&#1086;&#1074;&#1077;&#1085;&#1100;-&#1080;&#1085;&#1092;&#1083;&#1103;&#1094;&#1080;&#1080;.&#1088;&#1092;/&#1090;&#1072;&#1073;&#1083;&#1080;&#1094;&#1099;-&#1080;&#1085;&#1092;&#1083;&#1103;&#1094;&#1080;&#1080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u.wikipedia.org/wiki/&#1042;&#1072;&#1083;&#1086;&#1074;&#1086;&#1081;_&#1074;&#1085;&#1091;&#1090;&#1088;&#1077;&#1085;&#1085;&#1080;&#1081;_&#1087;&#1088;&#1086;&#1076;&#1091;&#1082;&#1090;_&#1056;&#1086;&#1089;&#1089;&#1080;&#1080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D7DB3-4997-4EC5-A8CD-F0787C5E9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Яромир Гусев</dc:creator>
  <cp:keywords/>
  <dc:description/>
  <cp:lastModifiedBy>Яромир Гусев</cp:lastModifiedBy>
  <cp:revision>4</cp:revision>
  <dcterms:created xsi:type="dcterms:W3CDTF">2023-12-10T15:58:00Z</dcterms:created>
  <dcterms:modified xsi:type="dcterms:W3CDTF">2024-02-09T17:29:00Z</dcterms:modified>
</cp:coreProperties>
</file>