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firebase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באנדרואיד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tools -&gt; android -&gt; sdk manager -&gt; android sdk -&gt; sdk tools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ומסורבלת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time database -&gt; save and retrieve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באנדרואיד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וללחוץ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וללחוץ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Firabase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/>
        <w:drawing>
          <wp:inline distB="0" distT="0" distL="0" distR="0">
            <wp:extent cx="5274310" cy="370078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43125" cy="400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"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/>
        <w:drawing>
          <wp:inline distB="0" distT="0" distL="0" distR="0">
            <wp:extent cx="5274310" cy="241427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ולוחצים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3568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real time database -&gt; accept changes.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274310" cy="30308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ind w:firstLine="360"/>
        <w:rPr/>
      </w:pP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bidi w:val="1"/>
        <w:ind w:firstLine="360"/>
        <w:rPr/>
      </w:pPr>
      <w:r w:rsidDel="00000000" w:rsidR="00000000" w:rsidRPr="00000000">
        <w:rPr/>
        <w:drawing>
          <wp:inline distB="0" distT="0" distL="0" distR="0">
            <wp:extent cx="2733675" cy="1371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259546" cy="398005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546" cy="398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18503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349694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288099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יתפח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24498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