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 xmlns:a="http://schemas.openxmlformats.org/drawingml/2006/main" xmlns:c="http://schemas.openxmlformats.org/drawingml/2006/chart">
          <wp:inline distT="0" distB="0" distL="0" distR="0">
            <wp:extent cx="5940000" cy="3600000"/>
            <wp:effectExtent l="0" t="0" r="0" b="0"/>
            <wp:docPr id="1" name="Chart 1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Times New Roman" w:hAnsi="Times New Roman"/>
          <w:i/>
          <w:sz w:val="22"/>
        </w:rPr>
        <w:t>Рисунок 1 – Распределение ответов респондентов на вопрос: «Test»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ru-RU"/>
  <c:chart>
    <c:autoTitleDeleted val="1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</c:v>
                </c:pt>
              </c:strCache>
            </c:strRef>
          </c:tx>
          <c:spPr>
            <a:solidFill>
              <a:srgbClr val="DC3545"/>
            </a:solidFill>
            <a:ln>
              <a:noFill/>
            </a:ln>
          </c:spPr>
          <c:invertIfNegative val="0"/>
          <c:dLbls>
            <c:numFmt formatCode="0&quot;%&quot;" sourceLinked="0"/>
            <c:spPr>
              <a:noFill/>
              <a:ln>
                <a:noFill/>
              </a:ln>
            </c:spPr>
            <c:txPr>
              <a:bodyPr wrap="square" lIns="38100" tIns="19050" rIns="38100" bIns="19050" anchor="ctr"/>
              <a:lstStyle/>
              <a:p>
                <a:pPr>
                  <a:defRPr sz="1200" b="1">
                    <a:solidFill>
                      <a:srgbClr val="000000"/>
                    </a:solidFill>
                    <a:latin typeface="Times New Roman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60.0</c:v>
                </c:pt>
                <c:pt idx="1">
                  <c:v>40.0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</c:v>
                </c:pt>
              </c:strCache>
            </c:strRef>
          </c:tx>
          <c:spPr>
            <a:solidFill>
              <a:srgbClr val="0D6EFD"/>
            </a:solidFill>
            <a:ln>
              <a:noFill/>
            </a:ln>
          </c:spPr>
          <c:invertIfNegative val="0"/>
          <c:dLbls>
            <c:numFmt formatCode="0&quot;%&quot;" sourceLinked="0"/>
            <c:spPr>
              <a:noFill/>
              <a:ln>
                <a:noFill/>
              </a:ln>
            </c:spPr>
            <c:txPr>
              <a:bodyPr wrap="square" lIns="38100" tIns="19050" rIns="38100" bIns="19050" anchor="ctr"/>
              <a:lstStyle/>
              <a:p>
                <a:pPr>
                  <a:defRPr sz="1200" b="1">
                    <a:solidFill>
                      <a:srgbClr val="000000"/>
                    </a:solidFill>
                    <a:latin typeface="Times New Roman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40.0</c:v>
                </c:pt>
                <c:pt idx="1">
                  <c:v>60.0</c:v>
                </c:pt>
              </c:numCache>
            </c:numRef>
          </c:val>
        </c:ser>
        <c:gapWidth val="60"/>
        <c:overlap val="100"/>
        <c:axId val="100"/>
        <c:axId val="101"/>
      </c:barChart>
      <c:catAx>
        <c:axId val="100"/>
        <c:scaling>
          <c:orientation val="minMax"/>
        </c:scaling>
        <c:delete val="0"/>
        <c:axPos val="b"/>
        <c:majorTickMark val="none"/>
        <c:minorTickMark val="none"/>
        <c:crossAx val="101"/>
      </c:catAx>
      <c:valAx>
        <c:axId val="101"/>
        <c:scaling>
          <c:orientation val="minMax"/>
        </c:scaling>
        <c:delete val="1"/>
        <c:axPos val="l"/>
        <c:crossAx val="100"/>
      </c:valAx>
    </c:plotArea>
    <c:legend>
      <c:legendPos val="b"/>
      <c:layout>
        <c:manualLayout>
          <c:xMode val="edge"/>
          <c:yMode val="edge"/>
          <c:x val="0"/>
          <c:y val="0.88"/>
          <c:w val="1"/>
          <c:h val="0.12"/>
        </c:manualLayout>
      </c:layout>
      <c:overlay val="0"/>
    </c:legend>
    <c:plotVisOnly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