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 xmlns:a="http://schemas.openxmlformats.org/drawingml/2006/main" xmlns:c="http://schemas.openxmlformats.org/drawingml/2006/chart">
          <wp:inline distT="0" distB="0" distL="0" distR="0">
            <wp:extent cx="5940000" cy="3600000"/>
            <wp:effectExtent l="0" t="0" r="0" b="0"/>
            <wp:docPr id="1" name="Chart 1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2"/>
        </w:rPr>
        <w:t>Рисунок 1 – Распределение ответов респондентов на вопрос: «Q1»</w:t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5940000" cy="3600000"/>
            <wp:effectExtent l="0" t="0" r="0" b="0"/>
            <wp:docPr id="2" name="Chart 2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2"/>
        </w:rPr>
        <w:t>Рисунок 2 – Распределение ответов респондентов на вопрос: «Q2»</w:t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5940000" cy="3240000"/>
            <wp:effectExtent l="0" t="0" r="0" b="0"/>
            <wp:docPr id="3" name="Chart 3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5940000" cy="3240000"/>
            <wp:effectExtent l="0" t="0" r="0" b="0"/>
            <wp:docPr id="4" name="Chart 4"/>
            <wp:cNvGraphicFramePr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2"/>
        </w:rPr>
        <w:t>Рисунок 3 – Распределение ответов респондентов на вопрос: «Q3»</w:t>
      </w:r>
    </w:p>
    <w:p>
      <w:pPr>
        <w:spacing w:before="40" w:after="80"/>
        <w:jc w:val="center"/>
      </w:pPr>
      <w:r>
        <w:rPr>
          <w:rFonts w:ascii="Times New Roman" w:hAnsi="Times New Roman"/>
          <w:i/>
          <w:sz w:val="22"/>
        </w:rPr>
        <w:t>Таблица 1 – Распределение ответов респондентов на вопрос: «Q4»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Ответ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A, кол-во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B, кол-во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A,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B, %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60.0%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40.0%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40.0%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60.0%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Всего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100%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100%</w:t>
            </w:r>
          </w:p>
        </w:tc>
      </w:tr>
    </w:tbl>
    <w:p>
      <w:r>
        <w:drawing xmlns:a="http://schemas.openxmlformats.org/drawingml/2006/main" xmlns:c="http://schemas.openxmlformats.org/drawingml/2006/chart">
          <wp:inline distT="0" distB="0" distL="0" distR="0">
            <wp:extent cx="5940000" cy="3600000"/>
            <wp:effectExtent l="0" t="0" r="0" b="0"/>
            <wp:docPr id="5" name="Chart 5"/>
            <wp:cNvGraphicFramePr/>
            <a:graphic>
              <a:graphicData uri="http://schemas.openxmlformats.org/drawingml/2006/chart">
                <c:chart r:id="rId13"/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2"/>
        </w:rPr>
        <w:t>Рисунок 4 – Распределение ответов респондентов на вопрос: «Q4»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Relationship Id="rId13" Type="http://schemas.openxmlformats.org/officeDocument/2006/relationships/chart" Target="charts/chart5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4.xlsx"/></Relationships>
</file>

<file path=word/charts/_rels/chart5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rgbClr val="DC3545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60.0</c:v>
                </c:pt>
                <c:pt idx="1">
                  <c:v>40.0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</c:v>
                </c:pt>
              </c:strCache>
            </c:strRef>
          </c:tx>
          <c:spPr>
            <a:solidFill>
              <a:srgbClr val="0D6EFD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40.0</c:v>
                </c:pt>
                <c:pt idx="1">
                  <c:v>60.0</c:v>
                </c:pt>
              </c:numCache>
            </c:numRef>
          </c:val>
        </c:ser>
        <c:gapWidth val="80"/>
        <c:axId val="100"/>
        <c:axId val="101"/>
      </c:barChart>
      <c:catAx>
        <c:axId val="100"/>
        <c:scaling>
          <c:orientation val="minMax"/>
        </c:scaling>
        <c:delete val="0"/>
        <c:axPos val="b"/>
        <c:majorTickMark val="none"/>
        <c:minorTickMark val="none"/>
        <c:crossAx val="101"/>
      </c:catAx>
      <c:valAx>
        <c:axId val="101"/>
        <c:scaling>
          <c:orientation val="minMax"/>
        </c:scaling>
        <c:delete val="1"/>
        <c:axPos val="l"/>
        <c:crossAx val="100"/>
      </c:valAx>
    </c:plotArea>
    <c:legend>
      <c:legendPos val="b"/>
      <c:layout>
        <c:manualLayout>
          <c:xMode val="edge"/>
          <c:yMode val="edge"/>
          <c:x val="0"/>
          <c:y val="0.88"/>
          <c:w val="1"/>
          <c:h val="0.12"/>
        </c:manualLayout>
      </c:layout>
      <c:overlay val="0"/>
    </c:legend>
    <c:plotVisOnly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rgbClr val="DC3545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60.0</c:v>
                </c:pt>
                <c:pt idx="1">
                  <c:v>40.0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</c:v>
                </c:pt>
              </c:strCache>
            </c:strRef>
          </c:tx>
          <c:spPr>
            <a:solidFill>
              <a:srgbClr val="0D6EFD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40.0</c:v>
                </c:pt>
                <c:pt idx="1">
                  <c:v>60.0</c:v>
                </c:pt>
              </c:numCache>
            </c:numRef>
          </c:val>
        </c:ser>
        <c:gapWidth val="60"/>
        <c:overlap val="100"/>
        <c:axId val="100"/>
        <c:axId val="101"/>
      </c:barChart>
      <c:catAx>
        <c:axId val="100"/>
        <c:scaling>
          <c:orientation val="minMax"/>
        </c:scaling>
        <c:delete val="0"/>
        <c:axPos val="b"/>
        <c:majorTickMark val="none"/>
        <c:minorTickMark val="none"/>
        <c:crossAx val="101"/>
      </c:catAx>
      <c:valAx>
        <c:axId val="101"/>
        <c:scaling>
          <c:orientation val="minMax"/>
        </c:scaling>
        <c:delete val="1"/>
        <c:axPos val="l"/>
        <c:crossAx val="100"/>
      </c:valAx>
    </c:plotArea>
    <c:legend>
      <c:legendPos val="b"/>
      <c:layout>
        <c:manualLayout>
          <c:xMode val="edge"/>
          <c:yMode val="edge"/>
          <c:x val="0"/>
          <c:y val="0.88"/>
          <c:w val="1"/>
          <c:h val="0.12"/>
        </c:manualLayout>
      </c:layout>
      <c:overlay val="0"/>
    </c:legend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dLbls>
            <c:numFmt formatCode="0%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30</c:v>
                </c:pt>
                <c:pt idx="1">
                  <c:v>20</c:v>
                </c:pt>
              </c:numCache>
            </c:numRef>
          </c:val>
        </c:ser>
      </c:pieChart>
    </c:plotArea>
    <c:legend>
      <c:legendPos val="b"/>
      <c:layout>
        <c:manualLayout>
          <c:xMode val="edge"/>
          <c:yMode val="edge"/>
          <c:x val="0"/>
          <c:y val="0.85"/>
          <c:w val="1"/>
          <c:h val="0.15"/>
        </c:manualLayout>
      </c:layout>
      <c:overlay val="0"/>
    </c:legend>
    <c:plotVisOnly val="1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</c:v>
                </c:pt>
              </c:strCache>
            </c:strRef>
          </c:tx>
          <c:dLbls>
            <c:numFmt formatCode="0%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20</c:v>
                </c:pt>
                <c:pt idx="1">
                  <c:v>30</c:v>
                </c:pt>
              </c:numCache>
            </c:numRef>
          </c:val>
        </c:ser>
      </c:pieChart>
    </c:plotArea>
    <c:legend>
      <c:legendPos val="b"/>
      <c:layout>
        <c:manualLayout>
          <c:xMode val="edge"/>
          <c:yMode val="edge"/>
          <c:x val="0"/>
          <c:y val="0.85"/>
          <c:w val="1"/>
          <c:h val="0.15"/>
        </c:manualLayout>
      </c:layout>
      <c:overlay val="0"/>
    </c:legend>
    <c:plotVisOnly val="1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rgbClr val="DC3545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60.0</c:v>
                </c:pt>
                <c:pt idx="1">
                  <c:v>40.0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</c:v>
                </c:pt>
              </c:strCache>
            </c:strRef>
          </c:tx>
          <c:spPr>
            <a:solidFill>
              <a:srgbClr val="0D6EFD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40.0</c:v>
                </c:pt>
                <c:pt idx="1">
                  <c:v>60.0</c:v>
                </c:pt>
              </c:numCache>
            </c:numRef>
          </c:val>
        </c:ser>
        <c:gapWidth val="80"/>
        <c:axId val="100"/>
        <c:axId val="101"/>
      </c:barChart>
      <c:catAx>
        <c:axId val="100"/>
        <c:scaling>
          <c:orientation val="minMax"/>
        </c:scaling>
        <c:delete val="0"/>
        <c:axPos val="b"/>
        <c:majorTickMark val="none"/>
        <c:minorTickMark val="none"/>
        <c:crossAx val="101"/>
      </c:catAx>
      <c:valAx>
        <c:axId val="101"/>
        <c:scaling>
          <c:orientation val="minMax"/>
        </c:scaling>
        <c:delete val="1"/>
        <c:axPos val="l"/>
        <c:crossAx val="100"/>
      </c:valAx>
    </c:plotArea>
    <c:legend>
      <c:legendPos val="b"/>
      <c:layout>
        <c:manualLayout>
          <c:xMode val="edge"/>
          <c:yMode val="edge"/>
          <c:x val="0"/>
          <c:y val="0.88"/>
          <c:w val="1"/>
          <c:h val="0.12"/>
        </c:manualLayout>
      </c:layout>
      <c:overlay val="0"/>
    </c:legend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