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60" w:before="0" w:line="276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Проєктне бачення (Vision Document)</w:t>
      </w:r>
      <w:r/>
    </w:p>
    <w:p>
      <w:pPr>
        <w:pBdr/>
        <w:spacing w:after="240" w:before="0" w:line="276" w:lineRule="auto"/>
        <w:ind/>
        <w:jc w:val="center"/>
        <w:rPr/>
      </w:pPr>
      <w:r>
        <w:rPr>
          <w:rFonts w:ascii="Times New Roman" w:hAnsi="Times New Roman" w:eastAsia="Times New Roman" w:cs="Times New Roman"/>
          <w:i/>
          <w:iCs/>
          <w:sz w:val="22"/>
          <w:szCs w:val="22"/>
        </w:rPr>
        <w:t xml:space="preserve">Medicine Tracker | v0.1 | 28.09.2026</w:t>
      </w:r>
      <w:r/>
    </w:p>
    <w:p>
      <w:pPr>
        <w:pStyle w:val="733"/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1. Формулювання бачення</w:t>
      </w:r>
      <w:r/>
    </w:p>
    <w:p>
      <w:pPr>
        <w:pBdr/>
        <w:spacing w:after="120" w:before="0" w:line="276" w:lineRule="auto"/>
        <w:ind/>
        <w:rPr/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Формулювання складено за шаблоном Джеффрі Мура.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700"/>
        <w:gridCol w:w="6938"/>
      </w:tblGrid>
      <w:tr>
        <w:trPr/>
        <w:tc>
          <w:tcPr>
            <w:shd w:val="clear" w:color="auto" w:fill="d5e3f0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Для</w:t>
            </w:r>
            <w:r/>
          </w:p>
        </w:tc>
        <w:tc>
          <w:tcPr>
            <w:shd w:val="clear" w:color="auto" w:fill="f2f2f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літніх людей (60+), які щодня приймають кілька препаратів, та їхніх родичів-опікунів,</w:t>
            </w:r>
            <w:r/>
          </w:p>
        </w:tc>
      </w:tr>
      <w:tr>
        <w:trPr/>
        <w:tc>
          <w:tcPr>
            <w:shd w:val="clear" w:color="auto" w:fill="d5e3f0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які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ризикують забути чи переплутати прийом ліків і хочуть бути впевнені, що близька людина прийняла їх вчасно,</w:t>
            </w:r>
            <w:r/>
          </w:p>
        </w:tc>
      </w:tr>
      <w:tr>
        <w:trPr/>
        <w:tc>
          <w:tcPr>
            <w:shd w:val="clear" w:color="auto" w:fill="d5e3f0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продукт</w:t>
            </w:r>
            <w:r/>
          </w:p>
        </w:tc>
        <w:tc>
          <w:tcPr>
            <w:shd w:val="clear" w:color="auto" w:fill="f2f2f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Medicine Tracker</w:t>
            </w:r>
            <w:r/>
          </w:p>
        </w:tc>
      </w:tr>
      <w:tr>
        <w:trPr/>
        <w:tc>
          <w:tcPr>
            <w:shd w:val="clear" w:color="auto" w:fill="d5e3f0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є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мобільним застосунком для нагадування про прийом ліків та щоденного обліку самопочуття,</w:t>
            </w:r>
            <w:r/>
          </w:p>
        </w:tc>
      </w:tr>
      <w:tr>
        <w:trPr/>
        <w:tc>
          <w:tcPr>
            <w:shd w:val="clear" w:color="auto" w:fill="d5e3f0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який</w:t>
            </w:r>
            <w:r/>
          </w:p>
        </w:tc>
        <w:tc>
          <w:tcPr>
            <w:shd w:val="clear" w:color="auto" w:fill="f2f2f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дозволяє відмітити прийом одним дотиком і автоматично повідомляє родичів у разі пропуску.</w:t>
            </w:r>
            <w:r/>
          </w:p>
        </w:tc>
      </w:tr>
      <w:tr>
        <w:trPr/>
        <w:tc>
          <w:tcPr>
            <w:shd w:val="clear" w:color="auto" w:fill="d5e3f0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На відміну від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універсальних застосунків-нагадувачів із перевантаженим інтерфейсом,</w:t>
            </w:r>
            <w:r/>
          </w:p>
        </w:tc>
      </w:tr>
      <w:tr>
        <w:trPr/>
        <w:tc>
          <w:tcPr>
            <w:shd w:val="clear" w:color="auto" w:fill="d5e3f0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наш продукт</w:t>
            </w:r>
            <w:r/>
          </w:p>
        </w:tc>
        <w:tc>
          <w:tcPr>
            <w:shd w:val="clear" w:color="auto" w:fill="f2f2f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спроєктований насамперед для літніх користувачів і поєднує нагадування, родинний контроль та звіт для лікаря в одному простому рішенні.</w:t>
            </w:r>
            <w:r/>
          </w:p>
        </w:tc>
      </w:tr>
    </w:tbl>
    <w:p>
      <w:pPr>
        <w:pStyle w:val="733"/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2. Бізнес-можливість та контекст ринку</w:t>
      </w:r>
      <w:r/>
    </w:p>
    <w:p>
      <w:pPr>
        <w:pBdr/>
        <w:spacing w:after="120" w:before="0" w:line="276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Населення багатьох країн, зокрема України, старіє, а частка людей із хронічними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захворюваннями, які потребують регулярного прийому кількох препаратів, зростає. За оцінками ВООЗ, приблизно половина пацієнтів із хронічними хворобами не дотримується призначеного режиму лікування, а це призводить до ускладнень і повторних госпіталізацій.</w:t>
      </w:r>
      <w:r/>
    </w:p>
    <w:p>
      <w:pPr>
        <w:pBdr/>
        <w:spacing w:after="120" w:before="0" w:line="276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Водночас діти й онуки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літніх людей нерідко живуть в іншому місті чи країні та мають потребу в простому способі переконатися, що з близькою людиною все гаразд. Смартфони стають звичними й серед старшого покоління, тому мобільний застосунок є доступним каналом вирішення проблеми.</w:t>
      </w:r>
      <w:r/>
    </w:p>
    <w:p>
      <w:pPr>
        <w:pBdr/>
        <w:spacing w:after="120" w:before="0" w:line="276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На ринку існують універсальні застосунки-нагадувачі про ліки (наприклад, Medisafe, MyTherapy). Вони мають широкий функціонал, але орієнтовані на загального користувача, а їхній інтерфейс може бути надто складним для літньої людини. Наша можливість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— запропонувати спрощений досвід, побудований навколо двох людей: того, хто приймає ліки, і того, хто про нього піклується. Проєкт є навчальним, тому ключова цінність для команди — повний цикл розробки реального продукту з чітко визначеними користувачами.</w:t>
      </w:r>
      <w:r/>
    </w:p>
    <w:p>
      <w:pPr>
        <w:pStyle w:val="733"/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3. Зацікавлені сторони (stakeholders)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300"/>
        <w:gridCol w:w="2300"/>
        <w:gridCol w:w="5038"/>
      </w:tblGrid>
      <w:tr>
        <w:trPr>
          <w:tblHeader/>
        </w:trPr>
        <w:tc>
          <w:tcPr>
            <w:shd w:val="clear" w:color="auto" w:fill="d5e3f0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Сторона</w:t>
            </w:r>
            <w:r/>
          </w:p>
        </w:tc>
        <w:tc>
          <w:tcPr>
            <w:shd w:val="clear" w:color="auto" w:fill="d5e3f0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Роль</w:t>
            </w:r>
            <w:r/>
          </w:p>
        </w:tc>
        <w:tc>
          <w:tcPr>
            <w:shd w:val="clear" w:color="auto" w:fill="d5e3f0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Інтерес та очікування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Літня людина (пацієнт)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Основний користувач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Не пропускати ліки; простий, зрозумілий інтерфейс без зайвих дій; відчуття самостійності.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Родич / опікун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Користувач, отримувач сповіщень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Вчасно дізнаватися про пропуск; бачити статус прийому; не телефонувати щоразу.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Лікар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Непрямий користувач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Отримувати достовірну історію прийому та самопочуття для корекції лікування.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Команда розробки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Виконавці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Реалізувати працюючий MVP у строк; отримати практичний досвід; якісно оформлену документацію.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Викладач / керівник курсу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Замовник навчального проєкту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Відповідність вимогам до наскрізного проєкту; дотримання етапів і строків; якість процесу розробки.</w:t>
            </w:r>
            <w:r/>
          </w:p>
        </w:tc>
      </w:tr>
    </w:tbl>
    <w:p>
      <w:pPr>
        <w:pStyle w:val="733"/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4. Основні функціональні можливості (рівень епіків)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0"/>
        <w:gridCol w:w="3000"/>
        <w:gridCol w:w="5738"/>
      </w:tblGrid>
      <w:tr>
        <w:trPr>
          <w:tblHeader/>
        </w:trPr>
        <w:tc>
          <w:tcPr>
            <w:shd w:val="clear" w:color="auto" w:fill="d5e3f0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ID</w:t>
            </w:r>
            <w:r/>
          </w:p>
        </w:tc>
        <w:tc>
          <w:tcPr>
            <w:shd w:val="clear" w:color="auto" w:fill="d5e3f0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Епік</w:t>
            </w:r>
            <w:r/>
          </w:p>
        </w:tc>
        <w:tc>
          <w:tcPr>
            <w:shd w:val="clear" w:color="auto" w:fill="d5e3f0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7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Опис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E1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Облікові записи та ролі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7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Реєстрація, вхід, вибір ролі (літня людина / опікун).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E2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Ліки та розклад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7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Додавання препаратів, налаштування розкладу прийому, редагування.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E3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Нагадування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7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Локальні сповіщення у час прийому, повторні нагадування, відмітка «Прийнято» одним дотиком.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E4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Родинна мережа та сповіщення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7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Зв’язування профілів за кодом, push-сповіщення про пропуск, перегляд статусу прийому родичем.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E5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Журнал самопочуття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7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Щоденний запис самопочуття за простою шкалою з нотаткою.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E6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Історія та звіти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7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Перегляд історії за період, експорт PDF-звіту для лікаря.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E7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Доступність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7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Налаштування розміру шрифту, високий контраст, офлайн-режим із синхронізацією.</w:t>
            </w:r>
            <w:r/>
          </w:p>
        </w:tc>
      </w:tr>
    </w:tbl>
    <w:p>
      <w:pPr>
        <w:pStyle w:val="733"/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5. Критерії успіху проєкту (SMART-цілі)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600"/>
        <w:gridCol w:w="3000"/>
        <w:gridCol w:w="4538"/>
        <w:gridCol w:w="1500"/>
      </w:tblGrid>
      <w:tr>
        <w:trPr>
          <w:tblHeader/>
        </w:trPr>
        <w:tc>
          <w:tcPr>
            <w:shd w:val="clear" w:color="auto" w:fill="d5e3f0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№</w:t>
            </w:r>
            <w:r/>
          </w:p>
        </w:tc>
        <w:tc>
          <w:tcPr>
            <w:shd w:val="clear" w:color="auto" w:fill="d5e3f0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Ціль</w:t>
            </w:r>
            <w:r/>
          </w:p>
        </w:tc>
        <w:tc>
          <w:tcPr>
            <w:shd w:val="clear" w:color="auto" w:fill="d5e3f0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Показник</w:t>
            </w:r>
            <w:r/>
          </w:p>
        </w:tc>
        <w:tc>
          <w:tcPr>
            <w:shd w:val="clear" w:color="auto" w:fill="d5e3f0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Строк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Реалізувати MVP із 6 ключовими функціями з брифу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100% вимог пріоритету Must пройшли приймальне тестування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Тиждень 14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Забезпечити надійність нагадувань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Не менше 95% нагадувань спрацьовують із відхиленням до 1 хв на 3+ пристроях протягом 7 днів тестування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Тиждень 12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3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Забезпечити сповіщення родича про пропуск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Не менше 90% тестових пропусків завершуються push-сповіщенням родичу протягом 5 хв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Тиждень 13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4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Підтвердити зручність для літніх користувачів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Щонайменше 5 тестувальників 60+; не менше 80% виконують сценарій «відмітити прийом» без допомоги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Тиждень 14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5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Підтримати якість коду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Покриття тестами бізнес-логіки не менше 60%; налаштований CI у GitHub Actions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Тиждень 14</w:t>
            </w:r>
            <w:r/>
          </w:p>
        </w:tc>
      </w:tr>
    </w:tbl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134" w:right="1134" w:bottom="1134" w:left="1134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F0D5474">
    <w:pPr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C49154">
    <w:pPr>
      <w:pStyle w:val="176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2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2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2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1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17">
    <w:name w:val="Title"/>
    <w:qFormat/>
    <w:pPr>
      <w:pBdr/>
      <w:spacing/>
      <w:ind/>
    </w:pPr>
    <w:rPr>
      <w:sz w:val="56"/>
      <w:szCs w:val="56"/>
    </w:rPr>
  </w:style>
  <w:style w:type="paragraph" w:styleId="720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21">
    <w:name w:val="Heading 4"/>
    <w:qFormat/>
    <w:pPr>
      <w:pBdr/>
      <w:spacing/>
      <w:ind/>
    </w:pPr>
    <w:rPr>
      <w:i/>
      <w:iCs/>
      <w:color w:val="2e74b5"/>
    </w:rPr>
  </w:style>
  <w:style w:type="paragraph" w:styleId="722">
    <w:name w:val="Heading 5"/>
    <w:qFormat/>
    <w:pPr>
      <w:pBdr/>
      <w:spacing/>
      <w:ind/>
    </w:pPr>
    <w:rPr>
      <w:color w:val="2e74b5"/>
    </w:rPr>
  </w:style>
  <w:style w:type="paragraph" w:styleId="723">
    <w:name w:val="Heading 6"/>
    <w:qFormat/>
    <w:pPr>
      <w:pBdr/>
      <w:spacing/>
      <w:ind/>
    </w:pPr>
    <w:rPr>
      <w:color w:val="1f4d78"/>
    </w:rPr>
  </w:style>
  <w:style w:type="paragraph" w:styleId="724">
    <w:name w:val="Strong"/>
    <w:qFormat/>
    <w:pPr>
      <w:pBdr/>
      <w:spacing/>
      <w:ind/>
    </w:pPr>
    <w:rPr>
      <w:b/>
      <w:bCs/>
    </w:rPr>
  </w:style>
  <w:style w:type="paragraph" w:styleId="725">
    <w:name w:val="List Paragraph"/>
    <w:qFormat/>
    <w:pPr>
      <w:pBdr/>
      <w:spacing/>
      <w:ind/>
    </w:pPr>
  </w:style>
  <w:style w:type="character" w:styleId="726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27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28">
    <w:name w:val="footnote text"/>
    <w:link w:val="72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9">
    <w:name w:val="Footnote Text Char"/>
    <w:link w:val="728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30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31">
    <w:name w:val="endnote text"/>
    <w:link w:val="73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32">
    <w:name w:val="Endnote Text Char"/>
    <w:link w:val="731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733">
    <w:name w:val="Heading 1"/>
    <w:qFormat/>
    <w:pPr>
      <w:keepNext w:val="true"/>
      <w:pBdr/>
      <w:spacing w:after="140" w:before="320"/>
      <w:ind/>
      <w:outlineLvl w:val="0"/>
    </w:pPr>
    <w:rPr>
      <w:rFonts w:ascii="Times New Roman" w:hAnsi="Times New Roman" w:eastAsia="Times New Roman" w:cs="Times New Roman"/>
      <w:b/>
      <w:bCs/>
      <w:color w:val="1f3864"/>
      <w:sz w:val="28"/>
      <w:szCs w:val="28"/>
    </w:rPr>
  </w:style>
  <w:style w:type="paragraph" w:styleId="734">
    <w:name w:val="Heading 2"/>
    <w:qFormat/>
    <w:pPr>
      <w:keepNext w:val="true"/>
      <w:pBdr/>
      <w:spacing w:after="100" w:before="240"/>
      <w:ind/>
      <w:outlineLvl w:val="1"/>
    </w:pPr>
    <w:rPr>
      <w:rFonts w:ascii="Times New Roman" w:hAnsi="Times New Roman" w:eastAsia="Times New Roman" w:cs="Times New Roman"/>
      <w:b/>
      <w:bCs/>
      <w:color w:val="2f5496"/>
      <w:sz w:val="25"/>
      <w:szCs w:val="2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ONLYOFFICE/9.2.1.43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Elder Med Tracker — Проєктне бачення</dc:title>
  <dc:creator>Elder Med Tracker</dc:creator>
  <cp:revision>2</cp:revision>
  <dcterms:created xsi:type="dcterms:W3CDTF">2026-10-11T13:10:55Z</dcterms:created>
  <dcterms:modified xsi:type="dcterms:W3CDTF">2026-10-11T13:21:23Z</dcterms:modified>
</cp:coreProperties>
</file>