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81983" w14:textId="580E2ADD" w:rsidR="00EC1C4D" w:rsidRPr="004A5EB4" w:rsidRDefault="00C5215F">
      <w:pPr>
        <w:rPr>
          <w:rFonts w:ascii="Times New Roman" w:hAnsi="Times New Roman" w:cs="Times New Roman"/>
          <w:lang w:val="en-US"/>
        </w:rPr>
      </w:pPr>
      <w:r w:rsidRPr="004A5EB4">
        <w:rPr>
          <w:rFonts w:ascii="Times New Roman" w:hAnsi="Times New Roman" w:cs="Times New Roman"/>
          <w:lang w:val="en-US"/>
        </w:rPr>
        <w:t>COVID-19-</w:t>
      </w:r>
      <w:r w:rsidR="00AD6F97">
        <w:rPr>
          <w:rFonts w:ascii="Times New Roman" w:hAnsi="Times New Roman" w:cs="Times New Roman"/>
          <w:lang w:val="en-US"/>
        </w:rPr>
        <w:t>a</w:t>
      </w:r>
      <w:r w:rsidRPr="004A5EB4">
        <w:rPr>
          <w:rFonts w:ascii="Times New Roman" w:hAnsi="Times New Roman" w:cs="Times New Roman"/>
          <w:lang w:val="en-US"/>
        </w:rPr>
        <w:t xml:space="preserve">ssociated </w:t>
      </w:r>
      <w:r w:rsidR="00AD6F97">
        <w:rPr>
          <w:rFonts w:ascii="Times New Roman" w:hAnsi="Times New Roman" w:cs="Times New Roman"/>
          <w:lang w:val="en-US"/>
        </w:rPr>
        <w:t>o</w:t>
      </w:r>
      <w:r w:rsidRPr="004A5EB4">
        <w:rPr>
          <w:rFonts w:ascii="Times New Roman" w:hAnsi="Times New Roman" w:cs="Times New Roman"/>
          <w:lang w:val="en-US"/>
        </w:rPr>
        <w:t xml:space="preserve">nset of Parkinson's </w:t>
      </w:r>
      <w:r w:rsidR="00AD6F97">
        <w:rPr>
          <w:rFonts w:ascii="Times New Roman" w:hAnsi="Times New Roman" w:cs="Times New Roman"/>
          <w:lang w:val="en-US"/>
        </w:rPr>
        <w:t>d</w:t>
      </w:r>
      <w:r w:rsidRPr="004A5EB4">
        <w:rPr>
          <w:rFonts w:ascii="Times New Roman" w:hAnsi="Times New Roman" w:cs="Times New Roman"/>
          <w:lang w:val="en-US"/>
        </w:rPr>
        <w:t xml:space="preserve">isease: </w:t>
      </w:r>
      <w:r w:rsidR="00AD6F97">
        <w:rPr>
          <w:rFonts w:ascii="Times New Roman" w:hAnsi="Times New Roman" w:cs="Times New Roman"/>
          <w:lang w:val="en-US"/>
        </w:rPr>
        <w:t>f</w:t>
      </w:r>
      <w:r w:rsidRPr="004A5EB4">
        <w:rPr>
          <w:rFonts w:ascii="Times New Roman" w:hAnsi="Times New Roman" w:cs="Times New Roman"/>
          <w:lang w:val="en-US"/>
        </w:rPr>
        <w:t xml:space="preserve">requency, </w:t>
      </w:r>
      <w:r w:rsidR="00AD6F97">
        <w:rPr>
          <w:rFonts w:ascii="Times New Roman" w:hAnsi="Times New Roman" w:cs="Times New Roman"/>
          <w:lang w:val="en-US"/>
        </w:rPr>
        <w:t>c</w:t>
      </w:r>
      <w:r w:rsidRPr="004A5EB4">
        <w:rPr>
          <w:rFonts w:ascii="Times New Roman" w:hAnsi="Times New Roman" w:cs="Times New Roman"/>
          <w:lang w:val="en-US"/>
        </w:rPr>
        <w:t xml:space="preserve">linical </w:t>
      </w:r>
      <w:r w:rsidR="00AD6F97">
        <w:rPr>
          <w:rFonts w:ascii="Times New Roman" w:hAnsi="Times New Roman" w:cs="Times New Roman"/>
          <w:lang w:val="en-US"/>
        </w:rPr>
        <w:t>f</w:t>
      </w:r>
      <w:r w:rsidRPr="004A5EB4">
        <w:rPr>
          <w:rFonts w:ascii="Times New Roman" w:hAnsi="Times New Roman" w:cs="Times New Roman"/>
          <w:lang w:val="en-US"/>
        </w:rPr>
        <w:t xml:space="preserve">eatures, and the </w:t>
      </w:r>
      <w:r w:rsidR="00AD6F97">
        <w:rPr>
          <w:rFonts w:ascii="Times New Roman" w:hAnsi="Times New Roman" w:cs="Times New Roman"/>
          <w:lang w:val="en-US"/>
        </w:rPr>
        <w:t>r</w:t>
      </w:r>
      <w:r w:rsidRPr="004A5EB4">
        <w:rPr>
          <w:rFonts w:ascii="Times New Roman" w:hAnsi="Times New Roman" w:cs="Times New Roman"/>
          <w:lang w:val="en-US"/>
        </w:rPr>
        <w:t xml:space="preserve">ole of </w:t>
      </w:r>
      <w:r w:rsidR="00AD6F97">
        <w:rPr>
          <w:rFonts w:ascii="Times New Roman" w:hAnsi="Times New Roman" w:cs="Times New Roman"/>
          <w:lang w:val="en-US"/>
        </w:rPr>
        <w:t>v</w:t>
      </w:r>
      <w:r w:rsidRPr="004A5EB4">
        <w:rPr>
          <w:rFonts w:ascii="Times New Roman" w:hAnsi="Times New Roman" w:cs="Times New Roman"/>
          <w:lang w:val="en-US"/>
        </w:rPr>
        <w:t>accination</w:t>
      </w:r>
    </w:p>
    <w:p w14:paraId="52254D01" w14:textId="77777777" w:rsidR="00C5215F" w:rsidRPr="004A5EB4" w:rsidRDefault="00C5215F" w:rsidP="00C5215F">
      <w:pPr>
        <w:jc w:val="both"/>
        <w:rPr>
          <w:rFonts w:ascii="Times New Roman" w:hAnsi="Times New Roman" w:cs="Times New Roman"/>
          <w:lang w:val="en-US"/>
        </w:rPr>
      </w:pPr>
      <w:r w:rsidRPr="004A5EB4">
        <w:rPr>
          <w:rFonts w:ascii="Times New Roman" w:hAnsi="Times New Roman" w:cs="Times New Roman"/>
          <w:lang w:val="en-US"/>
        </w:rPr>
        <w:t>Introduction. Parkinson's disease is one of the most prevalent neurodegenerative disorders, with its incidence continuing to rise in the context of global population aging. The COVID-19 pandemic has opened a new chapter in the investigation of infectious triggers of its manifestation. The widespread implementation of anti-COVID-19 vaccination has raised the question of its potential neuroprotective significance, which underpins the relevance of the present study.</w:t>
      </w:r>
    </w:p>
    <w:p w14:paraId="7C07EEA2" w14:textId="77777777" w:rsidR="00C5215F" w:rsidRPr="004A5EB4" w:rsidRDefault="00C5215F" w:rsidP="00C5215F">
      <w:pPr>
        <w:jc w:val="both"/>
        <w:rPr>
          <w:rFonts w:ascii="Times New Roman" w:hAnsi="Times New Roman" w:cs="Times New Roman"/>
          <w:lang w:val="en-US"/>
        </w:rPr>
      </w:pPr>
      <w:r w:rsidRPr="004A5EB4">
        <w:rPr>
          <w:rFonts w:ascii="Times New Roman" w:hAnsi="Times New Roman" w:cs="Times New Roman"/>
          <w:lang w:val="en-US"/>
        </w:rPr>
        <w:t>Objective. To investigate the frequency and clinical characteristics of COVID-19-associated onset of Parkinson's disease in relation to vaccination status.</w:t>
      </w:r>
    </w:p>
    <w:p w14:paraId="575AC3CC" w14:textId="47EA2329" w:rsidR="00C5215F" w:rsidRPr="004A5EB4" w:rsidRDefault="00C5215F" w:rsidP="004A5EB4">
      <w:pPr>
        <w:pStyle w:val="a3"/>
        <w:rPr>
          <w:lang w:val="en-US"/>
        </w:rPr>
      </w:pPr>
      <w:r w:rsidRPr="004A5EB4">
        <w:rPr>
          <w:lang w:val="en-US"/>
        </w:rPr>
        <w:t xml:space="preserve">Materials and Methods. The study enrolled 47 patients with confirmed Parkinson's disease (Hoehn and </w:t>
      </w:r>
      <w:proofErr w:type="spellStart"/>
      <w:r w:rsidRPr="004A5EB4">
        <w:rPr>
          <w:lang w:val="en-US"/>
        </w:rPr>
        <w:t>Yahr</w:t>
      </w:r>
      <w:proofErr w:type="spellEnd"/>
      <w:r w:rsidRPr="004A5EB4">
        <w:rPr>
          <w:lang w:val="en-US"/>
        </w:rPr>
        <w:t xml:space="preserve"> stages 1.5–3), with diagnosis verified according to the MDS diagnostic criteria. Patients were allocated into three groups: those vaccinated prior to COVID-19 infection (n=19), those vaccinated following recovery from COVID-19 (n=14), and unvaccinated individuals (n=14). Disease onset was classified as COVID-19-associated if symptoms manifested within 18 months of infection. Statistical analysis was performed using </w:t>
      </w:r>
      <w:proofErr w:type="spellStart"/>
      <w:r w:rsidRPr="004A5EB4">
        <w:rPr>
          <w:lang w:val="en-US"/>
        </w:rPr>
        <w:t>Jamovi</w:t>
      </w:r>
      <w:proofErr w:type="spellEnd"/>
      <w:r w:rsidRPr="004A5EB4">
        <w:rPr>
          <w:lang w:val="en-US"/>
        </w:rPr>
        <w:t xml:space="preserve"> software, employing Pearson's chi-squared test with Yates' correction and the Kruskal–Wallis test</w:t>
      </w:r>
      <w:r w:rsidR="005A2BE7">
        <w:rPr>
          <w:lang w:val="en-US"/>
        </w:rPr>
        <w:t>.</w:t>
      </w:r>
      <w:r w:rsidRPr="004A5EB4">
        <w:rPr>
          <w:lang w:val="en-US"/>
        </w:rPr>
        <w:t xml:space="preserve"> </w:t>
      </w:r>
      <w:r w:rsidR="005A2BE7">
        <w:rPr>
          <w:lang w:val="en-US"/>
        </w:rPr>
        <w:t>D</w:t>
      </w:r>
      <w:r w:rsidRPr="004A5EB4">
        <w:rPr>
          <w:lang w:val="en-US"/>
        </w:rPr>
        <w:t>ifferences were considered statistically significant at p&lt;0.05.</w:t>
      </w:r>
    </w:p>
    <w:p w14:paraId="50164831" w14:textId="6BA42821" w:rsidR="00C5215F" w:rsidRPr="004A5EB4" w:rsidRDefault="00C5215F" w:rsidP="00C5215F">
      <w:pPr>
        <w:jc w:val="both"/>
        <w:rPr>
          <w:rFonts w:ascii="Times New Roman" w:hAnsi="Times New Roman" w:cs="Times New Roman"/>
          <w:lang w:val="en-US"/>
        </w:rPr>
      </w:pPr>
      <w:r w:rsidRPr="004A5EB4">
        <w:rPr>
          <w:rFonts w:ascii="Times New Roman" w:hAnsi="Times New Roman" w:cs="Times New Roman"/>
          <w:lang w:val="en-US"/>
        </w:rPr>
        <w:t xml:space="preserve">Results. No statistically significant differences in age or sex distribution were identified between the groups. Patients in </w:t>
      </w:r>
      <w:r w:rsidR="004A5EB4" w:rsidRPr="004A5EB4">
        <w:rPr>
          <w:rFonts w:ascii="Times New Roman" w:hAnsi="Times New Roman" w:cs="Times New Roman"/>
          <w:lang w:val="en-US"/>
        </w:rPr>
        <w:t>g</w:t>
      </w:r>
      <w:r w:rsidRPr="004A5EB4">
        <w:rPr>
          <w:rFonts w:ascii="Times New Roman" w:hAnsi="Times New Roman" w:cs="Times New Roman"/>
          <w:lang w:val="en-US"/>
        </w:rPr>
        <w:t xml:space="preserve">roup 2 demonstrated a significantly higher rate of COVID-19-associated disease onset compared to </w:t>
      </w:r>
      <w:r w:rsidR="004A5EB4" w:rsidRPr="004A5EB4">
        <w:rPr>
          <w:rFonts w:ascii="Times New Roman" w:hAnsi="Times New Roman" w:cs="Times New Roman"/>
          <w:lang w:val="en-US"/>
        </w:rPr>
        <w:t>g</w:t>
      </w:r>
      <w:r w:rsidRPr="004A5EB4">
        <w:rPr>
          <w:rFonts w:ascii="Times New Roman" w:hAnsi="Times New Roman" w:cs="Times New Roman"/>
          <w:lang w:val="en-US"/>
        </w:rPr>
        <w:t>roups 1 and 3 (p=0.001); the mean age at onset was 59.6±6.8 years. The type of vaccine administered did not influence disease onset. COVID-19-associated onset was more frequently characterized by pain syndrome (p=0.009) and cognitive impairment (p=0.025).</w:t>
      </w:r>
    </w:p>
    <w:p w14:paraId="023B4C5C" w14:textId="01DC6CE7" w:rsidR="00C5215F" w:rsidRPr="004A5EB4" w:rsidRDefault="00C5215F" w:rsidP="00C5215F">
      <w:pPr>
        <w:jc w:val="both"/>
        <w:rPr>
          <w:rFonts w:ascii="Times New Roman" w:hAnsi="Times New Roman" w:cs="Times New Roman"/>
          <w:lang w:val="en-US"/>
        </w:rPr>
      </w:pPr>
      <w:r w:rsidRPr="004A5EB4">
        <w:rPr>
          <w:rFonts w:ascii="Times New Roman" w:hAnsi="Times New Roman" w:cs="Times New Roman"/>
          <w:lang w:val="en-US"/>
        </w:rPr>
        <w:t>Conclusions. The higher frequency of COVID-19-associated onset in unvaccinated patients suggests that SARS-CoV-2 may directly initiate or accelerate the neurodegenerative process, whereas the lower frequency observed in pre-infection vaccinated patients indicates a potential neuroprotective effect of vaccination, mediated through attenuation of systemic and cerebral inflammation and reduction of viral load. The predominance of pain syndrome and cognitive impairment at disease manifestation in COVID-19-associated cases suggests a more diffuse pattern of neurodegeneration, potentially representing a distinct clinical subtype of Parkinson's disease that warrants specific diagnostic and therapeutic consideration.</w:t>
      </w:r>
    </w:p>
    <w:sectPr w:rsidR="00C5215F" w:rsidRPr="004A5EB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EE"/>
    <w:rsid w:val="002767AC"/>
    <w:rsid w:val="00464CEE"/>
    <w:rsid w:val="004A5EB4"/>
    <w:rsid w:val="005A2BE7"/>
    <w:rsid w:val="00AD6F97"/>
    <w:rsid w:val="00C5215F"/>
    <w:rsid w:val="00EC1C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AD7D"/>
  <w15:chartTrackingRefBased/>
  <w15:docId w15:val="{41614620-0E4F-43A7-A9D0-C31F5D2DF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A5EB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964375">
      <w:bodyDiv w:val="1"/>
      <w:marLeft w:val="0"/>
      <w:marRight w:val="0"/>
      <w:marTop w:val="0"/>
      <w:marBottom w:val="0"/>
      <w:divBdr>
        <w:top w:val="none" w:sz="0" w:space="0" w:color="auto"/>
        <w:left w:val="none" w:sz="0" w:space="0" w:color="auto"/>
        <w:bottom w:val="none" w:sz="0" w:space="0" w:color="auto"/>
        <w:right w:val="none" w:sz="0" w:space="0" w:color="auto"/>
      </w:divBdr>
    </w:div>
    <w:div w:id="44362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391</Words>
  <Characters>2235</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Ярослава Петрашевская</dc:creator>
  <cp:keywords/>
  <dc:description/>
  <cp:lastModifiedBy>Ярослава Петрашевская</cp:lastModifiedBy>
  <cp:revision>3</cp:revision>
  <dcterms:created xsi:type="dcterms:W3CDTF">2026-02-18T14:11:00Z</dcterms:created>
  <dcterms:modified xsi:type="dcterms:W3CDTF">2026-02-18T19:38:00Z</dcterms:modified>
</cp:coreProperties>
</file>