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728D9" w14:textId="22640DDA" w:rsidR="005D30E5" w:rsidRPr="009E46F1" w:rsidRDefault="005D30E5" w:rsidP="005D30E5">
      <w:pPr>
        <w:pStyle w:val="MDPI11articletype"/>
      </w:pPr>
      <w:r>
        <w:t>Article</w:t>
      </w:r>
    </w:p>
    <w:p w14:paraId="34270502" w14:textId="6C1007EB" w:rsidR="005D30E5" w:rsidRPr="009E46F1" w:rsidRDefault="005D30E5" w:rsidP="005D30E5">
      <w:pPr>
        <w:pStyle w:val="MDPI12title"/>
        <w:spacing w:line="240" w:lineRule="atLeast"/>
      </w:pPr>
      <w:r w:rsidRPr="005D30E5">
        <w:t>IoT monitoring of tree ecosystem services in urban green infrastructures: possibilities and challenges</w:t>
      </w:r>
    </w:p>
    <w:p w14:paraId="62CA6D5F" w14:textId="7DF24FA1" w:rsidR="007A74A0" w:rsidRPr="009E46F1" w:rsidRDefault="007A74A0" w:rsidP="007A74A0">
      <w:pPr>
        <w:pStyle w:val="MDPI13authornames"/>
      </w:pPr>
      <w:r>
        <w:t>Victor</w:t>
      </w:r>
      <w:r w:rsidRPr="009E46F1">
        <w:t xml:space="preserve"> </w:t>
      </w:r>
      <w:r>
        <w:t>Matasov</w:t>
      </w:r>
      <w:r w:rsidRPr="009E46F1">
        <w:t xml:space="preserve"> </w:t>
      </w:r>
      <w:r w:rsidRPr="009E46F1">
        <w:rPr>
          <w:vertAlign w:val="superscript"/>
        </w:rPr>
        <w:t>1</w:t>
      </w:r>
      <w:r w:rsidR="001E38A6" w:rsidRPr="009E46F1">
        <w:rPr>
          <w:vertAlign w:val="superscript"/>
        </w:rPr>
        <w:t>,</w:t>
      </w:r>
      <w:r w:rsidR="001E38A6" w:rsidRPr="009E46F1">
        <w:t>*</w:t>
      </w:r>
      <w:r w:rsidRPr="009E46F1">
        <w:t xml:space="preserve">, </w:t>
      </w:r>
      <w:r w:rsidR="001E38A6">
        <w:t>Alexey</w:t>
      </w:r>
      <w:r w:rsidRPr="009E46F1">
        <w:t xml:space="preserve"> </w:t>
      </w:r>
      <w:r w:rsidR="001E38A6">
        <w:t>Yaroslavtsev</w:t>
      </w:r>
      <w:r w:rsidRPr="009E46F1">
        <w:t xml:space="preserve"> </w:t>
      </w:r>
      <w:r w:rsidR="001E38A6">
        <w:rPr>
          <w:vertAlign w:val="superscript"/>
        </w:rPr>
        <w:t>1</w:t>
      </w:r>
      <w:r w:rsidR="007D111A" w:rsidRPr="007D111A">
        <w:rPr>
          <w:vertAlign w:val="superscript"/>
        </w:rPr>
        <w:t>,7</w:t>
      </w:r>
      <w:r w:rsidRPr="009E46F1">
        <w:t xml:space="preserve">, </w:t>
      </w:r>
      <w:r w:rsidR="001E38A6">
        <w:t>Giovanna Sala</w:t>
      </w:r>
      <w:r w:rsidRPr="009E46F1">
        <w:t xml:space="preserve"> </w:t>
      </w:r>
      <w:r w:rsidR="001E38A6">
        <w:rPr>
          <w:vertAlign w:val="superscript"/>
        </w:rPr>
        <w:t>1,2</w:t>
      </w:r>
      <w:r w:rsidRPr="009E46F1">
        <w:t>,</w:t>
      </w:r>
      <w:r w:rsidRPr="007A74A0">
        <w:t xml:space="preserve"> </w:t>
      </w:r>
      <w:r w:rsidR="001E38A6">
        <w:t>Olga</w:t>
      </w:r>
      <w:r w:rsidRPr="009E46F1">
        <w:t xml:space="preserve"> </w:t>
      </w:r>
      <w:r w:rsidR="001E38A6">
        <w:t>Fareeva</w:t>
      </w:r>
      <w:r w:rsidRPr="009E46F1">
        <w:t xml:space="preserve"> </w:t>
      </w:r>
      <w:r w:rsidR="00BF5367">
        <w:rPr>
          <w:vertAlign w:val="superscript"/>
        </w:rPr>
        <w:t>1</w:t>
      </w:r>
      <w:r w:rsidRPr="009E46F1">
        <w:t>,</w:t>
      </w:r>
      <w:r w:rsidRPr="007A74A0">
        <w:t xml:space="preserve"> </w:t>
      </w:r>
      <w:r w:rsidR="001E38A6">
        <w:t>Ivan Seregin</w:t>
      </w:r>
      <w:r w:rsidRPr="009E46F1">
        <w:t xml:space="preserve"> </w:t>
      </w:r>
      <w:r w:rsidR="00BF5367">
        <w:rPr>
          <w:vertAlign w:val="superscript"/>
        </w:rPr>
        <w:t>1</w:t>
      </w:r>
      <w:r w:rsidR="007D111A">
        <w:rPr>
          <w:vertAlign w:val="superscript"/>
        </w:rPr>
        <w:t>,7</w:t>
      </w:r>
      <w:r w:rsidRPr="009E46F1">
        <w:t>,</w:t>
      </w:r>
      <w:r w:rsidRPr="007A74A0">
        <w:t xml:space="preserve"> </w:t>
      </w:r>
      <w:r w:rsidR="001E38A6">
        <w:t>Luca</w:t>
      </w:r>
      <w:r w:rsidRPr="009E46F1">
        <w:t xml:space="preserve"> </w:t>
      </w:r>
      <w:r w:rsidR="001E38A6" w:rsidRPr="001E38A6">
        <w:t xml:space="preserve">Belelli Marchesini </w:t>
      </w:r>
      <w:r w:rsidR="00BF5367">
        <w:rPr>
          <w:vertAlign w:val="superscript"/>
        </w:rPr>
        <w:t>1,3</w:t>
      </w:r>
      <w:r w:rsidR="001E38A6" w:rsidRPr="009E46F1">
        <w:t>,</w:t>
      </w:r>
      <w:r w:rsidR="001E38A6" w:rsidRPr="007A74A0">
        <w:t xml:space="preserve"> </w:t>
      </w:r>
      <w:r w:rsidR="001E38A6">
        <w:t>Simona</w:t>
      </w:r>
      <w:r w:rsidR="001E38A6" w:rsidRPr="009E46F1">
        <w:t xml:space="preserve"> </w:t>
      </w:r>
      <w:r w:rsidR="001E38A6">
        <w:t>Castaldi</w:t>
      </w:r>
      <w:r w:rsidR="001E38A6" w:rsidRPr="009E46F1">
        <w:t xml:space="preserve"> </w:t>
      </w:r>
      <w:r w:rsidR="00BF5367">
        <w:rPr>
          <w:vertAlign w:val="superscript"/>
        </w:rPr>
        <w:t>1,4</w:t>
      </w:r>
      <w:r w:rsidR="001E38A6" w:rsidRPr="009E46F1">
        <w:t>,</w:t>
      </w:r>
      <w:r w:rsidR="001E38A6" w:rsidRPr="007A74A0">
        <w:t xml:space="preserve"> </w:t>
      </w:r>
      <w:r w:rsidR="001E38A6" w:rsidRPr="001E38A6">
        <w:t>Viacheslav Vasenev</w:t>
      </w:r>
      <w:r w:rsidR="001E38A6" w:rsidRPr="009E46F1">
        <w:t xml:space="preserve"> </w:t>
      </w:r>
      <w:r w:rsidR="00BF5367">
        <w:rPr>
          <w:vertAlign w:val="superscript"/>
        </w:rPr>
        <w:t>1</w:t>
      </w:r>
      <w:r w:rsidRPr="009E46F1">
        <w:t xml:space="preserve"> and </w:t>
      </w:r>
      <w:r w:rsidR="001E38A6">
        <w:t>Riccardo</w:t>
      </w:r>
      <w:r w:rsidRPr="009E46F1">
        <w:t xml:space="preserve"> </w:t>
      </w:r>
      <w:r w:rsidR="001E38A6">
        <w:t>Valentini</w:t>
      </w:r>
      <w:r w:rsidRPr="009E46F1">
        <w:t xml:space="preserve"> </w:t>
      </w:r>
      <w:r w:rsidR="00BF5367">
        <w:rPr>
          <w:vertAlign w:val="superscript"/>
        </w:rPr>
        <w:t>1,5,6</w:t>
      </w:r>
    </w:p>
    <w:p w14:paraId="0AD2BF50" w14:textId="503CC2DE" w:rsidR="007A74A0" w:rsidRPr="009E46F1" w:rsidRDefault="007A74A0" w:rsidP="007A74A0">
      <w:pPr>
        <w:pStyle w:val="MDPI16affiliation"/>
      </w:pPr>
      <w:commentRangeStart w:id="0"/>
      <w:r w:rsidRPr="009E46F1">
        <w:rPr>
          <w:vertAlign w:val="superscript"/>
        </w:rPr>
        <w:t>1</w:t>
      </w:r>
      <w:r w:rsidRPr="009E46F1">
        <w:tab/>
      </w:r>
      <w:r w:rsidR="001E38A6" w:rsidRPr="001E38A6">
        <w:t xml:space="preserve">Department of Landscape Design and Sustainable Ecosystems, Agrarian-Technological Institute, RUDN University, Miklukho-Maklaya str., 6, </w:t>
      </w:r>
      <w:r w:rsidR="00BF5367">
        <w:t xml:space="preserve">117198, </w:t>
      </w:r>
      <w:r w:rsidR="001E38A6" w:rsidRPr="001E38A6">
        <w:t>Moscow, Russia</w:t>
      </w:r>
      <w:r w:rsidR="0098571D">
        <w:t>;</w:t>
      </w:r>
    </w:p>
    <w:p w14:paraId="520225D2" w14:textId="3E8BBDFD" w:rsidR="007A74A0" w:rsidRDefault="007A74A0" w:rsidP="007A74A0">
      <w:pPr>
        <w:pStyle w:val="MDPI16affiliation"/>
      </w:pPr>
      <w:r w:rsidRPr="009E46F1">
        <w:rPr>
          <w:szCs w:val="20"/>
          <w:vertAlign w:val="superscript"/>
        </w:rPr>
        <w:t>2</w:t>
      </w:r>
      <w:r w:rsidRPr="009E46F1">
        <w:rPr>
          <w:szCs w:val="20"/>
        </w:rPr>
        <w:tab/>
      </w:r>
      <w:r w:rsidR="00BF5367" w:rsidRPr="00BF5367">
        <w:rPr>
          <w:szCs w:val="20"/>
        </w:rPr>
        <w:t>Department of Agricultural and Forestry Science, University of Palermo, Viale delle Scienze, Ed. 4, 90128 Palermo, Italy</w:t>
      </w:r>
      <w:r w:rsidRPr="009E46F1">
        <w:rPr>
          <w:szCs w:val="20"/>
        </w:rPr>
        <w:t>;</w:t>
      </w:r>
    </w:p>
    <w:p w14:paraId="600A3D42" w14:textId="6DA1754D" w:rsidR="00BF5367" w:rsidRPr="009E46F1" w:rsidRDefault="00BF5367" w:rsidP="00D2347F">
      <w:pPr>
        <w:pStyle w:val="MDPI16affiliation"/>
      </w:pPr>
      <w:r>
        <w:rPr>
          <w:szCs w:val="20"/>
          <w:vertAlign w:val="superscript"/>
        </w:rPr>
        <w:t>3</w:t>
      </w:r>
      <w:r w:rsidRPr="009E46F1">
        <w:rPr>
          <w:szCs w:val="20"/>
        </w:rPr>
        <w:tab/>
      </w:r>
      <w:r w:rsidR="00D2347F" w:rsidRPr="00D2347F">
        <w:rPr>
          <w:szCs w:val="20"/>
        </w:rPr>
        <w:t>Department of Sustainable Agro-ecosystems and Bioresources, Research and Innovation Centre, Fondazione Edmund Mach, San Michele all’Adige, Italy;</w:t>
      </w:r>
    </w:p>
    <w:p w14:paraId="03DCFA27" w14:textId="5DDC5469" w:rsidR="00BF5367" w:rsidRPr="009E46F1" w:rsidRDefault="00BF5367" w:rsidP="00D2347F">
      <w:pPr>
        <w:pStyle w:val="MDPI16affiliation"/>
      </w:pPr>
      <w:r>
        <w:rPr>
          <w:szCs w:val="20"/>
          <w:vertAlign w:val="superscript"/>
        </w:rPr>
        <w:t>4</w:t>
      </w:r>
      <w:r w:rsidRPr="009E46F1">
        <w:rPr>
          <w:szCs w:val="20"/>
        </w:rPr>
        <w:tab/>
      </w:r>
      <w:r w:rsidR="00D2347F" w:rsidRPr="00D2347F">
        <w:rPr>
          <w:szCs w:val="20"/>
        </w:rPr>
        <w:t>Department of Environmental, Biological and Pharmaceutical Sciences and Technologies, Campania University “Luigi Vanvitelli”, Via Vivaldi 43, 81100 Caserta, Italy</w:t>
      </w:r>
      <w:r w:rsidR="0098571D">
        <w:rPr>
          <w:szCs w:val="20"/>
        </w:rPr>
        <w:t>;</w:t>
      </w:r>
    </w:p>
    <w:p w14:paraId="4F75503B" w14:textId="13CF3E4D" w:rsidR="00BF5367" w:rsidRPr="009E46F1" w:rsidRDefault="00BF5367" w:rsidP="00BF5367">
      <w:pPr>
        <w:pStyle w:val="MDPI16affiliation"/>
      </w:pPr>
      <w:r>
        <w:rPr>
          <w:szCs w:val="20"/>
          <w:vertAlign w:val="superscript"/>
        </w:rPr>
        <w:t>5</w:t>
      </w:r>
      <w:r w:rsidRPr="009E46F1">
        <w:rPr>
          <w:szCs w:val="20"/>
        </w:rPr>
        <w:tab/>
      </w:r>
      <w:r w:rsidR="00D2347F" w:rsidRPr="00D2347F">
        <w:rPr>
          <w:szCs w:val="20"/>
        </w:rPr>
        <w:t>Department for Innovation in Biological, Agro-Food and Forest Systems, University of Tuscia, Via S.M. in Gradi n.4, 01100 Viterbo, I</w:t>
      </w:r>
      <w:r w:rsidR="00D2347F">
        <w:rPr>
          <w:szCs w:val="20"/>
        </w:rPr>
        <w:t>taly</w:t>
      </w:r>
      <w:r w:rsidR="0098571D">
        <w:rPr>
          <w:szCs w:val="20"/>
        </w:rPr>
        <w:t>;</w:t>
      </w:r>
    </w:p>
    <w:p w14:paraId="43B6199B" w14:textId="4EC57841" w:rsidR="00BF5367" w:rsidRDefault="00BF5367" w:rsidP="00D2347F">
      <w:pPr>
        <w:pStyle w:val="MDPI16affiliation"/>
        <w:rPr>
          <w:szCs w:val="20"/>
        </w:rPr>
      </w:pPr>
      <w:r>
        <w:rPr>
          <w:szCs w:val="20"/>
          <w:vertAlign w:val="superscript"/>
        </w:rPr>
        <w:t>6</w:t>
      </w:r>
      <w:r w:rsidRPr="009E46F1">
        <w:rPr>
          <w:szCs w:val="20"/>
        </w:rPr>
        <w:tab/>
      </w:r>
      <w:r w:rsidR="00D2347F" w:rsidRPr="00D2347F">
        <w:rPr>
          <w:szCs w:val="20"/>
        </w:rPr>
        <w:t>CMCC Foundation</w:t>
      </w:r>
      <w:r w:rsidR="00D2347F">
        <w:rPr>
          <w:szCs w:val="20"/>
        </w:rPr>
        <w:t>,</w:t>
      </w:r>
      <w:r w:rsidR="00D2347F" w:rsidRPr="00D2347F">
        <w:rPr>
          <w:szCs w:val="20"/>
        </w:rPr>
        <w:t xml:space="preserve"> via Augusto Imperatore, 16</w:t>
      </w:r>
      <w:r w:rsidR="00D2347F">
        <w:rPr>
          <w:szCs w:val="20"/>
        </w:rPr>
        <w:t xml:space="preserve">, </w:t>
      </w:r>
      <w:r w:rsidR="00D2347F" w:rsidRPr="00D2347F">
        <w:rPr>
          <w:szCs w:val="20"/>
        </w:rPr>
        <w:t>73100 Lecce, Italy</w:t>
      </w:r>
      <w:r w:rsidR="0098571D">
        <w:rPr>
          <w:szCs w:val="20"/>
        </w:rPr>
        <w:t>;</w:t>
      </w:r>
    </w:p>
    <w:p w14:paraId="19294433" w14:textId="1D9F169C" w:rsidR="007D111A" w:rsidRDefault="007D111A" w:rsidP="007D111A">
      <w:pPr>
        <w:pStyle w:val="MDPI16affiliation"/>
        <w:rPr>
          <w:szCs w:val="20"/>
        </w:rPr>
      </w:pPr>
      <w:r w:rsidRPr="007D111A">
        <w:rPr>
          <w:szCs w:val="20"/>
          <w:vertAlign w:val="superscript"/>
        </w:rPr>
        <w:t>7</w:t>
      </w:r>
      <w:r w:rsidRPr="009E46F1">
        <w:rPr>
          <w:szCs w:val="20"/>
        </w:rPr>
        <w:tab/>
      </w:r>
      <w:r>
        <w:rPr>
          <w:szCs w:val="20"/>
        </w:rPr>
        <w:t>Department of ecology</w:t>
      </w:r>
      <w:r w:rsidRPr="007D111A">
        <w:rPr>
          <w:szCs w:val="20"/>
        </w:rPr>
        <w:t>, Russian Timiryazev State Agrarian University, Moscow, Russia</w:t>
      </w:r>
      <w:r>
        <w:rPr>
          <w:szCs w:val="20"/>
        </w:rPr>
        <w:t>;</w:t>
      </w:r>
    </w:p>
    <w:p w14:paraId="08A34629" w14:textId="77777777" w:rsidR="007D111A" w:rsidRPr="009E46F1" w:rsidRDefault="007D111A" w:rsidP="00D2347F">
      <w:pPr>
        <w:pStyle w:val="MDPI16affiliation"/>
      </w:pPr>
    </w:p>
    <w:p w14:paraId="3771C740" w14:textId="606ACC4C" w:rsidR="007A74A0" w:rsidRPr="009E46F1" w:rsidRDefault="007A74A0" w:rsidP="007A74A0">
      <w:pPr>
        <w:pStyle w:val="MDPI14history"/>
        <w:spacing w:before="0"/>
        <w:ind w:left="311" w:hanging="198"/>
      </w:pPr>
      <w:r w:rsidRPr="009E46F1">
        <w:rPr>
          <w:b/>
        </w:rPr>
        <w:t>*</w:t>
      </w:r>
      <w:r w:rsidRPr="009E46F1">
        <w:tab/>
        <w:t xml:space="preserve">Correspondence: </w:t>
      </w:r>
      <w:r w:rsidR="00D2347F">
        <w:t>matasov-vm</w:t>
      </w:r>
      <w:r w:rsidR="00D2347F" w:rsidRPr="009E46F1">
        <w:t>@</w:t>
      </w:r>
      <w:r w:rsidR="00D2347F">
        <w:t>pfur.ru</w:t>
      </w:r>
      <w:r w:rsidR="0098571D">
        <w:t>;</w:t>
      </w:r>
      <w:commentRangeEnd w:id="0"/>
      <w:r w:rsidR="0098571D">
        <w:rPr>
          <w:rStyle w:val="a7"/>
          <w:rFonts w:ascii="Calibri" w:eastAsia="Calibri" w:hAnsi="Calibri" w:cs="Calibri"/>
          <w:color w:val="auto"/>
          <w:lang w:eastAsia="ru-RU" w:bidi="ar-SA"/>
        </w:rPr>
        <w:commentReference w:id="0"/>
      </w:r>
    </w:p>
    <w:p w14:paraId="22F5B38D" w14:textId="77777777" w:rsidR="007A74A0" w:rsidRPr="009E46F1" w:rsidRDefault="007A74A0" w:rsidP="007A74A0">
      <w:pPr>
        <w:pStyle w:val="MDPI14history"/>
      </w:pPr>
      <w:r w:rsidRPr="009E46F1">
        <w:t>Received: date; Accepted: date; Published: date</w:t>
      </w:r>
    </w:p>
    <w:p w14:paraId="41DC2E51" w14:textId="77777777" w:rsidR="005D30E5" w:rsidRDefault="005D30E5" w:rsidP="00364A09">
      <w:pPr>
        <w:spacing w:after="0"/>
        <w:rPr>
          <w:rFonts w:ascii="Times New Roman" w:eastAsia="Times New Roman" w:hAnsi="Times New Roman" w:cs="Times New Roman"/>
          <w:b/>
          <w:sz w:val="24"/>
          <w:szCs w:val="24"/>
        </w:rPr>
      </w:pPr>
    </w:p>
    <w:p w14:paraId="2A125174" w14:textId="77777777" w:rsidR="00364A09" w:rsidRDefault="00364A09" w:rsidP="00364A0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BCBA709" w14:textId="1EE8172E"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It is necessary to expand the uses of digital and computing technologies to green infrastructure management, as it is a crucial component for human well-being under the rapid urbanization.</w:t>
      </w:r>
    </w:p>
    <w:p w14:paraId="6ED3BA37" w14:textId="7B509AE0"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806DDE">
        <w:rPr>
          <w:rFonts w:ascii="Times New Roman" w:eastAsia="Times New Roman" w:hAnsi="Times New Roman" w:cs="Times New Roman"/>
          <w:sz w:val="24"/>
          <w:szCs w:val="24"/>
        </w:rPr>
        <w:t xml:space="preserve">Bolotnaya square </w:t>
      </w:r>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small green area (370m length and 120m width) </w:t>
      </w:r>
      <w:r w:rsidR="00F52D03">
        <w:rPr>
          <w:rFonts w:ascii="Times New Roman" w:eastAsia="Times New Roman" w:hAnsi="Times New Roman" w:cs="Times New Roman"/>
          <w:sz w:val="24"/>
          <w:szCs w:val="24"/>
        </w:rPr>
        <w:t xml:space="preserve">situated on the island Balchug </w:t>
      </w:r>
      <w:r w:rsidR="00F52D03" w:rsidRPr="00806DDE">
        <w:rPr>
          <w:rFonts w:ascii="Times New Roman" w:eastAsia="Times New Roman" w:hAnsi="Times New Roman" w:cs="Times New Roman"/>
          <w:sz w:val="24"/>
          <w:szCs w:val="24"/>
        </w:rPr>
        <w:t xml:space="preserve">in the center of </w:t>
      </w:r>
      <w:r w:rsidR="00F52D03">
        <w:rPr>
          <w:rFonts w:ascii="Times New Roman" w:eastAsia="Times New Roman" w:hAnsi="Times New Roman" w:cs="Times New Roman"/>
          <w:sz w:val="24"/>
          <w:szCs w:val="24"/>
        </w:rPr>
        <w:t xml:space="preserve">Moscow – </w:t>
      </w:r>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F327CE">
        <w:rPr>
          <w:rFonts w:ascii="Times New Roman" w:eastAsia="Times New Roman" w:hAnsi="Times New Roman" w:cs="Times New Roman"/>
          <w:sz w:val="24"/>
          <w:szCs w:val="24"/>
        </w:rPr>
        <w:t xml:space="preserve"> </w:t>
      </w:r>
      <w:r w:rsidRPr="008659E7">
        <w:rPr>
          <w:rFonts w:ascii="Times New Roman" w:eastAsia="Times New Roman" w:hAnsi="Times New Roman" w:cs="Times New Roman"/>
          <w:sz w:val="24"/>
          <w:szCs w:val="24"/>
        </w:rPr>
        <w:t xml:space="preserve">For real-time monitoring </w:t>
      </w:r>
      <w:r w:rsidR="007C0EB3">
        <w:rPr>
          <w:rFonts w:ascii="Times New Roman" w:eastAsia="Times New Roman" w:hAnsi="Times New Roman" w:cs="Times New Roman"/>
          <w:sz w:val="24"/>
          <w:szCs w:val="24"/>
        </w:rPr>
        <w:t>six</w:t>
      </w:r>
      <w:r w:rsidRPr="008659E7">
        <w:rPr>
          <w:rFonts w:ascii="Times New Roman" w:eastAsia="Times New Roman" w:hAnsi="Times New Roman" w:cs="Times New Roman"/>
          <w:sz w:val="24"/>
          <w:szCs w:val="24"/>
        </w:rPr>
        <w:t>teen TreeTalkers that provide data on physiological conditions of a single tree were installed to describe different species in their local conditions.</w:t>
      </w:r>
      <w:r>
        <w:rPr>
          <w:rFonts w:ascii="Times New Roman" w:eastAsia="Times New Roman" w:hAnsi="Times New Roman" w:cs="Times New Roman"/>
          <w:sz w:val="24"/>
          <w:szCs w:val="24"/>
        </w:rPr>
        <w:t xml:space="preserve"> All measurements were conducted </w:t>
      </w:r>
      <w:r w:rsidRPr="00DD3DDC">
        <w:rPr>
          <w:rFonts w:ascii="Times New Roman" w:eastAsia="Times New Roman" w:hAnsi="Times New Roman" w:cs="Times New Roman"/>
          <w:sz w:val="24"/>
          <w:szCs w:val="24"/>
        </w:rPr>
        <w:t xml:space="preserve">from 1 July </w:t>
      </w:r>
      <w:r>
        <w:rPr>
          <w:rFonts w:ascii="Times New Roman" w:eastAsia="Times New Roman" w:hAnsi="Times New Roman" w:cs="Times New Roman"/>
          <w:sz w:val="24"/>
          <w:szCs w:val="24"/>
        </w:rPr>
        <w:t>to 31 November with 1</w:t>
      </w:r>
      <w:r w:rsidR="00F52D03">
        <w:rPr>
          <w:rFonts w:ascii="Times New Roman" w:eastAsia="Times New Roman" w:hAnsi="Times New Roman" w:cs="Times New Roman"/>
          <w:sz w:val="24"/>
          <w:szCs w:val="24"/>
        </w:rPr>
        <w:t>.</w:t>
      </w:r>
      <w:r>
        <w:rPr>
          <w:rFonts w:ascii="Times New Roman" w:eastAsia="Times New Roman" w:hAnsi="Times New Roman" w:cs="Times New Roman"/>
          <w:sz w:val="24"/>
          <w:szCs w:val="24"/>
        </w:rPr>
        <w:t>5 hour time resolution. We used R</w:t>
      </w:r>
      <w:r w:rsidRPr="00F060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programming language for </w:t>
      </w:r>
      <w:r w:rsidR="00F52D03">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data processing. To move from parameters of trees functioning to provided ecosystem services we established several indicators related to climate, air and water regulation.</w:t>
      </w:r>
    </w:p>
    <w:p w14:paraId="4B9BC7CA" w14:textId="706052A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that the average tree in Moscow center </w:t>
      </w:r>
      <w:r w:rsidR="00F52D03">
        <w:rPr>
          <w:rFonts w:ascii="Times New Roman" w:eastAsia="Times New Roman" w:hAnsi="Times New Roman" w:cs="Times New Roman"/>
          <w:sz w:val="24"/>
          <w:szCs w:val="24"/>
        </w:rPr>
        <w:t xml:space="preserve">during investigated period </w:t>
      </w:r>
      <w:r>
        <w:rPr>
          <w:rFonts w:ascii="Times New Roman" w:eastAsia="Times New Roman" w:hAnsi="Times New Roman" w:cs="Times New Roman"/>
          <w:sz w:val="24"/>
          <w:szCs w:val="24"/>
        </w:rPr>
        <w:t>reduce</w:t>
      </w:r>
      <w:r w:rsidR="007C0EB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extreme heat on 2</w:t>
      </w:r>
      <w:r w:rsidR="00C34498" w:rsidRPr="0039589E">
        <w:rPr>
          <w:rFonts w:ascii="Times New Roman" w:eastAsia="Times New Roman" w:hAnsi="Times New Roman" w:cs="Times New Roman"/>
          <w:sz w:val="24"/>
          <w:szCs w:val="24"/>
        </w:rPr>
        <w:t>℃</w:t>
      </w:r>
      <w:r w:rsidRPr="001146ED">
        <w:rPr>
          <w:rFonts w:ascii="Times New Roman" w:eastAsia="Times New Roman" w:hAnsi="Times New Roman" w:cs="Times New Roman"/>
          <w:sz w:val="24"/>
          <w:szCs w:val="24"/>
        </w:rPr>
        <w:t xml:space="preserve"> degree and cooled down the area by consuming energy on 4</w:t>
      </w:r>
      <w:r w:rsidR="00C34498">
        <w:rPr>
          <w:rFonts w:ascii="Times New Roman" w:eastAsia="Times New Roman" w:hAnsi="Times New Roman" w:cs="Times New Roman"/>
          <w:sz w:val="24"/>
          <w:szCs w:val="24"/>
        </w:rPr>
        <w:t>9</w:t>
      </w:r>
      <w:r w:rsidRPr="001146ED">
        <w:rPr>
          <w:rFonts w:ascii="Times New Roman" w:eastAsia="Times New Roman" w:hAnsi="Times New Roman" w:cs="Times New Roman"/>
          <w:sz w:val="24"/>
          <w:szCs w:val="24"/>
        </w:rPr>
        <w:t xml:space="preserve">00KWh, transpires </w:t>
      </w:r>
      <w:r w:rsidR="00F52D03">
        <w:rPr>
          <w:rFonts w:ascii="Times New Roman" w:eastAsia="Times New Roman" w:hAnsi="Times New Roman" w:cs="Times New Roman"/>
          <w:sz w:val="24"/>
          <w:szCs w:val="24"/>
        </w:rPr>
        <w:t>160</w:t>
      </w:r>
      <w:r w:rsidRPr="001146ED">
        <w:rPr>
          <w:rFonts w:ascii="Times New Roman" w:eastAsia="Times New Roman" w:hAnsi="Times New Roman" w:cs="Times New Roman"/>
          <w:sz w:val="24"/>
          <w:szCs w:val="24"/>
        </w:rPr>
        <w:t xml:space="preserve"> m</w:t>
      </w:r>
      <w:r w:rsidR="00F52D03">
        <w:rPr>
          <w:rFonts w:ascii="Times New Roman" w:eastAsia="Times New Roman" w:hAnsi="Times New Roman" w:cs="Times New Roman"/>
          <w:sz w:val="24"/>
          <w:szCs w:val="24"/>
        </w:rPr>
        <w:t>m</w:t>
      </w:r>
      <w:r w:rsidRPr="001146ED">
        <w:rPr>
          <w:rFonts w:ascii="Times New Roman" w:eastAsia="Times New Roman" w:hAnsi="Times New Roman" w:cs="Times New Roman"/>
          <w:sz w:val="24"/>
          <w:szCs w:val="24"/>
          <w:vertAlign w:val="superscript"/>
        </w:rPr>
        <w:t xml:space="preserve"> </w:t>
      </w:r>
      <w:r w:rsidRPr="001146ED">
        <w:rPr>
          <w:rFonts w:ascii="Times New Roman" w:eastAsia="Times New Roman" w:hAnsi="Times New Roman" w:cs="Times New Roman"/>
          <w:sz w:val="24"/>
          <w:szCs w:val="24"/>
        </w:rPr>
        <w:t xml:space="preserve">of </w:t>
      </w:r>
      <w:r w:rsidR="00F52D03">
        <w:rPr>
          <w:rFonts w:ascii="Times New Roman" w:eastAsia="Times New Roman" w:hAnsi="Times New Roman" w:cs="Times New Roman"/>
          <w:sz w:val="24"/>
          <w:szCs w:val="24"/>
        </w:rPr>
        <w:t xml:space="preserve">precipitation </w:t>
      </w:r>
      <w:r w:rsidRPr="001146ED">
        <w:rPr>
          <w:rFonts w:ascii="Times New Roman" w:eastAsia="Times New Roman" w:hAnsi="Times New Roman" w:cs="Times New Roman"/>
          <w:sz w:val="24"/>
          <w:szCs w:val="24"/>
        </w:rPr>
        <w:t>water, deposits 1</w:t>
      </w:r>
      <w:r w:rsidR="00F52D03">
        <w:rPr>
          <w:rFonts w:ascii="Times New Roman" w:eastAsia="Times New Roman" w:hAnsi="Times New Roman" w:cs="Times New Roman"/>
          <w:sz w:val="24"/>
          <w:szCs w:val="24"/>
        </w:rPr>
        <w:t>2</w:t>
      </w:r>
      <w:r w:rsidRPr="001146ED">
        <w:rPr>
          <w:rFonts w:ascii="Times New Roman" w:eastAsia="Times New Roman" w:hAnsi="Times New Roman" w:cs="Times New Roman"/>
          <w:sz w:val="24"/>
          <w:szCs w:val="24"/>
        </w:rPr>
        <w:t xml:space="preserve"> kg of Carbon and absorbs </w:t>
      </w:r>
      <w:r w:rsidR="00F52D03">
        <w:rPr>
          <w:rFonts w:ascii="Times New Roman" w:eastAsia="Times New Roman" w:hAnsi="Times New Roman" w:cs="Times New Roman"/>
          <w:sz w:val="24"/>
          <w:szCs w:val="24"/>
        </w:rPr>
        <w:t>4.5</w:t>
      </w:r>
      <w:r w:rsidRPr="001146ED">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k</w:t>
      </w:r>
      <w:r w:rsidRPr="001146ED">
        <w:rPr>
          <w:rFonts w:ascii="Times New Roman" w:eastAsia="Times New Roman" w:hAnsi="Times New Roman" w:cs="Times New Roman"/>
          <w:sz w:val="24"/>
          <w:szCs w:val="24"/>
        </w:rPr>
        <w:t>g of PM</w:t>
      </w:r>
      <w:r w:rsidRPr="0005675C">
        <w:rPr>
          <w:rFonts w:ascii="Times New Roman" w:eastAsia="Times New Roman" w:hAnsi="Times New Roman" w:cs="Times New Roman"/>
          <w:sz w:val="24"/>
          <w:szCs w:val="24"/>
          <w:vertAlign w:val="subscript"/>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(up to five-ten times) under the influence of local conditions and also depends substantially on seasonal and weather changes. Thus, it is crucial to use real-time monitoring data to understand deeper the processes in urban forests. There is a new opportunity of applying IoT technology not only to measure the functioning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but to establish a smart urban green infrastructure management based on ecosystem services indicators.</w:t>
      </w:r>
    </w:p>
    <w:p w14:paraId="324C7B4F" w14:textId="77777777" w:rsidR="00364A09" w:rsidRDefault="00364A09" w:rsidP="00364A09">
      <w:pPr>
        <w:spacing w:after="0"/>
        <w:rPr>
          <w:rFonts w:ascii="Times New Roman" w:eastAsia="Times New Roman" w:hAnsi="Times New Roman" w:cs="Times New Roman"/>
          <w:sz w:val="24"/>
          <w:szCs w:val="24"/>
        </w:rPr>
      </w:pPr>
    </w:p>
    <w:p w14:paraId="3B2340E5" w14:textId="47AB748B" w:rsidR="00364A09" w:rsidRDefault="00364A09" w:rsidP="00364A09">
      <w:pPr>
        <w:spacing w:after="0"/>
        <w:rPr>
          <w:rFonts w:ascii="Times New Roman" w:eastAsia="Times New Roman" w:hAnsi="Times New Roman" w:cs="Times New Roman"/>
          <w:sz w:val="24"/>
          <w:szCs w:val="24"/>
        </w:rPr>
      </w:pPr>
      <w:commentRangeStart w:id="1"/>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Ecosystem services, Ecological engineering, Green infrastructure, Real-time monitoring, Smart cities, Sustainability, TreeTalker, Trees, Urban forests.</w:t>
      </w:r>
      <w:r>
        <w:br w:type="page"/>
      </w:r>
      <w:commentRangeEnd w:id="1"/>
      <w:r w:rsidR="00565ED8">
        <w:rPr>
          <w:rStyle w:val="a7"/>
        </w:rPr>
        <w:commentReference w:id="1"/>
      </w:r>
    </w:p>
    <w:p w14:paraId="527D57B3"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2D9A44F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1253C65E" w14:textId="50F212BB"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and more than two thirds are expected to live in cities by 2050</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{"citationID":"8Fl4cjz4","properties":{"formattedCitation":"(Dye, 2008)","plainCitation":"(Dye, 2008)","noteIndex":0},"citationItems":[{"id":1753,"uris":["http://zotero.org/users/3524663/items/BDV84TEI"],"uri":["http://zotero.org/users/3524663/items/BDV84TEI"],"itemData":{"id":1753,"type":"article-journal","abstract":"The majority of people now live in urban areas and will do so for the foreseeable future. As a force in the demographic and health transition, urbanization is associated with falling birth and death rates and with the shift in burden of illness from acute childhood infections to chronic, noncommunicable diseases of adults. Urban inhabitants enjoy better health on average than their rural counterparts, but the benefits are usually greater for the rich than for the poor, thus magnifying the differences between them. Subject to better evidence, I suggest that the main obstacles to improving urban health are not technical or even financial, but rather are related to governance and the organization of civil society.","container-title":"Science","DOI":"10.1126/science.1150198","issue":"5864","journalAbbreviation":"Science","page":"766","title":"Health and Urban Living","volume":"319","author":[{"family":"Dye","given":"Christopher"}],"issued":{"date-parts":[["2008"]]}}}],"schema":"https://github.com/citation-style-language/schema/raw/master/csl-citation.json"}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(Dye, 2008)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Concentration of population in cities plays a significant role in fostering economic development and encouraging innovation due to economies of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{"citationID":"wnWhbsSI","properties":{"formattedCitation":"(Bettencourt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this process may also have negative effects on many aspects of human well-being, including increasing crime rates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{"citationID":"puw93ltJ","properties":{"formattedCitation":"(Bettencourt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growing health risks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{"citationID":"YTbY0k0D","properties":{"formattedCitation":"(Frumkin, 2003; Lederbogen et al., 2011)","plainCitation":"(Frumkin, 2003; Lederbogen et al., 2011)","noteIndex":0},"citationItems":[{"id":1750,"uris":["http://zotero.org/users/3524663/items/2YULSRP7"],"uri":["http://zotero.org/users/3524663/items/2YULSRP7"],"itemData":{"id":1750,"type":"article-journal","container-title":"American Journal of Public Health","DOI":"10.2105/AJPH.93.9.1451","ISSN":"0090-0036, 1541-0048","issue":"9","journalAbbreviation":"Am J Public Health","language":"en","page":"1451-1456","source":"DOI.org (Crossref)","title":"Healthy Places: Exploring the Evidence","title-short":"Healthy Places","volume":"93","author":[{"family":"Frumkin","given":"Howard"}],"issued":{"date-parts":[["2003",9]]}}},{"id":1749,"uris":["http://zotero.org/users/3524663/items/FIZMVWHN"],"uri":["http://zotero.org/users/3524663/items/FIZMVWHN"],"itemData":{"id":1749,"type":"article-journal","container-title":"Nature","DOI":"10.1038/nature10190","ISSN":"0028-0836, 1476-4687","issue":"7352","journalAbbreviation":"Nature","language":"en","page":"498-501","source":"DOI.org (Crossref)","title":"City living and urban upbringing affect neural social stress processing in humans","volume":"474","author":[{"family":"Lederbogen","given":"Florian"},{"family":"Kirsch","given":"Peter"},{"family":"Haddad","given":"Leila"},{"family":"Streit","given":"Fabian"},{"family":"Tost","given":"Heike"},{"family":"Schuch","given":"Philipp"},{"family":"Wüst","given":"Stefan"},{"family":"Pruessner","given":"Jens C."},{"family":"Rietschel","given":"Marcella"},{"family":"Deuschle","given":"Michael"},{"family":"Meyer-Lindenberg","given":"Andreas"}],"issued":{"date-parts":[["2011",6]]}}}],"schema":"https://github.com/citation-style-language/schema/raw/master/csl-citation.json"}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(Frumkin, 2003; Lederbogen et al., 2011)</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Moreover, it was shown that urban areas significantly contribute to climate change and global carbon emissions, ecosystem degradation and biodiversity loss on a global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{"citationID":"ruuhY92D","properties":{"formattedCitation":"(Grimm et al., 2008; Seto et al., 2012)","plainCitation":"(Grimm et al., 2008; Seto et al., 2012)","noteIndex":0},"citationItems":[{"id":1748,"uris":["http://zotero.org/users/3524663/items/3GB5JZQH"],"uri":["http://zotero.org/users/3524663/items/3GB5JZQH"],"itemData":{"id":1748,"type":"article-journal","abstract":"Urban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world.","container-title":"Science","DOI":"10.1126/science.1150195","issue":"5864","journalAbbreviation":"Science","page":"756","title":"Global Change and the Ecology of Cities","volume":"319","author":[{"family":"Grimm","given":"Nancy B."},{"family":"Faeth","given":"Stanley H."},{"family":"Golubiewski","given":"Nancy E."},{"family":"Redman","given":"Charles L."},{"family":"Wu","given":"Jianguo"},{"family":"Bai","given":"Xuemei"},{"family":"Briggs","given":"John M."}],"issued":{"date-parts":[["2008"]]}}},{"id":1746,"uris":["http://zotero.org/users/3524663/items/MVIBSLFK"],"uri":["http://zotero.org/users/3524663/items/MVIBSLFK"],"itemData":{"id":1746,"type":"article-journal","container-title":"Proceedings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(Grimm et al., 2008; Seto et al., 2012)</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It is well-known that people living in urban areas depend on natural ecosystems not only within the city limits, but also beyond the urban area</w:t>
      </w:r>
      <w:r w:rsidR="00667A36">
        <w:rPr>
          <w:rFonts w:ascii="Times New Roman" w:eastAsia="Times New Roman" w:hAnsi="Times New Roman" w:cs="Times New Roman"/>
          <w:sz w:val="24"/>
          <w:szCs w:val="24"/>
        </w:rPr>
        <w:t xml:space="preserv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{"citationID":"ZaHSjeZG","properties":{"formattedCitation":"(Bolund and Hunhammar, 1999)","plainCitation":"(Bolund and Hunhammar, 1999)","noteIndex":0},"citationItems":[{"id":1241,"uris":["http://zotero.org/users/3524663/items/JY9ZI4CT"],"uri":["http://zotero.org/users/3524663/items/JY9ZI4CT"],"itemData":{"id":1241,"type":"article-journal","abstract":"Humanity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thus demands on natural capital and ecosystems services keep increasing steadily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{"citationID":"EdeCYiXt","properties":{"formattedCitation":"(Guo et al., 2010; Krausmann et al., 2018)","plainCitation":"(Guo et al., 2010; Krausmann et al., 2018)","noteIndex":0},"citationItems":[{"id":1745,"uris":["http://zotero.org/users/3524663/items/JIBLWDPH"],"uri":["http://zotero.org/users/3524663/items/JIBLWDPH"],"itemData":{"id":1745,"type":"article-journal","abstract":"Humans have altered ecosystems more rapidly and extensively than ever, largely to meet rapidly growing demands for resources along with economic development. These demands have been considered important drivers of ecosystem degradation and biodiversity loss. Are humans becoming less dependent on ecosystem services and biodiversity following economic development? Here, we used roundwood production, hydroelectricity generation and tourism investment in 92 biodiversity hotspot and 60 non-hotspot countries as cases to seek the answer. In 1980–2005, annual growth rates of roundwood production, hydroelectricity generation and tourism investment were higher in hotspot countries (5.2, 9.1 and 7.5%) than in non-hotspot countries (3.4, 5.9 and 5.6%), when GDP grew more rapidly in hotspot countries than nonhotspot countries. Annual growth rates of per capita hydropower and per capita tourism investment were higher in hotspot countries (5.3% and 6.1%) than in non-hotspot countries (3.5% and 4.3%); however, the annual growth rate of per capita roundwood production in hotspot countries (1%) was lower than in non-hotspot countries (1.4%). The dependence of humans on cultural services has increased more rapidly than on regulating services, while the dependence on provisioning services has reduced. This pattern is projected to continue during 2005–2020. Our preliminary results show that economic growth has actually made humans more dependent upon ecosystem services and biodiversity. As a consequence, the policies and implementations of both economic development and ecosystems/biodiversity conservation should be formulated and carried out in the context of the increased dependence of humans on ecosystem services along with economic development.","container-title":"PLoS ONE","DOI":"10.1371/journal.pone.0013113","ISSN":"1932-6203","issue":"10","journalAbbreviation":"PLoS ONE","language":"en","page":"e13113","source":"DOI.org (Crossref)","title":"Increased Dependence of Humans on Ecosystem Services and Biodiversity","volume":"5","author":[{"family":"Guo","given":"Zhongwei"},{"family":"Zhang","given":"Lin"},{"family":"Li","given":"Yiming"}],"editor":[{"family":"Romanuk","given":"Tamara Natasha"}],"issued":{"date-parts":[["2010",10,1]]}}},{"id":1744,"uris":["http://zotero.org/users/3524663/items/S8NCGZDU"],"uri":["http://zotero.org/users/3524663/items/S8NCGZDU"],"itemData":{"id":1744,"type":"article-journal","abstract":"The size and structure of the socioeconomic metabolism are key for the planet’s sustainability. In this article, we provide a consistent assessment of the development of material ﬂows through the global economy in the period 1900–2015 using material ﬂow accounting in combination with results from dynamic stock-ﬂow modelling. Based on this approach, we can trace materials from extraction to their use, their accumulation in in-use stocks and ﬁnally to outﬂows of wastes and emissions and provide a comprehensive picture of the evolution of societies metabolism during global industrialization. This enables outlooks on inﬂows and outﬂows, which environmental policy makers require for pursuing strategies towards a more sustainable resource use.","container-title":"Global Environmental Change","DOI":"10.1016/j.gloenvcha.2018.07.003","ISSN":"09593780","journalAbbreviation":"Global Environmental Change","language":"en","page":"131-140","source":"DOI.org (Crossref)","title":"From resource extraction to outflows of wastes and emissions: The socioeconomic metabolism of the global economy, 1900–2015","title-short":"From resource extraction to outflows of wastes and emissions","volume":"52","author":[{"family":"Krausmann","given":"Fridolin"},{"family":"Lauk","given":"Christian"},{"family":"Haas","given":"Willi"},{"family":"Wiedenhofer","given":"Dominik"}],"issued":{"date-parts":[["2018",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(Guo et al., 2010; Krausmann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2EDBE7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65AFDB07" w14:textId="6D05F3D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{"citationID":"T3mlpkUp","properties":{"formattedCitation":"(Vihervaara et al., 2019; Wilkinson et al., 2013)","plainCitation":"(Vihervaara et al., 2019; Wilkinson et al., 2013)","noteIndex":0},"citationItems":[{"id":1743,"uris":["http://zotero.org/users/3524663/items/DJWHC2KU"],"uri":["http://zotero.org/users/3524663/items/DJWHC2KU"],"itemData":{"id":1743,"type":"article-journal","abstract":"This study examines how ecosystem services (ES) have been taken into account historically in strategic spatial plans in Melbourne and Stockholm through a comparative case study analysis of eight strategic spatial plans from 1929-2010. We investigated the types of ES taken into account, and how human-nature relations and the valuation and trade-off discussions regarding ES were framed. An ES coding protocol was developed that categorized and identified 39 ES drawing from the Millennium Ecosystem Assessment and other relevant literature. Only two of the 39 ES were addressed in every plan for both cities, namely freshwater and recreation. While the number of ES referred to in plans has generally increased over time, just under a third of ES in Melbourne and Stockholm were not addressed at all. References to individual ES showed little continuity over time. This variability reveals a time-scale mismatch that has been overlooked in the ES literature with potential urban policy implications. Despite considerable variation in ES addressed across the plans, there is a striking similar pattern in the total numbers of ES addressed over time in both cities. Plans for both cities showed a spike in the late 60s/early 70s, followed by a significant decline in the late 70s/early 80s with the highest number of ES addressed in the most recent plans. Furthermore, our analysis shows that strategic spatial plans generally demonstrate awareness that urban populations are dependent on ecosystems and this framing is an important part of the policy discourse. While specific monetary values were not placed on any ES in the plans, resolution of land-use conflicts requiring tradeoffs between ES and equity of distribution of ES is a central feature of most of the examined plans. We argue that longitudinal policy document analysis represents a useful complement to any attempt to improve understanding of the implications of and opportunities for operationalizing an ES approach in urban practice.","container-title":"Ecology and Society","DOI":"10.5751/ES-05368-180137","ISSN":"1708-3087","issue":"1","journalAbbreviation":"E&amp;S","language":"en","page":"art37","source":"DOI.org (Crossref)","title":"Strategic Spatial Planning and the Ecosystem Services Concept - an Historical Exploration","volume":"18","author":[{"family":"Wilkinson","given":"Cathy"},{"family":"Saarne","given":"Toomas"},{"family":"Peterson","given":"Garry D."},{"family":"Colding","given":"Johan"}],"issued":{"date-parts":[["2013"]]}}},{"id":1209,"uris":["http://zotero.org/users/3524663/items/W5ZPA3QC"],"uri":["http://zotero.org/users/3524663/items/W5ZPA3QC"],"itemData":{"id":1209,"type":"article-journal","container-title":"One Ecosystem","DOI":"10.3897/oneeco.4.e26368","ISSN":"2367-8194","language":"en","source":"Crossref","title":"Methodological interlinkages for mapping ecosystem services – from data to analysis and decision-support","URL":"https://oneecosystem.pensoft.net/article/26368/","volume":"4","author":[{"family":"Vihervaara","given":"Petteri"},{"family":"Viinikka","given":"Arto"},{"family":"Brander","given":"Luke"},{"family":"Santos-Martín","given":"Fernando"},{"family":"Poikolainen","given":"Laura"},{"family":"Nedkov","given":"Stoyan"}],"accessed":{"date-parts":[["2019",8,16]]},"issued":{"date-parts":[["2019",4,18]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(Vihervaara et al., 2019; Wilkinson et al.,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C0EB3">
        <w:rPr>
          <w:rFonts w:ascii="Times New Roman" w:eastAsia="Times New Roman" w:hAnsi="Times New Roman" w:cs="Times New Roman"/>
          <w:sz w:val="24"/>
          <w:szCs w:val="24"/>
        </w:rPr>
        <w:t>It is widely discussed</w:t>
      </w:r>
      <w:r>
        <w:rPr>
          <w:rFonts w:ascii="Times New Roman" w:eastAsia="Times New Roman" w:hAnsi="Times New Roman" w:cs="Times New Roman"/>
          <w:sz w:val="24"/>
          <w:szCs w:val="24"/>
        </w:rPr>
        <w:t xml:space="preserve"> that ES concept could be used as a new Esperanto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{"citationID":"TEwFCoSu","properties":{"formattedCitation":"(Spyra et al., 2019)","plainCitation":"(Spyra et al., 2019)","noteIndex":0},"citationItems":[{"id":1332,"uris":["http://zotero.org/users/3524663/items/LHIB5CZA"],"uri":["http://zotero.org/users/3524663/items/LHIB5CZA"],"itemData":{"id":1332,"type":"article-journal","abstract":"Context Several case studies investigated the role of ecosystem services in participatory planning processes. However, no systematic study exists that cuts across a large number of empirical cases to identify the implications of using ecosystem services in participatory planning.","container-title":"Landscape Ecology","DOI":"10.1007/s10980-018-0745-6","ISSN":"0921-2973, 1572-9761","issue":"7","language":"en","page":"1715-1735","source":"Crossref","title":"The ecosystem services concept: a new Esperanto to facilitate participatory planning processes?","title-short":"The ecosystem services concept","volume":"34","author":[{"family":"Spyra","given":"Marcin"},{"family":"Kleemann","given":"Janina"},{"family":"Cetin","given":"Nuket Ipek"},{"family":"Vázquez Navarrete","given":"Cesar Jesús"},{"family":"Albert","given":"Christian"},{"family":"Palacios-Agundez","given":"Igone"},{"family":"Ametzaga-Arregi","given":"Ibone"},{"family":"La Rosa","given":"Daniele"},{"family":"Rozas-Vásquez","given":"Daniel"},{"family":"Adem Esmail","given":"Blal"},{"family":"Picchi","given":"Paolo"},{"family":"Geneletti","given":"Davide"},{"family":"König","given":"Hannes J."},{"family":"Koo","given":"HongMi"},{"family":"Kopperoinen","given":"Leena"},{"family":"Fürst","given":"Christine"}],"issued":{"date-parts":[["2019",7]]}}}],"schema":"https://github.com/citation-style-language/schema/raw/master/csl-citation.json"}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(Spyra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because </w:t>
      </w:r>
      <w:r w:rsidR="007C0EB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its communicative power in participatory planning processes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{"citationID":"EwboMtvq","properties":{"formattedCitation":"(Haaren et al., 2019; Opdam et al., 2018)","plainCitation":"(Haaren et al., 2019; Opdam et al., 2018)","noteIndex":0},"citationItems":[{"id":213,"uris":["http://zotero.org/users/3524663/items/BBRCB7B5"],"uri":["http://zotero.org/users/3524663/items/BBRCB7B5"],"itemData":{"id":213,"type":"article-journal","container-title":"Landscape Ecology","DOI":"10.1007/s10980-018-0610-7","ISSN":"0921-2973, 1572-9761","issue":"1","language":"en","page":"1-7","source":"CrossRef","title":"How can landscape ecology contribute to sustainability science?","volume":"33","author":[{"family":"Opdam","given":"Paul"},{"family":"Luque","given":"Sandra"},{"family":"Nassauer","given":"Joan"},{"family":"Verburg","given":"Peter H."},{"family":"Wu","given":"Jianguo"}],"issued":{"date-parts":[["2018",1]]}}},{"id":1441,"uris":["http://zotero.org/users/3524663/items/UUCWTWXY"],"uri":["http://zotero.org/users/3524663/items/UUCWTWXY"],"itemData":{"id":1441,"type":"book","abstract":"Human well-being depends in many ways on maintaining the stock of natural resources which deliver the services from which humans benefit. However, these resources and flows of services are increasingly threatened by unsustainable and competing land uses. Particular threats exist to those public goods whose values are not well-represented in markets or whose deterioration will only affect future generations. As market forces alone are not sufficient, effective means for local and regional planning are needed in order to safeguard scarce natural resources, coordinate land uses and create sustainable landscape structures. This book argues that a solution to such challenges in Europe can be found by merging the landscape planning tradition with ecosystem services concepts. Landscape planning has strengths in recognition of public benefits and implementation mechanisms, while the ecosystem services approach makes the connection between the status of natural assets and human well-being more explicit. It can also provide an economic perspective, focused on individual preferences and benefits, which helps validate the acceptability of environmental planning goals. Thus linking landscape planning and ecosystem services provides a two-way benefit, creating a usable science to meet the needs of local and regional decision making. The book is structured around the Drivers-Pressures-State- Impact-Responses framework, providing an introduction to relevant concepts, methodologies and techniques. It presents a new, ecosystem services-informed, approach to landscape planning that constitutes both a framework and toolbox for students and practitioners to address the environmental and landscape challenges of 21st century Europe.","ISBN":"978-94-024-1681-7","language":"en","note":"OCLC: 1106163360","source":"Open WorldCat","title":"Landscape planning with ecosystem services: theories and methods for application in Europe","title-short":"Landscape planning with ecosystem services","URL":"https://public.ebookcentral.proquest.com/choice/publicfullrecord.aspx?p=5925011","author":[{"family":"Haaren","given":"Christina","dropping-particle":"von"},{"family":"Lovett","given":"Andrew A"},{"family":"Albert","given":"Christian"}],"accessed":{"date-parts":[["2019",12,11]]},"issued":{"date-parts":[["2019"]]}}}],"schema":"https://github.com/citation-style-language/schema/raw/master/csl-citation.json"}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(Haaren et al., 2019; Opdam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such comprehensive planning approach requires planners to assess and value nature’s contributions to the human well-being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{"citationID":"odSiXTnE","properties":{"formattedCitation":"(G\\uc0\\u243{}mez-Baggethun and Barton, 2013; UNEP, 2010)","plainCitation":"(Gómez-Baggethun and Barton, 2013; UNEP, 2010)","noteIndex":0},"citationItems":[{"id":1415,"uris":["http://zotero.org/users/3524663/items/LGJ2KZPB"],"uri":["http://zotero.org/users/3524663/items/LGJ2KZPB"],"itemData":{"id":1415,"type":"book","collection-title":"The economics of ecosystems &amp; biodiversity","event-place":"Geneva","ISBN":"978-3-9813410-3-4","language":"en","note":"OCLC: 839833902","number-of-pages":"36","publisher":"UNEP","publisher-place":"Geneva","source":"Gemeinsamer Bibliotheksverbund ISBN","title":"Mainstreaming the economics of nature: a synthesis of the approach, conclusions and recommendations of teeb","title-short":"Mainstreaming the economics of nature","editor":[{"family":"UNEP","given":""}],"issued":{"date-parts":[["2010"]]}}},{"id":1242,"uris":["http://zotero.org/users/3524663/items/CTXX9ZL3"],"uri":["http://zotero.org/users/3524663/items/CTXX9ZL3"],"itemData":{"id":1242,"type":"article-journal","abstract":"While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UNEP, 2010)</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especially in a cities as a coupled human-environment systems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{"citationID":"Bdpb8B8J","properties":{"formattedCitation":"(Wu, 2013)","plainCitation":"(Wu, 2013)","noteIndex":0},"citationItems":[{"id":1741,"uris":["http://zotero.org/users/3524663/items/7XZQA2LW"],"uri":["http://zotero.org/users/3524663/items/7XZQA2LW"],"itemData":{"id":1741,"type":"article-journal","container-title":"Landscape Ecology","DOI":"10.1007/s10980-013-9894-9","ISSN":"0921-2973, 1572-9761","issue":"6","journalAbbreviation":"Landscape Ecol","language":"en","page":"999-1023","source":"DOI.org (Crossref)","title":"Landscape sustainability science: ecosystem services and human well-being in changing landscapes","title-short":"Landscape sustainability science","volume":"28","author":[{"family":"Wu","given":"Jianguo"}],"issued":{"date-parts":[["2013",7]]}}}],"schema":"https://github.com/citation-style-language/schema/raw/master/csl-citation.json"}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(Wu, 2013)</w:t>
      </w:r>
      <w:r w:rsidR="00667A36">
        <w:rPr>
          <w:rFonts w:ascii="Times New Roman" w:eastAsia="Times New Roman" w:hAnsi="Times New Roman" w:cs="Times New Roman"/>
          <w:sz w:val="24"/>
          <w:szCs w:val="24"/>
        </w:rPr>
        <w:fldChar w:fldCharType="end"/>
      </w:r>
      <w:r w:rsidR="00667A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concept of ES and its application to urban environments were addressed by major initiatives like the Millennium Ecosystem Assessment and The Economics of Ecosystems and Biodiversity, and have gained increasing attention in literature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{"citationID":"GWcgEsMg","properties":{"formattedCitation":"(Bolund and Hunhammar, 1999; Haase et al., 2014; Kremer et al., 2016)","plainCitation":"(Bolund and Hunhammar, 1999; Haase et al., 2014; Kremer et al., 2016)","noteIndex":0},"citationItems":[{"id":1241,"uris":["http://zotero.org/users/3524663/items/JY9ZI4CT"],"uri":["http://zotero.org/users/3524663/items/JY9ZI4CT"],"itemData":{"id":1241,"type":"article-journal","abstract":"Humanity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id":1412,"uris":["http://zotero.org/users/3524663/items/AX4N3K7W"],"uri":["http://zotero.org/users/3524663/items/AX4N3K7W"],"itemData":{"id":1412,"type":"article-journal","abstract":"Although a number of comprehensive reviews have examined global ecosystem services (ES), few have focused on studies that assess urban ecosystem services (UES). Given that more than half of the world’s population lives in cities, understanding the dualism of the provision of and need for UES is of critical importance. Which UES are the focus of research, and what types of urban land use are examined? Are models or decision support systems used to assess the provision of UES? Are trade-offs considered? Do studies of UES engage stakeholders? To address these questions, we analyzed 217 papers derived from an ISI Web of Knowledge search using a set of standardized criteria. The results indicate that most UES studies have been undertaken in Europe, North America, and China, at city scale. Assessment methods involve biophysical models, Geographical Information Systems, and valuation, but few study ﬁndings have been implemented as land use policy.","container-title":"AMBIO","DOI":"10.1007/s13280-014-0504-0","ISSN":"0044-7447, 1654-7209","issue":"4","language":"en","page":"413-433","source":"Crossref","title":"A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Åsa"},{"family":"Hamstead","given":"Zoé"},{"family":"Hansen","given":"Rieke"},{"family":"Kabisch","given":"Nadja"},{"family":"Kremer","given":"Peleg"},{"family":"Langemeyer","given":"Johannes"},{"family":"Rall","given":"Emily Lorance"},{"family":"McPhearson","given":"Timon"},{"family":"Pauleit","given":"Stephan"},{"family":"Qureshi","given":"Salman"},{"family":"Schwarz","given":"Nina"},{"family":"Voigt","given":"Annette"},{"family":"Wurster","given":"Daniel"},{"family":"Elmqvist","given":"Thomas"}],"issued":{"date-parts":[["2014",5]]}}},{"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 Haase et al., 2014; Kremer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in a policy debate on green infrastructure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{"citationID":"EFkt1j4l","properties":{"formattedCitation":"(Burkhard et al., 2018)","plainCitation":"(Burkhard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ES concept might be too complex and sometimes does not meet the real world and requirements for planning applications, and even might be misinterpreted in practice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{"citationID":"Ge88eGaZ","properties":{"formattedCitation":"(Cz\\uc0\\u250{}cz et al., 2018; La Rosa et al., 2016; Luederitz et al., 2015)","plainCitation":"(Czúcz et al., 2018; La Rosa et al., 2016; Luederitz et al., 2015)","noteIndex":0},"citationItems":[{"id":1134,"uris":["http://zotero.org/users/3524663/items/KN2D7IRE"],"uri":["http://zotero.org/users/3524663/items/KN2D7IRE"],"itemData":{"id":1134,"type":"article-journal","abstract":"Global urbanization creates opportunities and challenges for human well-being and transition towards sustainability. Urban areas are human-environment systems that depend fundamentally on ecosystems, and thus require an understanding of the management of urban ecosystem services to ensure sustainable urban planning. The purpose of this study is to provide a systematic review of urban ecosystems services research, which addresses the combined domain of ecosystem services and urban development. We examined emerging trends and gaps in how urban ecosystem services are conceptualized in peer-reviewed case study literature, including the geographical distribution of research, the development and use of the urban ecosystem services concept, and the involvement of stakeholders. We highlight six challenges aimed at strengthening the concept's potential to facilitate meaningful inter- and transdisciplinary work for ecosystem services research and planning. Achieving a cohesive conceptual approach in the research ﬁeld will address (i) the need for more extensive spatial and contextual coverage, (ii) continual clariﬁcation of deﬁnitions, (iii) recognition of limited data transferability, (iv) more comprehensive stakeholder involvement, (v) more integrated research efforts, and (vi) translation of scientiﬁc ﬁndings into actionable knowledge, feeding information back into planning and management. We conclude with recommendations for conducting further research while incorporating these challenges. &amp; 2015 Elsevier B.V. All rights reserved.","container-title":"Ecosystem Services","DOI":"10.1016/j.ecoser.2015.05.001","ISSN":"22120416","language":"en","page":"98-112","source":"Crossref","title":"A review of urban ecosystem services: six key challenges for future research","title-short":"A review of urban ecosystem services","volume":"14","author":[{"family":"Luederitz","given":"Christopher"},{"family":"Brink","given":"Ebba"},{"family":"Gralla","given":"Fabienne"},{"family":"Hermelingmeier","given":"Verena"},{"family":"Meyer","given":"Moritz"},{"family":"Niven","given":"Lisa"},{"family":"Panzer","given":"Lars"},{"family":"Partelow","given":"Stefan"},{"family":"Rau","given":"Anna-Lena"},{"family":"Sasaki","given":"Ryuei"},{"family":"Abson","given":"David J."},{"family":"Lang","given":"Daniel J."},{"family":"Wamsler","given":"Christine"},{"family":"Wehrden","given":"Henrik","non-dropping-particle":"von"}],"issued":{"date-parts":[["2015",8]]}}},{"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La Rosa et al., 2016; Luederitz et al., 2015)</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 is common situation when decision-makers pay attention to visible and directly usable ES, which are mainly provisional and cultural ES and underestimate the value of regulating and habitat 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{"citationID":"HU0530gb","properties":{"formattedCitation":"(Mascarenhas et al., 2016; van Oudenhoven et al., 2018; Wissen Hayek et al., 2016)","plainCitation":"(Mascarenhas et al., 2016; van Oudenhoven et al., 2018; Wissen Hayek et al., 2016)","noteIndex":0},"citationItems":[{"id":230,"uris":["http://zotero.org/users/3524663/items/RUVJ34H2"],"uri":["http://zotero.org/users/3524663/items/RUVJ34H2"],"itemData":{"id":230,"type":"article-journal","container-title":"Ecological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id":1740,"uris":["http://zotero.org/users/3524663/items/SFRAJ4VW"],"uri":["http://zotero.org/users/3524663/items/SFRAJ4VW"],"itemData":{"id":1740,"type":"article-journal","abstract":"Ecosystem services (ES) assessments have been undergoing rapid developments. Despite considerable advancements it is still difﬁcult to comprehensively assess a large suite of ES, often requiring a selection of the most relevant ones. However, documented and tested procedures to select ES, particularly through participatory processes, are scarce. The aim of this research is to explore the participatory selection of ES, illustrated with the case of the Lisbon Metropolitan Area in Portugal, southwestern Europe. Drawing from a spatial planning context, different types of stakeholders were involved through a combination of participatory techniques. It was possible to identify differences in stakeholders' ES selection, while at the same time arriving at a set of priority ES and linking them with spatial planning goals that entail potential effects on ES. The strengths of the approach include the use of different participatory techniques, of drivers that help translating plans and of an existing ES classiﬁcation system to support it. On the other hand, the exploratory nature of the research meant that a limited range of types of stakeholders was covered. The participatory approach developed in this research has the potential to be adapted for ES selection in other planning contexts or in strategic environmental assessments.","container-title":"Ecosystem Services","DOI":"10.1016/j.ecoser.2016.02.011","ISSN":"22120416","journalAbbreviation":"Ecosystem Services","language":"en","page":"87-99","source":"DOI.org (Crossref)","title":"Participatory selection of ecosystem services for spatial planning: Insights from the Lisbon Metropolitan Area, Portugal","title-short":"Participatory selection of ecosystem services for spatial planning","volume":"18","author":[{"family":"Mascarenhas","given":"André"},{"family":"Ramos","given":"Tomás B."},{"family":"Haase","given":"Dagmar"},{"family":"Santos","given":"Rui"}],"issued":{"date-parts":[["2016",4]]}}},{"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(Mascarenhas et al., 2016; van Oudenhoven et al., 2018; Wissen Hayek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6727D8D"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1147542E" w14:textId="5E7F4DE0" w:rsidR="00364A09" w:rsidRDefault="00364A09" w:rsidP="00364A09">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{"citationID":"ujqXFCFH","properties":{"formattedCitation":"(Andersson et al., 2014; G\\uc0\\u243{}mez-Baggethun and Barton, 2013; Lovell and Taylor, 2013)","plainCitation":"(Andersson et al., 2014; Gómez-Baggethun and Barton, 2013; Lovell and Taylor,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 et al., 2014; Gómez-Baggethun and Barton, 2013; Lovell and Taylor,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magnitude of the ES provided depend on the characteristics of UGI, such as vegetation type, age, structure and management practices, which is important compare to natural ecosystems. This may cause a trade-off between which service is maximized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{"citationID":"Sx1hJEsp","properties":{"formattedCitation":"(Bodnaruk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or between ecosystem</w:t>
      </w:r>
      <w:r w:rsidRPr="00D772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services and disservices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{"citationID":"XyPPnVDA","properties":{"formattedCitation":"(Speak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could be a reason for cost-benefit analysis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{"citationID":"IdJhws4I","properties":{"formattedCitation":"(Song et al., 2018; von D\\uc0\\u246{}hren and Haase, 2019)","plainCitation":"(Song et al., 2018; von Döhren and Haase, 2019)","noteIndex":0},"citationItems":[{"id":1649,"uris":["http://zotero.org/users/3524663/items/57FWYZ8M"],"uri":["http://zotero.org/users/3524663/items/57FWYZ8M"],"itemData":{"id":1649,"type":"article-journal","abstract":"Understanding the beneﬁts provided by urban trees is important to justify investment and improve stewardship. Many studies have attempted to quantify the beneﬁts of trees in monetary terms, though fewer have quantiﬁed the associated costs of planting and maintaining them. This systematic review examines the methods used to jointly analyse the costs and beneﬁts of trees in the urban landscape, assesses the relative balance of beneﬁts and costs, and attempts to understand the wide variation in economic values assigned in diﬀerent studies. The beneﬁts most frequently studied are those related to environmental regulation and property values, and the available data show that these usually outweigh the costs. Aesthetic, amenity, and shading beneﬁts have also been shown to provide signiﬁcant economic beneﬁts, while beneﬁts in terms of water regulation, carbon reduction and air quality are usually more modest. Variation in beneﬁts and costs among studies is attributed largely to diﬀerences in the species composition and age structure of urban tree populations, though methodological diﬀerences also play a role. Comparison between studies is made diﬃcult owing to diﬀerences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ﬁll these knowledge gaps, and standardise research protocols across cities. In light of ambitious goals in many cities to increase tree cover, ongoing advances in valuation methods need to provide a more comprehensive accounting of beneﬁts and costs, and to better integrate economic assessment into the decision-making process.","container-title":"Urban Forestry &amp; Urban Greening","DOI":"10.1016/j.ufug.2017.11.017","ISSN":"16188667","journalAbbreviation":"Urban Forestry &amp; Urban Greening","language":"en","page":"162-170","source":"DOI.org (Crossref)","title":"The economic benefits and costs of trees in urban forest stewardship: A systematic review","title-short":"The economic benefits and costs of trees in urban forest stewardship","volume":"29","author":[{"family":"Song","given":"Xiao Ping"},{"family":"Tan","given":"Puay Yok"},{"family":"Edwards","given":"Peter"},{"family":"Richards","given":"Daniel"}],"issued":{"date-parts":[["2018",1]]}}},{"id":1644,"uris":["http://zotero.org/users/3524663/items/V93CFZM4"],"uri":["http://zotero.org/users/3524663/items/V93CFZM4"],"itemData":{"id":1644,"type":"article-journal","abstract":"Urban green infrastructure, including street trees, is thought to play an important role in providing urban ecosystem services (UES) such as carbon sequestration and air quality improvement. The concept of urban ecosystem disservices (UEDS) is comparably new in landscape ecology. Research into UEDS assessment is low compared to that of UES. This paper demonstrates an approach to assess the distribution of UEDS risks caused by street trees within the city of Berlin. The approach adapts concepts from urban ecosystem service and natural hazard and risk research to demonstrate the importance of including context-specific vulnerability indicators as additional information in the assessment of UEDS risks. A cluster analysis is carried out to recognize patterns in UEDS risk distribution throughout the city. The paper demonstrates, that using context indicators in addition to biophysical indicators supports the assessment of UEDS as part of the relationship between humans and the environment.","container-title":"Ecosystem Services","DOI":"10.1016/j.ecoser.2019.101031","ISSN":"22120416","journalAbbreviation":"Ecosystem Services","language":"en","page":"101031","source":"DOI.org (Crossref)","title":"Risk assessment concerning urban ecosystem disservices: The example of street trees in Berlin, Germany","title-short":"Risk assessment concerning urban ecosystem disservices","volume":"40","author":[{"family":"Döhren","given":"Peer","non-dropping-particle":"von"},{"family":"Haase","given":"Dagmar"}],"issued":{"date-parts":[["2019",12]]}}}],"schema":"https://github.com/citation-style-language/schema/raw/master/csl-citation.json"}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(Song et al., 2018; von Döhren and Haase,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are several studies that assess ES in different types of UGI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{"citationID":"5ZKy3Uc6","properties":{"formattedCitation":"(Blanusa et al., 2019; Lovell and Taylor, 2013; Nowak et al., 2006)","plainCitation":"(Blanusa et al., 2019; Lovell and Taylor, 2013; 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(Blanusa et al., 2019; Lovell and Taylor, 2013; Nowak et al., 2006)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areas with the same typology but different types of management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{"citationID":"sWbsxkZ3","properties":{"formattedCitation":"(Lilly et al., 2015; Schwilch et al., 2018)","plainCitation":"(Lilly et al., 2015; Schwilch et al., 2018)","noteIndex":0},"citationItems":[{"id":1739,"uris":["http://zotero.org/users/3524663/items/MES8FPFV"],"uri":["http://zotero.org/users/3524663/items/MES8FPFV"],"itemData":{"id":1739,"type":"article-journal","abstract":"Turfgrass is a large fraction of land cover in urbanized areas around the world, but little information exists about basic ecological processes in lawns or the controls on these processes. Here, we characterize biomass carbon stocks and ﬂuxes in tall fescue (Festuca arundinacea) appropriate for use on home lawns, managed with differing levels of irrigation, mowing height, and fertilization to test for effects of common management practices. Total standing biomass C (to 10 cm depth) averaged 6.04 Mg ha−1 over the course of the study, with slightly more C in roots than in stubble; management had little effect on the average standing biomass C pool, but there was substantial intraannual variation in biomass C stocks (&gt;2 Mg C ha−1), and the pattern of variation was affected by all three management practices. Net primary production (NPP) averaged 4.50 Mg C ha−1 yr−1; management did not affect NPP, but had signiﬁcant effects on how C was allocated to each component of production (roots, stubble, or clippings). Despite low standing biomass, turfgrass lawns generate a large annual ﬂux of C, and the allocation of that ﬂux is strongly modiﬁed by management.","container-title":"Landscape and Urban Planning","DOI":"10.1016/j.landurbplan.2014.10.011","ISSN":"01692046","journalAbbreviation":"Landscape and Urban Planning","language":"en","page":"119-126","source":"DOI.org (Crossref)","title":"Management alters C allocation in turfgrass lawns","volume":"134","author":[{"family":"Lilly","given":"Paul J."},{"family":"Jenkins","given":"Jennifer C."},{"family":"Carroll","given":"Mark J."}],"issued":{"date-parts":[["2015",2]]}}},{"id":1615,"uris":["http://zotero.org/users/3524663/items/3V4WFTET"],"uri":["http://zotero.org/users/3524663/items/3V4WFTET"],"itemData":{"id":1615,"type":"article-journal","container-title":"Sustainability","DOI":"10.3390/su10124416","ISSN":"2071-1050","issue":"12","language":"en","page":"4416","source":"Crossref","title":"Assessing Impacts of Soil Management Measures on Ecosystem Services","volume":"10","author":[{"family":"Schwilch","given":"Gudrun"},{"family":"Lemann","given":"Tatenda"},{"family":"Berglund","given":"Örjan"},{"family":"Camarotto","given":"Carlo"},{"family":"Cerdà","given":"Artemi"},{"family":"Daliakopoulos","given":"Ioannis"},{"family":"Kohnová","given":"Silvia"},{"family":"Krzeminska","given":"Dominika"},{"family":"Marañón","given":"Teodoro"},{"family":"Rietra","given":"René"},{"family":"Siebielec","given":"Grzegorz"},{"family":"Thorsson","given":"Johann"},{"family":"Tibbett","given":"Mark"},{"family":"Valente","given":"Sandra"},{"family":"Delden","given":"Hedwig","non-dropping-particle":"van"},{"family":"Akker","given":"Jan","non-dropping-particle":"van den"},{"family":"Verzandvoort","given":"Simone"},{"family":"Vrînceanu","given":"Nicoleta"},{"family":"Zoumides","given":"Christos"},{"family":"Hessel","given":"Rudi"}],"issued":{"date-parts":[["2018",11,26]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(Lilly et al., 2015; Schwilch et al., 2018)</w:t>
      </w:r>
      <w:r w:rsidR="00B10A3D">
        <w:rPr>
          <w:rFonts w:ascii="Times New Roman" w:eastAsia="Times New Roman" w:hAnsi="Times New Roman" w:cs="Times New Roman"/>
          <w:sz w:val="24"/>
          <w:szCs w:val="24"/>
        </w:rPr>
        <w:fldChar w:fldCharType="end"/>
      </w:r>
      <w:r w:rsidR="00B10A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in different types of vegetation within the same area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{"citationID":"D05wGPHA","properties":{"formattedCitation":"(Mexia et al., 2018)","plainCitation":"(Mexia et al., 2018)","noteIndex":0},"citationItems":[{"id":1145,"uris":["http://zotero.org/users/3524663/items/EXR2C4JY"],"uri":["http://zotero.org/users/3524663/items/EXR2C4JY"],"itemData":{"id":1145,"type":"article-journal","abstract":"Urban areas’ population has grown during the last century and it is expected that over 60% of the world population will live in cities by 2050. Urban parks provide several ecosystem services that are valuable to the wellbeing of city-dwellers and they are also considered a nature-based solution to tackle multiple environmental problems in cities. However, the type and amount of ecosystem services provided will vary with each park vegetation type, even within same the park. Our main goal was to quantify the trade-oﬀs in ecosystem services associated to diﬀerent vegetation types, using a spatially detailed approach. Rather than relying solely on general vegetation typologies, we took a more ecologically oriented approach, by explicitly considering diﬀerent units of vegetation structure and composition.","container-title":"Environmental Research","DOI":"10.1016/j.envres.2017.10.023","ISSN":"00139351","language":"en","page":"469-478","source":"Crossref","title":"Ecosystem services: Urban parks under a magnifying glass","title-short":"Ecosystem services","volume":"160","author":[{"family":"Mexia","given":"Teresa"},{"family":"Vieira","given":"Joana"},{"family":"Príncipe","given":"Adriana"},{"family":"Anjos","given":"Andreia"},{"family":"Silva","given":"Patrícia"},{"family":"Lopes","given":"Nuno"},{"family":"Freitas","given":"Catarina"},{"family":"Santos-Reis","given":"Margarida"},{"family":"Correia","given":"Otília"},{"family":"Branquinho","given":"Cristina"},{"family":"Pinho","given":"Pedro"}],"issued":{"date-parts":[["2018",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(Mexia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Several types of models such as Artificial </w:t>
      </w:r>
      <w:r>
        <w:rPr>
          <w:rFonts w:ascii="Times New Roman" w:eastAsia="Times New Roman" w:hAnsi="Times New Roman" w:cs="Times New Roman"/>
          <w:sz w:val="24"/>
          <w:szCs w:val="24"/>
        </w:rPr>
        <w:lastRenderedPageBreak/>
        <w:t xml:space="preserve">Intelligence for Ecosystem Services (ARIES) and the Integrated Valuation of Ecosystem Services and Tradeoffs (InVEST) identifies ES via proxies, typically land-use/cover, based on expert knowledge and causal relationships. Urban ES assessing presents a special case due to the high, fine-resolution spatial heterogeneity of these landscapes that could lead to high mapping error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{"citationID":"fSxC4pTv","properties":{"formattedCitation":"(Zhao and Sander, 2018)","plainCitation":"(Zhao and Sander, 2018)","noteIndex":0},"citationItems":[{"id":1143,"uris":["http://zotero.org/users/3524663/items/Y3AUF44D"],"uri":["http://zotero.org/users/3524663/items/Y3AUF44D"],"itemData":{"id":1143,"type":"article-journal","abstract":"Ecosystem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(Zhao and Sander,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That is why to better understand the ES provided by UGI researchers conducted direct measurements of different processes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{"citationID":"yejs4Blf","properties":{"formattedCitation":"(Nowak et al., 2006; Nowak and Crane, 2002)","plainCitation":"(Nowak et al., 2006;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 Nowak and Crane, 2002)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its modeling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{"citationID":"VmEvyXnX","properties":{"formattedCitation":"(Lin et al., 2019; R\\uc0\\u246{}tzer et al., 2019)","plainCitation":"(Lin et al., 2019; Rötzer et al., 2019)","noteIndex":0},"citationItems":[{"id":1521,"uris":["http://zotero.org/users/3524663/items/N9G84KRI"],"uri":["http://zotero.org/users/3524663/items/N9G84KRI"],"itemData":{"id":1521,"type":"article-journal","abstract":"Urban forest modeling is becoming increasingly complex, global, and transdisciplinary. Increased modeling of urban forest structure and function presents an urgent need for comparative studies to assess the similarities and diﬀerences between modeling techniques and applications. This paper provides a systematic review of 242 journal papers over the past two-decades, and identiﬁes 476 case studies. We assess model case studies among diﬀerent locations, units and scales, compare the ability and functional capacity of the models and diﬀerent tools, compare papers published in diﬀerent disciplines, and identify new emerging topics in the ﬁeld of urban forest modeling. Conclusions from this analysis include: (1) the spatial distribution of case studies is primarily clustered around the US, Europe, and China, with the most popular units to model being streets and parks; (2) the most commonly used model types are the i-Tree toolset, ENVI-met, computational ﬂuid dynamic models, and the Hedonic price model; (3) uncertainty assessment of urban forest models is limited; (4) spatially explicit models are critically important for estimating of ecosystem services as well as for environment management; (5) most case studies focus on biophysical beneﬁts with few studies estimating economic and social beneﬁts; and (6) linkages between urban forests and their social-psychological and health eﬀects are less common due to subjectivity and uncertainty in expressing and quantifying human cultures, attitudes and behaviors. Based on a comparison of diﬀerent models and a syntheses of case studies, we make suggestions for future research connecting urban forestry and urban ecosystems, model development, and ecosystem services. Such knowledge is critical for policy- and decision-makers, and can help improve urban forest planning, design and management.","container-title":"Urban Forestry &amp; Urban Greening","DOI":"10.1016/j.ufug.2019.126366","ISSN":"16188667","language":"en","page":"126366","source":"Crossref","title":"A review of urban forest modeling: Implications for management and future research","title-short":"A review of urban forest modeling","volume":"43","author":[{"family":"Lin","given":"Jian"},{"family":"Kroll","given":"Charles N."},{"family":"Nowak","given":"David J."},{"family":"Greenfield","given":"Eric J."}],"issued":{"date-parts":[["2019",7]]}}},{"id":1125,"uris":["http://zotero.org/users/3524663/items/E4I2PEKY"],"uri":["http://zotero.org/users/3524663/items/E4I2PEKY"],"itemData":{"id":1125,"type":"article-journal","abstract":"Global processes of urban growth lead to severe environmental impacts such as temperature increase with an intensiﬁcation of the urban heat island effect, and hydrological changes with far reaching consequences for plant growth and human health and well-being. Urban trees can help to mitigate the negative effects of climate change by providing ecosystem services such as carbon storage, shading, cooling by transpiration or reduction of rainwater runoff. The extent of each ecosystem service is closely linked with the tree species as well as with a tree's age, size, structure and vitality. To evaluate the ecosystem services of urban trees, the process-based growth model CityTree was developed which is able to estimate not only tree growth but also the species-speciﬁc ecosystem services including carbon storage, transpiration and runoff, shading, and cooling by transpiration. The model was parametrized for the species small-leaved lime (Tilia cordata), robinia (Robinia pseudoacacia), plane (Platanus × acerifolia) and horse chestnut (Aesculus hippocastanum). The model validation for tree growth (stem diameter increment, coefﬁcient of correlation = 0.76) as well as for the water balance (transpiration, coefﬁcient of correlation = 0.92) seems plausible and realistic. Tree growth and ecosystem services were simulated and analyzed for Central European cities both under current climate conditions and for the future climate scenarios. The simulations revealed that urban trees can signiﬁcantly improve the urban climate and mitigate climate change effects. The quantity of the improvements depends on tree species and tree size as well as on the speciﬁc site conditions. Such simulation scenarios can be a proper basis for planning options to mitigate urban climate changes in individual cities.","container-title":"Science of The Total Environment","DOI":"10.1016/j.scitotenv.2019.04.235","ISSN":"00489697","language":"en","page":"651-664","source":"Crossref","title":"Process based simulation of tree growth and ecosystem services of urban trees under present and future climate conditions","volume":"676","author":[{"family":"Rötzer","given":"T."},{"family":"Rahman","given":"M.A."},{"family":"Moser-Reischl","given":"A."},{"family":"Pauleit","given":"S."},{"family":"Pretzsch","given":"H."}],"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(Lin et al., 2019; Rötzer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 a tree-level, which yielded in wide spreading use of software and tools, such as i-Tree model (</w:t>
      </w:r>
      <w:hyperlink r:id="rId12">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87526E6"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1.4. Process-Indicator-Value. How to find a clear and useful indicators of ES.</w:t>
      </w:r>
    </w:p>
    <w:p w14:paraId="41623C9E" w14:textId="775F465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xml:space="preserve"> in ecosystems and services they provide is still very incomplete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{"citationID":"8Tw7uJa8","properties":{"formattedCitation":"(Drobnik et al., 2018; Van Reeth, 2013)","plainCitation":"(Drobnik et al., 2018; Van Reeth, 2013)","noteIndex":0},"citationItems":[{"id":1738,"uris":["http://zotero.org/users/3524663/items/HV8RM4MP"],"uri":["http://zotero.org/users/3524663/items/HV8RM4MP"],"itemData":{"id":1738,"type":"chapter","container-title":"Ecosystem Services","ISBN":"978-0-12-419964-4","language":"en","note":"DOI: 10.1016/B978-0-12-419964-4.00004-4","page":"41-61","publisher":"Elsevier","source":"DOI.org (Crossref)","title":"Ecosystem Service Indicators","URL":"https://linkinghub.elsevier.com/retrieve/pii/B9780124199644000044","author":[{"family":"Van Reeth","given":"Wouter"}],"accessed":{"date-parts":[["2020",2,29]]},"issued":{"date-parts":[["2013"]]}}},{"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(Drobnik et al., 2018; Van Reeth, 2013)</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overcome this high complexity in human-environmental systems scientists use ecological indicators that generally are variables that provide aggregated information on certain phenomena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{"citationID":"30Z4o9Xm","properties":{"formattedCitation":"(M\\uc0\\u252{}ller and Burkhard, 2012)","plainCitation":"(Müller and Burkhard, 2012)","noteIndex":0},"citationItems":[{"id":1651,"uris":["http://zotero.org/users/3524663/items/MKECJWHQ"],"uri":["http://zotero.org/users/3524663/items/MKECJWHQ"],"itemData":{"id":1651,"type":"article-journal","abstract":"In this short welcome note for the new journal ‘‘Ecosystem Services’’, the main interrelations between the ecosystem service concept and the approach of ecological indicators are brieﬂy discussed with respect to three key issues: at ﬁrst, some deﬁnitions are analyzed to answer the question if ecosystem services can be understood as ecological indicators. Due to a positive answer, the position of ecosystem services in the DPSIR indicator framework is determined as the central impact component. It is stated that different viewpoints are possible to interrelate the services; an environmental starting point focusing on the linkage to ecological processes and functions on the one side, and the relations with human well-being criteria and management obligations on the other. Finally, the actual needs for further research and application are outlined from an indicator-based aspect and the broad ﬁeld of potential contributions for the new journal is summarized.","container-title":"Ecosystem Services","DOI":"10.1016/j.ecoser.2012.06.001","ISSN":"22120416","issue":"1","journalAbbreviation":"Ecosystem Services","language":"en","page":"26-30","source":"DOI.org (Crossref)","title":"The indicator side of ecosystem services","volume":"1","author":[{"family":"Müller","given":"Felix"},{"family":"Burkhard","given":"Benjamin"}],"issued":{"date-parts":[["2012",7]]}}}],"schema":"https://github.com/citation-style-language/schema/raw/master/csl-citation.json"}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(Müller and Burkhard,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the ES assessment the importance of developing appropriate indicators has been recognized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{"citationID":"3O2LEQkL","properties":{"formattedCitation":"(Burkhard et al., 2018; van Oudenhoven et al., 2018)","plainCitation":"(Burkhard et al., 2018; van Oudenhoven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 van Oudenhoven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many ES indicators have been developed, applied, tested and reviewed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{"citationID":"3OVlripL","properties":{"formattedCitation":"(G\\uc0\\u243{}mez-Baggethun and Barton, 2013; La Rosa et al., 2016; Wissen Hayek et al., 2016)","plainCitation":"(Gómez-Baggethun and Barton, 2013; La Rosa et al., 2016; Wissen Hayek et al., 2016)","noteIndex":0},"citationItems":[{"id":1242,"uris":["http://zotero.org/users/3524663/items/CTXX9ZL3"],"uri":["http://zotero.org/users/3524663/items/CTXX9ZL3"],"itemData":{"id":1242,"type":"article-journal","abstract":"While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La Rosa et al., 2016; Wissen Hayek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 indicators need to be relevant to specific purpose (e.g. to reflect difference in land management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{"citationID":"vuFQsPRA","properties":{"formattedCitation":"(van Oudenhoven et al. 2012)","plainCitation":"(van Oudenhoven et al. 2012)","dontUpdate":true,"noteIndex":0},"citationItems":[{"id":1638,"uris":["http://zotero.org/users/3524663/items/X47XM5MG"],"uri":["http://zotero.org/users/3524663/items/X47XM5MG"],"itemData":{"id":1638,"type":"article-journal","abstract":"Land management is an important factor that affects ecosystem services provision. However, interactions between land management, ecological processes and ecosystem service provision are still not fully understood. Indicators can help to better understand these interactions and provide information for policy-makers to prioritise land management interventions. In this paper, we develop a framework for the systematic selection of indicators, to assess the link between land management and ecosystem services provision in a spatially explicit manner. Our framework distinguishes between ecosystem properties, ecosystem functions, and ecosystem services. We tested the framework in a case study in The Netherlands. For the case study, we identiﬁed 12 property indicators, 9 function indicators and 9 service indicators. The indicators were used to examine the effect of land management on food provision, air quality regulation and recreation opportunities. Land management was found to not only affect ecosystem properties, but also ecosystem functions and services directly. Several criteria were used to evaluate the usefulness of the selected indicators, including scalability, sensitivity to land management change, spatial explicitness, and portability. The results show that the proposed framework can be used to determine quantitative links between indicators, so that land management effects on ecosystem services provision can be modelled in a spatially explicit manner.","container-title":"Ecological Indicators","DOI":"10.1016/j.ecolind.2012.01.012","ISSN":"1470160X","journalAbbreviation":"Ecological Indicators","language":"en","page":"110-122","source":"DOI.org (Crossref)","title":"Framework for systematic indicator selection to assess effects of land management on ecosystem services","volume":"21","author":[{"family":"Oudenhoven","given":"Alexander P.E.","non-dropping-particle":"van"},{"family":"Petz","given":"Katalin"},{"family":"Alkemade","given":"Rob"},{"family":"Hein","given":"Lars"},{"family":"Groot","given":"Rudolf S.","non-dropping-particle":"de"}],"issued":{"date-parts":[["2012",10]]}}}],"schema":"https://github.com/citation-style-language/schema/raw/master/csl-citation.json"}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van Oudenhoven et al.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component (e.g. soils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{"citationID":"H9H3JbCj","properties":{"formattedCitation":"(Andrea et al. 2018; Drobnik et al. 2018)","plainCitation":"(Andrea et al. 2018; Drobnik et al. 2018)","dontUpdate":true,"noteIndex":0},"citationItems":[{"id":1577,"uris":["http://zotero.org/users/3524663/items/SAXAXKSE"],"uri":["http://zotero.org/users/3524663/items/SAXAXKSE"],"itemData":{"id":1577,"type":"article-journal","abstract":"Soil management is fundamental to all agroecosystems and aﬀects ecosystem processes that are involved in the provision of multiple ecosystem services (ES). Agricultural soils are the habitat for key functional organisms which collectively as soil biota contribute to soil ES provision: supporting biomass production and nutrient cycling, regulating of climate, water and biological control of pests and diseases. As result of an increased awareness on the importance of soil ES, soil science is playing an active role in informing the ecological intensiﬁcation of agriculture. In this study, the lessons learned from Italian case studies on the usefulness of using a soil health assessment framework based on multiple soil ES are presented. Soil health as an integrative property of agroecosystem management can be evaluated with a set of physical, chemical, and biological indicators representative of essential soil ES. This is the basis of the Soil Management Assessment Framework (SMAF) (Andrews et al., 2004) and it is based on a three-step process that includes indicator selection, indicator interpretation, and integration into a ﬁnal index. In northern Italy, several ﬁeld trials have been set up to assess multiple ES provision from bioenergy crops cultivated on marginal conditions and from contrasting vegetable cropping systems. These studies revealed how the use of a comprehensive soil health assessment framework can help: (1) to identify the best soil management practices that deliver multiple ES and (2) to support resourceeﬃcient production. Beyond academic research, the integration of multiple indicators of soil health within the assessment of agroecosystems sustainability is essential if we want to promote ecological intensiﬁcation of food and bioenergy production.","container-title":"Applied Soil Ecology","DOI":"10.1016/j.apsoil.2017.06.031","ISSN":"09291393","language":"en","page":"693-698","source":"Crossref","title":"Soil and ecosystem services: Current knowledge and evidences from Italian case studies","title-short":"Soil and ecosystem services","volume":"123","author":[{"family":"Andrea","given":"Ferrarini"},{"family":"Bini","given":"Claudio"},{"family":"Amaducci","given":"Stefano"}],"issued":{"date-parts":[["2018",2]]}}},{"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Andrea et al. 2018; Drobnik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spatial-temporal scale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{"citationID":"KBfwCZIO","properties":{"formattedCitation":"(Aalders and Stanik, 2019; Norton et al., 2016)","plainCitation":"(Aalders and Stanik, 2019; Norton et al., 2016)","noteIndex":0},"citationItems":[{"id":1650,"uris":["http://zotero.org/users/3524663/items/AE2RPNQV"],"uri":["http://zotero.org/users/3524663/items/AE2RPNQV"],"itemData":{"id":1650,"type":"article-journal","abstract":"Understanding the interactions between ecosystems and their underlying environmental constraints, the services which they provide, and the people beneﬁting from those services, are essential for the effective management and sustainability of socio-ecosystems (ecosystems which support and are impacted upon by humans). Ecosystem service (ES) indicators attempt to provide a means of measuring service provision, but the scale at which they are developed is likely to impact on how they can be used to inﬂuence the effective management of socio-ecosystems. This paper compares science and practice in the development of service measures at contrasting scales in: (a) an active research project, focused on local catchment management to improve water quality at Loweswater in the English Lake District, and (b) a science-based study developing national scale indicators of water quality using the Countryside Survey dataset.","container-title":"Ecological Indicators","DOI":"10.1016/j.ecolind.2015.08.051","ISSN":"1470160X","journalAbbreviation":"Ecological Indicators","language":"en","page":"130-140","source":"DOI.org (Crossref)","title":"The importance of scale in the development of ecosystem service indicators?","volume":"61","author":[{"family":"Norton","given":"Lisa"},{"family":"Greene","given":"Sheila"},{"family":"Scholefield","given":"Paul"},{"family":"Dunbar","given":"Mike"}],"issued":{"date-parts":[["2016",2]]}}},{"id":1319,"uris":["http://zotero.org/users/3524663/items/BZ4KFS59"],"uri":["http://zotero.org/users/3524663/items/BZ4KFS59"],"itemData":{"id":1319,"type":"article-journal","abstract":"Context The diverse use of spatial units and scales in cultural ecosystem service (CES) assessments hinders the development of systematic approaches and the comparability of CES studies conducted in different environmental contexts.","container-title":"Landscape Ecology","DOI":"10.1007/s10980-019-00827-6","ISSN":"0921-2973, 1572-9761","issue":"7","language":"en","page":"1635-1651","source":"Crossref","title":"Spatial units and scales for cultural ecosystem services: a comparison illustrated by cultural heritage and entertainment services in Scotland","title-short":"Spatial units and scales for cultural ecosystem services","volume":"34","author":[{"family":"Aalders","given":"Inge"},{"family":"Stanik","given":"Nils"}],"issued":{"date-parts":[["2019",7]]}}}],"schema":"https://github.com/citation-style-language/schema/raw/master/csl-citation.json"}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(Aalders and Stanik, 2019; Norton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avoid uncertainties from that side, but at the same time ES indicators should inform decision making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{"citationID":"pRovBnez","properties":{"formattedCitation":"(Cz\\uc0\\u250{}cz et al., 2018; Willcock et al., 2016)","plainCitation":"(Czúcz et al., 2018; Willcock et al., 2016)","noteIndex":0},"citationItems":[{"id":1580,"uris":["http://zotero.org/users/3524663/items/9K4S4AP2"],"uri":["http://zotero.org/users/3524663/items/9K4S4AP2"],"itemData":{"id":1580,"type":"article-journal","abstract":"To achieve sustainability goals, it is important to incorporate ecosystem service (ES) information into decision-making processes. However, little is known about the correspondence between the needs of ES information users and the data provided by the researcher community. We surveyed stakeholders within sub-Saharan Africa, determining their ES data requirements using a targeted sampling strategy. Of those respondents utilising ES information ( 490%; n¼ 60), 27% report having sufﬁcient data; with the remainder requiring additional data – particularly at higher spatial resolutions and at multiple points in time. The majority of respondents focus on provisioning and regulating services, particularly food and fresh water supply (both 58%) and climate regulation (49%). Their focus is generally at national scales or below and in accordance with data availability. Among the stakeholders surveyed, we performed a follow-up assessment for a sub-sample of 17 technical experts. The technical experts are unanimous that ES models must be able to incorporate scenarios, and most agree that ES models should be at least 90% accurate. However, relatively coarse-resolution (1–10 km2) models are sufﬁcient for many services. To maximise the impact of future research, dynamic, multi-scale datasets on ES must be delivered alongside capacity-building efforts.","container-title":"Ecosystem Services","DOI":"10.1016/j.ecoser.2016.02.038","ISSN":"22120416","language":"en","page":"110-117","source":"Crossref","title":"Do ecosystem service maps and models meet stakeholders’ needs? A preliminary survey across sub-Saharan Africa","title-short":"Do ecosystem service maps and models meet stakeholders’ needs?","volume":"18","author":[{"family":"Willcock","given":"Simon"},{"family":"Hooftman","given":"Danny"},{"family":"Sitas","given":"Nadia"},{"family":"O’Farrell","given":"Patrick"},{"family":"Hudson","given":"Malcolm D."},{"family":"Reyers","given":"Belinda"},{"family":"Eigenbrod","given":"Felix"},{"family":"Bullock","given":"James M."}],"issued":{"date-parts":[["2016",4]]}}},{"id":1657,"uris":["http://zotero.org/users/3524663/items/C93XKYVE"],"uri":["http://zotero.org/users/3524663/items/C93XKYVE"],"itemData":{"id":1657,"type":"article-journal","abstract":"We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Willcock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{"citationID":"Uqk5GQEN","properties":{"formattedCitation":"(Njue et al., 2019; Schr\\uc0\\u246{}ter et al., 2017)","plainCitation":"(Njue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1519,"uris":["http://zotero.org/users/3524663/items/YWAZ3VTR"],"uri":["http://zotero.org/users/3524663/items/YWAZ3VTR"],"itemData":{"id":1519,"type":"article-journal","abstract":"Hydrological monitoring is essential to guide evidence-based decision making necessary for sustainable water resource management and governance. Limited hydrometric datasets and the pressure on long-term hydrological monitoring networks make it paramount to explore alternative methods for data collection. This is particularly the case for low-income countries, where data scarcity is more pronounced, and where conventional monitoring methods are expensive and logistically challenging. Citizen science in hydrological research has recently gained popularity and crowdsourced monitoring is a promising cost-effective approach for data collection. Citizen science also has the potential to enhance knowledge co-creation and science-based evidence that underpins the governance and management of water resources. This paper provides a comprehensive review on citizen science and crowdsourced data collection within the context of hydrology, based on a synthesis of 71 articles from 2001 to 2018. Application of citizen science in hydrology is increasing in number and breadth, generating a plethora of scientiﬁc data. Citizen science approaches differ in scale, scope and degree of citizen involvement. Most of the programs are found in North America and Europe. Participation mostly comprises a contributory citizen science model, which engages citizens in data collection. In order to leverage the full potential of citizen science in knowledge co-generation, future citizen science projects in hydrology could beneﬁt from more co-created types of projects that establish strong ties between research and public engagement, thereby enhancing the long-term sustainability of monitoring networks.","container-title":"Science of The Total Environment","DOI":"10.1016/j.scitotenv.2019.07.337","ISSN":"00489697","language":"en","page":"133531","source":"Crossref","title":"Citizen science in hydrological monitoring and ecosystem services management: State of the art and future prospects","title-short":"Citizen science in hydrological monitoring and ecosystem services management","volume":"693","author":[{"family":"Njue","given":"N."},{"family":"Stenfert Kroese","given":"J."},{"family":"Gräf","given":"J."},{"family":"Jacobs","given":"S.R."},{"family":"Weeser","given":"B."},{"family":"Breuer","given":"L."},{"family":"Rufino","given":"M.C."}],"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(Njue et al., 2019; Schröter et al., 2017)</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 it is also necessary to create clearly understandable indicators for involving people. We should also take into account fast development of cutting-edge technologies of observation, modeling, computing and even acting in a new Industry 4.0 world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{"citationID":"ahhl50vU","properties":{"formattedCitation":"(Nitoslawski et al., 2019)","plainCitation":"(Nitoslawski et al., 2019)","noteIndex":0},"citationItems":[{"id":1523,"uris":["http://zotero.org/users/3524663/items/685XCHC3"],"uri":["http://zotero.org/users/3524663/items/685XCHC3"],"itemData":{"id":1523,"type":"article-journal","abstract":"Smart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(Nitoslawski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70BC4500"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01AFF568" w14:textId="369E7529"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widespread integration into the urban environment of Information and Communication Technologies (ICTs) and Internet of Things (IoT) tools makes our cities “smart”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{"citationID":"KWoLaetL","properties":{"formattedCitation":"(Albino et al., 2015)","plainCitation":"(Albino et al., 2015)","noteIndex":0},"citationItems":[{"id":1736,"uris":["http://zotero.org/users/3524663/items/PMBK6H8T"],"uri":["http://zotero.org/users/3524663/items/PMBK6H8T"],"itemData":{"id":1736,"type":"article-journal","container-title":"Journal of Urban Technology","DOI":"10.1080/10630732.2014.942092","ISSN":"1063-0732","issue":"1","journalAbbreviation":"Journal of Urban Technology","note":"publisher: Routledge","page":"3-21","title":"Smart Cities: Definitions, Dimensions, Performance, and Initiatives","volume":"22","author":[{"family":"Albino","given":"Vito"},{"family":"Berardi","given":"Umberto"},{"family":"Dangelico","given":"Rosa Maria"}],"issued":{"date-parts":[["2015"]]}}}],"schema":"https://github.com/citation-style-language/schema/raw/master/csl-citation.json"}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(Albino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Smart technologies are already being applied in environmental management. The species and structure of individual trees was mapped and assessed with remote sensing, aided by machine learning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{"citationID":"pPbcGFVG","properties":{"formattedCitation":"(Alonzo et al., 2014)","plainCitation":"(Alonzo et al., 2014)","noteIndex":0},"citationItems":[{"id":1735,"uris":["http://zotero.org/users/3524663/items/TDPK5L8I"],"uri":["http://zotero.org/users/3524663/items/TDPK5L8I"],"itemData":{"id":1735,"type":"article-journal","abstract":"In this study we fused high-spatial resolution (3.7 m) hyperspectral imagery with 22 pulse/m2 lidar data at the individual crown object scale to map 29 common tree species in Santa Barbara, California, USA. We ﬁrst adapted and parallelized a watershed segmentation algorithm to delineate individual crowns from a gridded canopy maxima model. From each segment, we extracted all spectra exceeding a Normalized Difference Vegetation Index (NDVI) threshold and a suite of crown structural metrics computed directly from the three-dimensional lidar point cloud. The variables were fused and crowns were classiﬁed using canonical discriminant analysis. The full complement of spectral bands along with 7 lidar-derived structural metrics were reduced to 28 canonical variates and classiﬁed. Species-level and leaf-type level maps were produced with respective overall accuracies of 83.4% (kappa = 82.6) and 93.5%. The addition of lidar data resulted in an increase in classiﬁcation accuracy of 4.2 percentage points over spectral data alone. The value of the lidar structural metrics for urban species discrimination became particularly evident when mapping crowns that were either small or morphologically unique. For instance, the accuracy with which we mapped the tall palm species Washingtonia robusta increased from 29% using spectral bands to 71% with the fused dataset. Additionally, we evaluated the role that automated segmentation plays in classiﬁcation error and the prospects for mapping urban forest species not included in a training sample. The ability to accurately map urban forest species is an important step towards spatially explicit urban forest ecosystem assessment.","container-title":"Remote Sensing of Environment","DOI":"10.1016/j.rse.2014.03.018","ISSN":"00344257","journalAbbreviation":"Remote Sensing of Environment","language":"en","page":"70-83","source":"DOI.org (Crossref)","title":"Urban tree species mapping using hyperspectral and lidar data fusion","volume":"148","author":[{"family":"Alonzo","given":"Michael"},{"family":"Bookhagen","given":"Bodo"},{"family":"Roberts","given":"Dar A."}],"issued":{"date-parts":[["2014",5]]}}}],"schema":"https://github.com/citation-style-language/schema/raw/master/csl-citation.json"}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(Alonzo et al., 2014)</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Forest regeneration was assisted by drones or unmanned aerial vehicles (UAVs) through surveying, fertilizer spraying, and precision aerial seeding</w:t>
      </w:r>
      <w:r w:rsidR="00B10A3D">
        <w:rPr>
          <w:rFonts w:ascii="Times New Roman" w:eastAsia="Times New Roman" w:hAnsi="Times New Roman" w:cs="Times New Roman"/>
          <w:sz w:val="24"/>
          <w:szCs w:val="24"/>
        </w:rPr>
        <w:t xml:space="preserv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{"citationID":"ClTeJTI4","properties":{"formattedCitation":"(Elliott, 2016)","plainCitation":"(Elliott, 2016)","noteIndex":0},"citationItems":[{"id":1734,"uris":["http://zotero.org/users/3524663/items/B4DYTJJ8"],"uri":["http://zotero.org/users/3524663/items/B4DYTJJ8"],"itemData":{"id":1734,"type":"article-journal","abstract":"Assisted (or accelerated) natural regeneration (ANR) will play an important role in meeting the UN target to restore forest to 350 million hectares of degraded land, by 2030. However, since most accessible land is already used for agriculture, most of the sites, available for ANR, are far from roads and/or on difficult terrain, where implementing ANR with human labour is not practical. Therefore, this paper explores the potential of emerging technologies, such as low-cost UAVs (drones) and new imaging devices, to automate ANR tasks, including site monitoring (to assess site potential for natural regeneration, plan interventions and assess progress), maintenance of natural regeneration (particularly weeding) and species enrichment through aerial seeding. The usefulness of existing technologies is reviewed and future innovations needed, to provide practicable support for ANR, are discussed. Intensive collaboration, among technologists and forest ecologists, will be essential to ensure that technological innovations are based firmly on sound restoration science.","container-title":"Biotropica","DOI":"10.1111/btp.12387","ISSN":"1744-7429","issue":"6","language":"th","note":"_eprint: https://onlinelibrary.wiley.com/doi/pdf/10.1111/btp.12387","page":"825-833","source":"Wiley Online Library","title":"The potential for automating assisted natural regeneration of tropical forest ecosystems","volume":"48","author":[{"family":"Elliott","given":"Stephen"}],"issued":{"date-parts":[["2016"]]}}}],"schema":"https://github.com/citation-style-language/schema/raw/master/csl-citation.json"}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(Elliott,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Wireless sensor networks have been deployed in greenhouse settings to measure and regulate environmental parameters </w:t>
      </w:r>
      <w:r w:rsidR="00B10A3D">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{"citationID":"ahfX8i9S","properties":{"formattedCitation":"(Bauer et al., 2019; Mesas-Carrascosa et al., 2015)","plainCitation":"(Bauer et al., 2019; Mesas-Carrascosa et al., 2015)","noteIndex":0},"citationItems":[{"id":2148,"uris":["http://zotero.org/users/3524663/items/B4MCUQ8J"],"uri":["http://zotero.org/users/3524663/items/B4MCUQ8J"],"itemData":{"id":2148,"type":"article-journal","abstract":"A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1733,"uris":["http://zotero.org/users/3524663/items/5QKRSUMN"],"uri":["http://zotero.org/users/3524663/items/5QKRSUMN"],"itemData":{"id":1733,"type":"article-journal","container-title":"Biosystems Engineering","DOI":"10.1016/j.biosystemseng.2015.07.005","ISSN":"15375110","journalAbbreviation":"Biosystems Engineering","language":"en","page":"73-83","source":"DOI.org (Crossref)","title":"Open source hardware to monitor environmental parameters in precision agriculture","volume":"137","author":[{"family":"Mesas-Carrascosa","given":"F.J."},{"family":"Verdú Santano","given":"D."},{"family":"Meroño","given":"J.E."},{"family":"Sánchez de la Orden","given":"M."},{"family":"García-Ferrer","given":"A."}],"issued":{"date-parts":[["2015",9]]}}}],"schema":"https://github.com/citation-style-language/schema/raw/master/csl-citation.json"} </w:instrText>
      </w:r>
      <w:r w:rsidR="00B10A3D">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rPr>
        <w:t>(Bauer et al., 2019; Mesas-Carrascosa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Acoustic sensors were used to assess the urban noise pollution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{"citationID":"7FcvtSkS","properties":{"formattedCitation":"(Farina et al., 2014; Mydlarz et al., 2019)","plainCitation":"(Farina et al., 2014; Mydlarz et al., 2019)","noteIndex":0},"citationItems":[{"id":1395,"uris":["http://zotero.org/users/3524663/items/AGIL56UL"],"uri":["http://zotero.org/users/3524663/items/AGIL56UL"],"itemData":{"id":1395,"type":"article-journal","container-title":"Urban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(Farina et al., 2014; Mydlarz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huge data collected through these technologies provide more insight into the UGI and can be used in analysis, modeling, and prediction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{"citationID":"Qag6Ehys","properties":{"formattedCitation":"(Kitchin, 2014)","plainCitation":"(Kitchin, 2014)","noteIndex":0},"citationItems":[{"id":1730,"uris":["http://zotero.org/users/3524663/items/JZXC2GZV"],"uri":["http://zotero.org/users/3524663/items/JZXC2GZV"],"itemData":{"id":1730,"type":"article-journal","abstract":"Smart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{"citationID":"bruh20GF","properties":{"formattedCitation":"(Kitchin, 2014; Nitoslawski et al., 2019)","plainCitation":"(Kitchin, 2014; Nitoslawski et al., 2019)","noteIndex":0},"citationItems":[{"id":1730,"uris":["http://zotero.org/users/3524663/items/JZXC2GZV"],"uri":["http://zotero.org/users/3524663/items/JZXC2GZV"],"itemData":{"id":1730,"type":"article-journal","abstract":"Smart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 Nitoslawski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5666598B"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the aim of this work is to show the possibilities and discuss the challenges of real-time tree-level monitoring of ecosystem services in urban conditions. We decided to:</w:t>
      </w:r>
    </w:p>
    <w:p w14:paraId="2F85FD4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test the real-time monitoring technology by measuring trees functioning parameters in different conditions</w:t>
      </w:r>
    </w:p>
    <w:p w14:paraId="42520D6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60D8A08D" w14:textId="77777777" w:rsidR="00364A09" w:rsidRPr="00D12ABE" w:rsidRDefault="00364A09" w:rsidP="00364A09">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1941849"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5974AB4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2.1. Study site and installations</w:t>
      </w:r>
    </w:p>
    <w:p w14:paraId="6BDB4E8E" w14:textId="77777777" w:rsidR="00364A09" w:rsidRPr="00A91143" w:rsidRDefault="00364A09" w:rsidP="00364A09">
      <w:pPr>
        <w:spacing w:after="0"/>
        <w:ind w:firstLine="700"/>
        <w:jc w:val="both"/>
        <w:rPr>
          <w:rFonts w:ascii="Times New Roman" w:eastAsia="Times New Roman" w:hAnsi="Times New Roman" w:cs="Times New Roman"/>
          <w:sz w:val="24"/>
          <w:szCs w:val="24"/>
        </w:rPr>
      </w:pPr>
      <w:r w:rsidRPr="00806DDE">
        <w:rPr>
          <w:rFonts w:ascii="Times New Roman" w:eastAsia="Times New Roman" w:hAnsi="Times New Roman" w:cs="Times New Roman"/>
          <w:sz w:val="24"/>
          <w:szCs w:val="24"/>
        </w:rPr>
        <w:t xml:space="preserve">Bolotnaya square is a small green area (370m length and 120m width) </w:t>
      </w:r>
      <w:r>
        <w:rPr>
          <w:rFonts w:ascii="Times New Roman" w:eastAsia="Times New Roman" w:hAnsi="Times New Roman" w:cs="Times New Roman"/>
          <w:sz w:val="24"/>
          <w:szCs w:val="24"/>
        </w:rPr>
        <w:t xml:space="preserve">situated on the island Balchug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(Figure1), 600m to the south from the Kremlin.</w:t>
      </w:r>
      <w:r w:rsidRPr="00F327CE">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Now it’s became well-known through meetings of political opposition. </w:t>
      </w:r>
      <w:r>
        <w:rPr>
          <w:rFonts w:ascii="Times New Roman" w:eastAsia="Times New Roman" w:hAnsi="Times New Roman" w:cs="Times New Roman"/>
          <w:sz w:val="24"/>
          <w:szCs w:val="24"/>
        </w:rPr>
        <w:t>This site located only 700m to the west from Balchug meteorological station that provided data each 3 hours.</w:t>
      </w:r>
      <w:r w:rsidRPr="00806D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The main works on its improvement (tree planting) were completed by 1948.</w:t>
      </w:r>
      <w:r>
        <w:rPr>
          <w:rFonts w:ascii="Times New Roman" w:eastAsia="Times New Roman" w:hAnsi="Times New Roman" w:cs="Times New Roman"/>
          <w:sz w:val="24"/>
          <w:szCs w:val="24"/>
        </w:rPr>
        <w:t xml:space="preserve"> So, it was possible to analyze the influence of local biotic factors (species, height, local neighborhood standing conditions, age).</w:t>
      </w:r>
    </w:p>
    <w:p w14:paraId="57618B48" w14:textId="77777777" w:rsidR="00364A09" w:rsidRPr="00421097" w:rsidRDefault="00364A09" w:rsidP="00364A09">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93FF6D" wp14:editId="0FBAE59F">
            <wp:extent cx="5773469" cy="4016045"/>
            <wp:effectExtent l="0" t="0" r="0" b="3810"/>
            <wp:docPr id="1" name="Рисунок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54291FFF" w14:textId="77777777" w:rsidR="00364A09" w:rsidRPr="00D12ABE" w:rsidRDefault="00364A09" w:rsidP="00364A09">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Figure1. Study area.</w:t>
      </w:r>
    </w:p>
    <w:p w14:paraId="48BD677B" w14:textId="0D95B096" w:rsidR="00364A09" w:rsidRDefault="001912A9" w:rsidP="00364A09">
      <w:pPr>
        <w:spacing w:after="0"/>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Sexteen </w:t>
      </w:r>
      <w:r w:rsidR="00364A09">
        <w:rPr>
          <w:rFonts w:ascii="Times New Roman" w:eastAsia="Times New Roman" w:hAnsi="Times New Roman" w:cs="Times New Roman"/>
          <w:sz w:val="24"/>
          <w:szCs w:val="24"/>
        </w:rPr>
        <w:t xml:space="preserve">TreeTalker+ (TT+) devices were installed on the trees: </w:t>
      </w:r>
      <w:r>
        <w:rPr>
          <w:rFonts w:ascii="Times New Roman" w:eastAsia="Times New Roman" w:hAnsi="Times New Roman" w:cs="Times New Roman"/>
          <w:sz w:val="24"/>
          <w:szCs w:val="24"/>
        </w:rPr>
        <w:t>5</w:t>
      </w:r>
      <w:r w:rsidR="00364A09">
        <w:rPr>
          <w:rFonts w:ascii="Times New Roman" w:eastAsia="Times New Roman" w:hAnsi="Times New Roman" w:cs="Times New Roman"/>
          <w:sz w:val="24"/>
          <w:szCs w:val="24"/>
        </w:rPr>
        <w:t xml:space="preserve"> on </w:t>
      </w:r>
      <w:r w:rsidR="00364A09" w:rsidRPr="0005675C">
        <w:rPr>
          <w:rFonts w:ascii="Times New Roman" w:eastAsia="Times New Roman" w:hAnsi="Times New Roman" w:cs="Times New Roman"/>
          <w:i/>
          <w:iCs/>
          <w:sz w:val="24"/>
          <w:szCs w:val="24"/>
        </w:rPr>
        <w:t>Acer platanoides</w:t>
      </w:r>
      <w:r w:rsidR="00364A09">
        <w:rPr>
          <w:rFonts w:ascii="Times New Roman" w:eastAsia="Times New Roman" w:hAnsi="Times New Roman" w:cs="Times New Roman"/>
          <w:sz w:val="24"/>
          <w:szCs w:val="24"/>
        </w:rPr>
        <w:t xml:space="preserve"> (average DBH 38.7 cm), </w:t>
      </w:r>
      <w:r>
        <w:rPr>
          <w:rFonts w:ascii="Times New Roman" w:eastAsia="Times New Roman" w:hAnsi="Times New Roman" w:cs="Times New Roman"/>
          <w:sz w:val="24"/>
          <w:szCs w:val="24"/>
        </w:rPr>
        <w:t xml:space="preserve">3 </w:t>
      </w:r>
      <w:r w:rsidR="00364A09">
        <w:rPr>
          <w:rFonts w:ascii="Times New Roman" w:eastAsia="Times New Roman" w:hAnsi="Times New Roman" w:cs="Times New Roman"/>
          <w:sz w:val="24"/>
          <w:szCs w:val="24"/>
        </w:rPr>
        <w:t xml:space="preserve">on </w:t>
      </w:r>
      <w:r w:rsidR="00364A09" w:rsidRPr="0005675C">
        <w:rPr>
          <w:rFonts w:ascii="Times New Roman" w:eastAsia="Times New Roman" w:hAnsi="Times New Roman" w:cs="Times New Roman"/>
          <w:i/>
          <w:iCs/>
          <w:sz w:val="24"/>
          <w:szCs w:val="24"/>
        </w:rPr>
        <w:t>Betula pendula</w:t>
      </w:r>
      <w:r w:rsidR="00364A09">
        <w:rPr>
          <w:rFonts w:ascii="Times New Roman" w:eastAsia="Times New Roman" w:hAnsi="Times New Roman" w:cs="Times New Roman"/>
          <w:sz w:val="24"/>
          <w:szCs w:val="24"/>
        </w:rPr>
        <w:t xml:space="preserve"> (average DBH 21.8 cm), 3 on </w:t>
      </w:r>
      <w:r w:rsidR="00364A09" w:rsidRPr="0005675C">
        <w:rPr>
          <w:rFonts w:ascii="Times New Roman" w:eastAsia="Times New Roman" w:hAnsi="Times New Roman" w:cs="Times New Roman"/>
          <w:i/>
          <w:iCs/>
          <w:sz w:val="24"/>
          <w:szCs w:val="24"/>
        </w:rPr>
        <w:t>Larix sibirica</w:t>
      </w:r>
      <w:r w:rsidR="00364A09">
        <w:rPr>
          <w:rFonts w:ascii="Times New Roman" w:eastAsia="Times New Roman" w:hAnsi="Times New Roman" w:cs="Times New Roman"/>
          <w:sz w:val="24"/>
          <w:szCs w:val="24"/>
        </w:rPr>
        <w:t xml:space="preserve"> (average DBH 32.1 cm) and </w:t>
      </w:r>
      <w:r>
        <w:rPr>
          <w:rFonts w:ascii="Times New Roman" w:eastAsia="Times New Roman" w:hAnsi="Times New Roman" w:cs="Times New Roman"/>
          <w:sz w:val="24"/>
          <w:szCs w:val="24"/>
        </w:rPr>
        <w:t xml:space="preserve">5 </w:t>
      </w:r>
      <w:r w:rsidR="00364A09">
        <w:rPr>
          <w:rFonts w:ascii="Times New Roman" w:eastAsia="Times New Roman" w:hAnsi="Times New Roman" w:cs="Times New Roman"/>
          <w:sz w:val="24"/>
          <w:szCs w:val="24"/>
        </w:rPr>
        <w:t xml:space="preserve">on </w:t>
      </w:r>
      <w:r w:rsidR="00364A09" w:rsidRPr="0005675C">
        <w:rPr>
          <w:rFonts w:ascii="Times New Roman" w:eastAsia="Times New Roman" w:hAnsi="Times New Roman" w:cs="Times New Roman"/>
          <w:i/>
          <w:iCs/>
          <w:sz w:val="24"/>
          <w:szCs w:val="24"/>
        </w:rPr>
        <w:t>Tillia cordata</w:t>
      </w:r>
      <w:r w:rsidR="00364A09">
        <w:rPr>
          <w:rFonts w:ascii="Times New Roman" w:eastAsia="Times New Roman" w:hAnsi="Times New Roman" w:cs="Times New Roman"/>
          <w:sz w:val="24"/>
          <w:szCs w:val="24"/>
        </w:rPr>
        <w:t xml:space="preserve"> (average DBH 34.1 cm). During the first observation all trees were characterized by height, diameter, age group, VTA score, </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ranging from 1 (healthy conditions</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 xml:space="preserve"> to 7 (severe decline) and standing type (</w:t>
      </w:r>
      <w:r w:rsidR="00134425">
        <w:rPr>
          <w:rFonts w:ascii="Times New Roman" w:eastAsia="Times New Roman" w:hAnsi="Times New Roman" w:cs="Times New Roman"/>
          <w:sz w:val="24"/>
          <w:szCs w:val="24"/>
        </w:rPr>
        <w:t>table 1</w:t>
      </w:r>
      <w:r w:rsidR="00364A09">
        <w:rPr>
          <w:rFonts w:ascii="Times New Roman" w:eastAsia="Times New Roman" w:hAnsi="Times New Roman" w:cs="Times New Roman"/>
          <w:sz w:val="24"/>
          <w:szCs w:val="24"/>
        </w:rPr>
        <w:t xml:space="preserve">). </w:t>
      </w:r>
    </w:p>
    <w:p w14:paraId="2537BE77" w14:textId="77777777" w:rsidR="00364A09" w:rsidRDefault="00364A09" w:rsidP="00364A09">
      <w:pPr>
        <w:spacing w:after="0"/>
        <w:ind w:firstLine="700"/>
        <w:jc w:val="right"/>
        <w:rPr>
          <w:rFonts w:ascii="Times New Roman" w:eastAsia="Times New Roman" w:hAnsi="Times New Roman" w:cs="Times New Roman"/>
          <w:sz w:val="24"/>
          <w:szCs w:val="24"/>
        </w:rPr>
      </w:pPr>
    </w:p>
    <w:p w14:paraId="66929A78" w14:textId="77777777" w:rsidR="00364A09" w:rsidRDefault="00364A09" w:rsidP="00364A09">
      <w:pPr>
        <w:spacing w:after="0"/>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 Basic characteristics of the trees.</w:t>
      </w:r>
    </w:p>
    <w:tbl>
      <w:tblPr>
        <w:tblStyle w:val="a6"/>
        <w:tblW w:w="7379" w:type="dxa"/>
        <w:jc w:val="center"/>
        <w:tblLook w:val="04A0" w:firstRow="1" w:lastRow="0" w:firstColumn="1" w:lastColumn="0" w:noHBand="0" w:noVBand="1"/>
      </w:tblPr>
      <w:tblGrid>
        <w:gridCol w:w="1061"/>
        <w:gridCol w:w="1599"/>
        <w:gridCol w:w="696"/>
        <w:gridCol w:w="706"/>
        <w:gridCol w:w="866"/>
        <w:gridCol w:w="626"/>
        <w:gridCol w:w="1217"/>
        <w:gridCol w:w="608"/>
      </w:tblGrid>
      <w:tr w:rsidR="00134425" w:rsidRPr="00134425" w14:paraId="11852A85" w14:textId="77777777" w:rsidTr="00134425">
        <w:trPr>
          <w:cantSplit/>
          <w:trHeight w:val="1134"/>
          <w:jc w:val="center"/>
        </w:trPr>
        <w:tc>
          <w:tcPr>
            <w:tcW w:w="1061" w:type="dxa"/>
            <w:textDirection w:val="btLr"/>
            <w:vAlign w:val="center"/>
          </w:tcPr>
          <w:p w14:paraId="213CD320"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Tree ID</w:t>
            </w:r>
          </w:p>
        </w:tc>
        <w:tc>
          <w:tcPr>
            <w:tcW w:w="1599" w:type="dxa"/>
            <w:textDirection w:val="btLr"/>
            <w:vAlign w:val="center"/>
          </w:tcPr>
          <w:p w14:paraId="357C2AD2"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lang w:val="ru-RU"/>
              </w:rPr>
            </w:pPr>
            <w:r w:rsidRPr="00134425">
              <w:rPr>
                <w:rFonts w:ascii="Times New Roman" w:eastAsia="Times New Roman" w:hAnsi="Times New Roman" w:cs="Times New Roman"/>
                <w:b/>
                <w:sz w:val="20"/>
                <w:szCs w:val="20"/>
              </w:rPr>
              <w:t>Species</w:t>
            </w:r>
          </w:p>
        </w:tc>
        <w:tc>
          <w:tcPr>
            <w:tcW w:w="696" w:type="dxa"/>
            <w:textDirection w:val="btLr"/>
            <w:vAlign w:val="center"/>
          </w:tcPr>
          <w:p w14:paraId="77839CF7"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Height, m</w:t>
            </w:r>
          </w:p>
        </w:tc>
        <w:tc>
          <w:tcPr>
            <w:tcW w:w="706" w:type="dxa"/>
            <w:textDirection w:val="btLr"/>
            <w:vAlign w:val="center"/>
          </w:tcPr>
          <w:p w14:paraId="0F29B867"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Diameter, cm</w:t>
            </w:r>
          </w:p>
        </w:tc>
        <w:tc>
          <w:tcPr>
            <w:tcW w:w="866" w:type="dxa"/>
            <w:textDirection w:val="btLr"/>
            <w:vAlign w:val="center"/>
          </w:tcPr>
          <w:p w14:paraId="4E9406E2"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 xml:space="preserve">Age </w:t>
            </w:r>
          </w:p>
        </w:tc>
        <w:tc>
          <w:tcPr>
            <w:tcW w:w="626" w:type="dxa"/>
            <w:textDirection w:val="btLr"/>
          </w:tcPr>
          <w:p w14:paraId="0B5BF9AF" w14:textId="71D1BE56"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Canopy area, m</w:t>
            </w:r>
            <w:r w:rsidRPr="00134425">
              <w:rPr>
                <w:rFonts w:ascii="Times New Roman" w:eastAsia="Times New Roman" w:hAnsi="Times New Roman" w:cs="Times New Roman"/>
                <w:b/>
                <w:sz w:val="20"/>
                <w:szCs w:val="20"/>
                <w:vertAlign w:val="superscript"/>
              </w:rPr>
              <w:t>2</w:t>
            </w:r>
          </w:p>
        </w:tc>
        <w:tc>
          <w:tcPr>
            <w:tcW w:w="1217" w:type="dxa"/>
            <w:textDirection w:val="btLr"/>
            <w:vAlign w:val="center"/>
          </w:tcPr>
          <w:p w14:paraId="1FD8E02C" w14:textId="3CE3D480"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Standing type</w:t>
            </w:r>
          </w:p>
        </w:tc>
        <w:tc>
          <w:tcPr>
            <w:tcW w:w="608" w:type="dxa"/>
            <w:textDirection w:val="btLr"/>
            <w:vAlign w:val="center"/>
          </w:tcPr>
          <w:p w14:paraId="5E1CCA2E"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VTA score</w:t>
            </w:r>
          </w:p>
        </w:tc>
      </w:tr>
      <w:tr w:rsidR="00134425" w:rsidRPr="00134425" w14:paraId="40CA021A" w14:textId="77777777" w:rsidTr="00134425">
        <w:trPr>
          <w:trHeight w:val="227"/>
          <w:jc w:val="center"/>
        </w:trPr>
        <w:tc>
          <w:tcPr>
            <w:tcW w:w="1061" w:type="dxa"/>
            <w:vAlign w:val="center"/>
          </w:tcPr>
          <w:p w14:paraId="3CBCE1B2"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218A0281</w:t>
            </w:r>
          </w:p>
        </w:tc>
        <w:tc>
          <w:tcPr>
            <w:tcW w:w="1599" w:type="dxa"/>
            <w:vAlign w:val="center"/>
          </w:tcPr>
          <w:p w14:paraId="352B380A"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Acer platanoides</w:t>
            </w:r>
          </w:p>
        </w:tc>
        <w:tc>
          <w:tcPr>
            <w:tcW w:w="696" w:type="dxa"/>
            <w:vAlign w:val="center"/>
          </w:tcPr>
          <w:p w14:paraId="5611B152"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14</w:t>
            </w:r>
          </w:p>
        </w:tc>
        <w:tc>
          <w:tcPr>
            <w:tcW w:w="706" w:type="dxa"/>
            <w:vAlign w:val="center"/>
          </w:tcPr>
          <w:p w14:paraId="7FCC80E2"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45.83</w:t>
            </w:r>
          </w:p>
        </w:tc>
        <w:tc>
          <w:tcPr>
            <w:tcW w:w="866" w:type="dxa"/>
            <w:vAlign w:val="center"/>
          </w:tcPr>
          <w:p w14:paraId="6379661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5BA27968" w14:textId="75B94C2B" w:rsidR="007813BB" w:rsidRPr="00134425" w:rsidRDefault="007813BB" w:rsidP="00802884">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35.8</w:t>
            </w:r>
          </w:p>
        </w:tc>
        <w:tc>
          <w:tcPr>
            <w:tcW w:w="1217" w:type="dxa"/>
            <w:vAlign w:val="center"/>
          </w:tcPr>
          <w:p w14:paraId="434E9AA2" w14:textId="6286777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398F129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4</w:t>
            </w:r>
          </w:p>
        </w:tc>
      </w:tr>
      <w:tr w:rsidR="00134425" w:rsidRPr="00134425" w14:paraId="6420BFA4" w14:textId="77777777" w:rsidTr="00134425">
        <w:trPr>
          <w:trHeight w:val="227"/>
          <w:jc w:val="center"/>
        </w:trPr>
        <w:tc>
          <w:tcPr>
            <w:tcW w:w="1061" w:type="dxa"/>
            <w:vAlign w:val="center"/>
          </w:tcPr>
          <w:p w14:paraId="20BF7CF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218A0077</w:t>
            </w:r>
          </w:p>
        </w:tc>
        <w:tc>
          <w:tcPr>
            <w:tcW w:w="1599" w:type="dxa"/>
            <w:vAlign w:val="center"/>
          </w:tcPr>
          <w:p w14:paraId="6D2990DA"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Acer platanoides</w:t>
            </w:r>
          </w:p>
        </w:tc>
        <w:tc>
          <w:tcPr>
            <w:tcW w:w="696" w:type="dxa"/>
            <w:vAlign w:val="center"/>
          </w:tcPr>
          <w:p w14:paraId="6EA6F0D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20</w:t>
            </w:r>
          </w:p>
        </w:tc>
        <w:tc>
          <w:tcPr>
            <w:tcW w:w="706" w:type="dxa"/>
            <w:vAlign w:val="center"/>
          </w:tcPr>
          <w:p w14:paraId="1571FC1D"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35.65</w:t>
            </w:r>
          </w:p>
        </w:tc>
        <w:tc>
          <w:tcPr>
            <w:tcW w:w="866" w:type="dxa"/>
            <w:vAlign w:val="center"/>
          </w:tcPr>
          <w:p w14:paraId="50E1AB31"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50-60</w:t>
            </w:r>
          </w:p>
        </w:tc>
        <w:tc>
          <w:tcPr>
            <w:tcW w:w="626" w:type="dxa"/>
            <w:vAlign w:val="center"/>
          </w:tcPr>
          <w:p w14:paraId="5B5FE7D8" w14:textId="4788C4F5" w:rsidR="007813BB" w:rsidRPr="00134425" w:rsidRDefault="007813BB" w:rsidP="00802884">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55.7</w:t>
            </w:r>
          </w:p>
        </w:tc>
        <w:tc>
          <w:tcPr>
            <w:tcW w:w="1217" w:type="dxa"/>
            <w:vAlign w:val="center"/>
          </w:tcPr>
          <w:p w14:paraId="7C715BA7" w14:textId="03186ED1"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23D6023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2EE4EBAD" w14:textId="77777777" w:rsidTr="00134425">
        <w:trPr>
          <w:trHeight w:val="227"/>
          <w:jc w:val="center"/>
        </w:trPr>
        <w:tc>
          <w:tcPr>
            <w:tcW w:w="1061" w:type="dxa"/>
            <w:vAlign w:val="center"/>
          </w:tcPr>
          <w:p w14:paraId="5764DC7B"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218A0262</w:t>
            </w:r>
          </w:p>
        </w:tc>
        <w:tc>
          <w:tcPr>
            <w:tcW w:w="1599" w:type="dxa"/>
            <w:vAlign w:val="center"/>
          </w:tcPr>
          <w:p w14:paraId="536B35B8"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Acer platanoides</w:t>
            </w:r>
          </w:p>
        </w:tc>
        <w:tc>
          <w:tcPr>
            <w:tcW w:w="696" w:type="dxa"/>
            <w:vAlign w:val="center"/>
          </w:tcPr>
          <w:p w14:paraId="52F8C84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14</w:t>
            </w:r>
          </w:p>
        </w:tc>
        <w:tc>
          <w:tcPr>
            <w:tcW w:w="706" w:type="dxa"/>
            <w:vAlign w:val="center"/>
          </w:tcPr>
          <w:p w14:paraId="2D285656"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34.69</w:t>
            </w:r>
          </w:p>
        </w:tc>
        <w:tc>
          <w:tcPr>
            <w:tcW w:w="866" w:type="dxa"/>
            <w:vAlign w:val="center"/>
          </w:tcPr>
          <w:p w14:paraId="7F84F57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17DB1D4A" w14:textId="64F8BC60"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28.5</w:t>
            </w:r>
          </w:p>
        </w:tc>
        <w:tc>
          <w:tcPr>
            <w:tcW w:w="1217" w:type="dxa"/>
            <w:vAlign w:val="center"/>
          </w:tcPr>
          <w:p w14:paraId="2AC99000" w14:textId="094E31D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11A62BA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5E30AD11" w14:textId="77777777" w:rsidTr="00134425">
        <w:trPr>
          <w:trHeight w:val="227"/>
          <w:jc w:val="center"/>
        </w:trPr>
        <w:tc>
          <w:tcPr>
            <w:tcW w:w="1061" w:type="dxa"/>
            <w:vAlign w:val="center"/>
          </w:tcPr>
          <w:p w14:paraId="1F320F10"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218A0255</w:t>
            </w:r>
          </w:p>
        </w:tc>
        <w:tc>
          <w:tcPr>
            <w:tcW w:w="1599" w:type="dxa"/>
            <w:vAlign w:val="center"/>
          </w:tcPr>
          <w:p w14:paraId="5E7889AA"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Acer platanoides</w:t>
            </w:r>
          </w:p>
        </w:tc>
        <w:tc>
          <w:tcPr>
            <w:tcW w:w="696" w:type="dxa"/>
            <w:vAlign w:val="center"/>
          </w:tcPr>
          <w:p w14:paraId="5146291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21</w:t>
            </w:r>
          </w:p>
        </w:tc>
        <w:tc>
          <w:tcPr>
            <w:tcW w:w="706" w:type="dxa"/>
            <w:vAlign w:val="center"/>
          </w:tcPr>
          <w:p w14:paraId="0BA2DACE"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34.37</w:t>
            </w:r>
          </w:p>
        </w:tc>
        <w:tc>
          <w:tcPr>
            <w:tcW w:w="866" w:type="dxa"/>
            <w:vAlign w:val="center"/>
          </w:tcPr>
          <w:p w14:paraId="01B0D1F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1CAC67EA" w14:textId="355F92C1"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55.3</w:t>
            </w:r>
          </w:p>
        </w:tc>
        <w:tc>
          <w:tcPr>
            <w:tcW w:w="1217" w:type="dxa"/>
            <w:vAlign w:val="center"/>
          </w:tcPr>
          <w:p w14:paraId="77732B32" w14:textId="4BFF4FFD"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184D07CB"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6CE10696" w14:textId="77777777" w:rsidTr="00134425">
        <w:trPr>
          <w:trHeight w:val="227"/>
          <w:jc w:val="center"/>
        </w:trPr>
        <w:tc>
          <w:tcPr>
            <w:tcW w:w="1061" w:type="dxa"/>
            <w:vAlign w:val="center"/>
          </w:tcPr>
          <w:p w14:paraId="0C6C5978"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218A0212</w:t>
            </w:r>
          </w:p>
        </w:tc>
        <w:tc>
          <w:tcPr>
            <w:tcW w:w="1599" w:type="dxa"/>
            <w:vAlign w:val="center"/>
          </w:tcPr>
          <w:p w14:paraId="33B10079"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Acer platanoides</w:t>
            </w:r>
          </w:p>
        </w:tc>
        <w:tc>
          <w:tcPr>
            <w:tcW w:w="696" w:type="dxa"/>
            <w:vAlign w:val="center"/>
          </w:tcPr>
          <w:p w14:paraId="286BFE6C"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15</w:t>
            </w:r>
          </w:p>
        </w:tc>
        <w:tc>
          <w:tcPr>
            <w:tcW w:w="706" w:type="dxa"/>
            <w:vAlign w:val="center"/>
          </w:tcPr>
          <w:p w14:paraId="520C2E41"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33.74</w:t>
            </w:r>
          </w:p>
        </w:tc>
        <w:tc>
          <w:tcPr>
            <w:tcW w:w="866" w:type="dxa"/>
            <w:vAlign w:val="center"/>
          </w:tcPr>
          <w:p w14:paraId="3857563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3BB3A346" w14:textId="2E8DD4D3"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27.6</w:t>
            </w:r>
          </w:p>
        </w:tc>
        <w:tc>
          <w:tcPr>
            <w:tcW w:w="1217" w:type="dxa"/>
            <w:vAlign w:val="center"/>
          </w:tcPr>
          <w:p w14:paraId="09937DAF" w14:textId="1D1B4F08"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7A49662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65A3F28E" w14:textId="77777777" w:rsidTr="00134425">
        <w:trPr>
          <w:trHeight w:val="227"/>
          <w:jc w:val="center"/>
        </w:trPr>
        <w:tc>
          <w:tcPr>
            <w:tcW w:w="1061" w:type="dxa"/>
            <w:vAlign w:val="center"/>
          </w:tcPr>
          <w:p w14:paraId="0FC6A4A7"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218A0285</w:t>
            </w:r>
          </w:p>
        </w:tc>
        <w:tc>
          <w:tcPr>
            <w:tcW w:w="1599" w:type="dxa"/>
            <w:vAlign w:val="center"/>
          </w:tcPr>
          <w:p w14:paraId="52A74D65" w14:textId="77777777" w:rsidR="007813BB" w:rsidRPr="00134425" w:rsidRDefault="007813BB" w:rsidP="00364A09">
            <w:pPr>
              <w:spacing w:line="20" w:lineRule="atLeast"/>
              <w:rPr>
                <w:rFonts w:ascii="Times New Roman" w:eastAsia="Times New Roman" w:hAnsi="Times New Roman" w:cs="Times New Roman"/>
                <w:i/>
                <w:iCs/>
                <w:sz w:val="20"/>
                <w:szCs w:val="20"/>
              </w:rPr>
            </w:pPr>
            <w:r w:rsidRPr="00134425">
              <w:rPr>
                <w:rFonts w:ascii="Times New Roman" w:eastAsia="Times New Roman" w:hAnsi="Times New Roman" w:cs="Times New Roman"/>
                <w:i/>
                <w:iCs/>
                <w:sz w:val="20"/>
                <w:szCs w:val="20"/>
              </w:rPr>
              <w:t>Betula pendula</w:t>
            </w:r>
          </w:p>
        </w:tc>
        <w:tc>
          <w:tcPr>
            <w:tcW w:w="696" w:type="dxa"/>
            <w:vAlign w:val="center"/>
          </w:tcPr>
          <w:p w14:paraId="7750F467"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77BD1604"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23.87</w:t>
            </w:r>
          </w:p>
        </w:tc>
        <w:tc>
          <w:tcPr>
            <w:tcW w:w="866" w:type="dxa"/>
            <w:vAlign w:val="center"/>
          </w:tcPr>
          <w:p w14:paraId="2C02885F"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0481EE64" w14:textId="2B91D882"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8.2</w:t>
            </w:r>
          </w:p>
        </w:tc>
        <w:tc>
          <w:tcPr>
            <w:tcW w:w="1217" w:type="dxa"/>
            <w:vAlign w:val="center"/>
          </w:tcPr>
          <w:p w14:paraId="78367428" w14:textId="758B8533"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single</w:t>
            </w:r>
          </w:p>
        </w:tc>
        <w:tc>
          <w:tcPr>
            <w:tcW w:w="608" w:type="dxa"/>
            <w:vAlign w:val="center"/>
          </w:tcPr>
          <w:p w14:paraId="5C1325F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211B5EB7" w14:textId="77777777" w:rsidTr="00134425">
        <w:trPr>
          <w:trHeight w:val="227"/>
          <w:jc w:val="center"/>
        </w:trPr>
        <w:tc>
          <w:tcPr>
            <w:tcW w:w="1061" w:type="dxa"/>
            <w:vAlign w:val="center"/>
          </w:tcPr>
          <w:p w14:paraId="5D9D2786"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218A0104</w:t>
            </w:r>
          </w:p>
        </w:tc>
        <w:tc>
          <w:tcPr>
            <w:tcW w:w="1599" w:type="dxa"/>
            <w:vAlign w:val="center"/>
          </w:tcPr>
          <w:p w14:paraId="710215C5" w14:textId="77777777" w:rsidR="007813BB" w:rsidRPr="00134425" w:rsidRDefault="007813BB" w:rsidP="00364A09">
            <w:pPr>
              <w:spacing w:line="20" w:lineRule="atLeast"/>
              <w:rPr>
                <w:rFonts w:ascii="Times New Roman" w:eastAsia="Times New Roman" w:hAnsi="Times New Roman" w:cs="Times New Roman"/>
                <w:i/>
                <w:iCs/>
                <w:sz w:val="20"/>
                <w:szCs w:val="20"/>
              </w:rPr>
            </w:pPr>
            <w:r w:rsidRPr="00134425">
              <w:rPr>
                <w:rFonts w:ascii="Times New Roman" w:eastAsia="Times New Roman" w:hAnsi="Times New Roman" w:cs="Times New Roman"/>
                <w:i/>
                <w:iCs/>
                <w:sz w:val="20"/>
                <w:szCs w:val="20"/>
              </w:rPr>
              <w:t>Betula pendula</w:t>
            </w:r>
          </w:p>
        </w:tc>
        <w:tc>
          <w:tcPr>
            <w:tcW w:w="696" w:type="dxa"/>
            <w:vAlign w:val="center"/>
          </w:tcPr>
          <w:p w14:paraId="780A1B7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36CC18C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21.65</w:t>
            </w:r>
          </w:p>
        </w:tc>
        <w:tc>
          <w:tcPr>
            <w:tcW w:w="866" w:type="dxa"/>
            <w:vAlign w:val="center"/>
          </w:tcPr>
          <w:p w14:paraId="4EDEF922"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30-40</w:t>
            </w:r>
          </w:p>
        </w:tc>
        <w:tc>
          <w:tcPr>
            <w:tcW w:w="626" w:type="dxa"/>
            <w:vAlign w:val="center"/>
          </w:tcPr>
          <w:p w14:paraId="18DCE249" w14:textId="152BC74D"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7.6</w:t>
            </w:r>
          </w:p>
        </w:tc>
        <w:tc>
          <w:tcPr>
            <w:tcW w:w="1217" w:type="dxa"/>
            <w:vAlign w:val="center"/>
          </w:tcPr>
          <w:p w14:paraId="5B0876B3" w14:textId="07A3255C"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6EBE99B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2BA61935" w14:textId="77777777" w:rsidTr="00134425">
        <w:trPr>
          <w:trHeight w:val="227"/>
          <w:jc w:val="center"/>
        </w:trPr>
        <w:tc>
          <w:tcPr>
            <w:tcW w:w="1061" w:type="dxa"/>
            <w:vAlign w:val="center"/>
          </w:tcPr>
          <w:p w14:paraId="320D6188"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218A0210</w:t>
            </w:r>
          </w:p>
        </w:tc>
        <w:tc>
          <w:tcPr>
            <w:tcW w:w="1599" w:type="dxa"/>
            <w:vAlign w:val="center"/>
          </w:tcPr>
          <w:p w14:paraId="46636A15" w14:textId="77777777" w:rsidR="007813BB" w:rsidRPr="00134425" w:rsidRDefault="007813BB" w:rsidP="00364A09">
            <w:pPr>
              <w:spacing w:line="20" w:lineRule="atLeast"/>
              <w:rPr>
                <w:rFonts w:ascii="Times New Roman" w:eastAsia="Times New Roman" w:hAnsi="Times New Roman" w:cs="Times New Roman"/>
                <w:i/>
                <w:iCs/>
                <w:sz w:val="20"/>
                <w:szCs w:val="20"/>
              </w:rPr>
            </w:pPr>
            <w:r w:rsidRPr="00134425">
              <w:rPr>
                <w:rFonts w:ascii="Times New Roman" w:eastAsia="Times New Roman" w:hAnsi="Times New Roman" w:cs="Times New Roman"/>
                <w:i/>
                <w:iCs/>
                <w:sz w:val="20"/>
                <w:szCs w:val="20"/>
              </w:rPr>
              <w:t>Betula pendula</w:t>
            </w:r>
          </w:p>
        </w:tc>
        <w:tc>
          <w:tcPr>
            <w:tcW w:w="696" w:type="dxa"/>
            <w:vAlign w:val="center"/>
          </w:tcPr>
          <w:p w14:paraId="6EE9930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11B94C02"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21.00</w:t>
            </w:r>
          </w:p>
        </w:tc>
        <w:tc>
          <w:tcPr>
            <w:tcW w:w="866" w:type="dxa"/>
            <w:vAlign w:val="center"/>
          </w:tcPr>
          <w:p w14:paraId="0CA5968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30-40</w:t>
            </w:r>
          </w:p>
        </w:tc>
        <w:tc>
          <w:tcPr>
            <w:tcW w:w="626" w:type="dxa"/>
            <w:vAlign w:val="center"/>
          </w:tcPr>
          <w:p w14:paraId="2EE60769" w14:textId="4B8980CE"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6.4</w:t>
            </w:r>
          </w:p>
        </w:tc>
        <w:tc>
          <w:tcPr>
            <w:tcW w:w="1217" w:type="dxa"/>
            <w:vAlign w:val="center"/>
          </w:tcPr>
          <w:p w14:paraId="478BD264" w14:textId="6CE1D645"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5A13260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06A59E93" w14:textId="77777777" w:rsidTr="00134425">
        <w:trPr>
          <w:trHeight w:val="227"/>
          <w:jc w:val="center"/>
        </w:trPr>
        <w:tc>
          <w:tcPr>
            <w:tcW w:w="1061" w:type="dxa"/>
            <w:vAlign w:val="center"/>
          </w:tcPr>
          <w:p w14:paraId="1E21D11C"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218A0138</w:t>
            </w:r>
          </w:p>
        </w:tc>
        <w:tc>
          <w:tcPr>
            <w:tcW w:w="1599" w:type="dxa"/>
            <w:vAlign w:val="center"/>
          </w:tcPr>
          <w:p w14:paraId="125FE442"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Larix sibirica</w:t>
            </w:r>
          </w:p>
        </w:tc>
        <w:tc>
          <w:tcPr>
            <w:tcW w:w="696" w:type="dxa"/>
            <w:vAlign w:val="center"/>
          </w:tcPr>
          <w:p w14:paraId="03C47D97"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19</w:t>
            </w:r>
          </w:p>
        </w:tc>
        <w:tc>
          <w:tcPr>
            <w:tcW w:w="706" w:type="dxa"/>
            <w:vAlign w:val="center"/>
          </w:tcPr>
          <w:p w14:paraId="2412B385"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40.74</w:t>
            </w:r>
          </w:p>
        </w:tc>
        <w:tc>
          <w:tcPr>
            <w:tcW w:w="866" w:type="dxa"/>
            <w:vAlign w:val="center"/>
          </w:tcPr>
          <w:p w14:paraId="7C7DA87D"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80-100</w:t>
            </w:r>
          </w:p>
        </w:tc>
        <w:tc>
          <w:tcPr>
            <w:tcW w:w="626" w:type="dxa"/>
            <w:vAlign w:val="center"/>
          </w:tcPr>
          <w:p w14:paraId="0CC7AB48" w14:textId="38FC847E"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37.4</w:t>
            </w:r>
          </w:p>
        </w:tc>
        <w:tc>
          <w:tcPr>
            <w:tcW w:w="1217" w:type="dxa"/>
            <w:vAlign w:val="center"/>
          </w:tcPr>
          <w:p w14:paraId="7BB5C5EF" w14:textId="49B701A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07774BDA"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2262D32C" w14:textId="77777777" w:rsidTr="00134425">
        <w:trPr>
          <w:trHeight w:val="227"/>
          <w:jc w:val="center"/>
        </w:trPr>
        <w:tc>
          <w:tcPr>
            <w:tcW w:w="1061" w:type="dxa"/>
            <w:vAlign w:val="center"/>
          </w:tcPr>
          <w:p w14:paraId="1AC11F9B"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218A0079</w:t>
            </w:r>
          </w:p>
        </w:tc>
        <w:tc>
          <w:tcPr>
            <w:tcW w:w="1599" w:type="dxa"/>
            <w:vAlign w:val="center"/>
          </w:tcPr>
          <w:p w14:paraId="7DE64B9B"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Larix sibirica</w:t>
            </w:r>
          </w:p>
        </w:tc>
        <w:tc>
          <w:tcPr>
            <w:tcW w:w="696" w:type="dxa"/>
            <w:vAlign w:val="center"/>
          </w:tcPr>
          <w:p w14:paraId="06EF7266"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25</w:t>
            </w:r>
          </w:p>
        </w:tc>
        <w:tc>
          <w:tcPr>
            <w:tcW w:w="706" w:type="dxa"/>
            <w:vAlign w:val="center"/>
          </w:tcPr>
          <w:p w14:paraId="2B04548D"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32.14</w:t>
            </w:r>
          </w:p>
        </w:tc>
        <w:tc>
          <w:tcPr>
            <w:tcW w:w="866" w:type="dxa"/>
            <w:vAlign w:val="center"/>
          </w:tcPr>
          <w:p w14:paraId="602C601D"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80-100</w:t>
            </w:r>
          </w:p>
        </w:tc>
        <w:tc>
          <w:tcPr>
            <w:tcW w:w="626" w:type="dxa"/>
            <w:vAlign w:val="center"/>
          </w:tcPr>
          <w:p w14:paraId="759ECBC3" w14:textId="4A73A160"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65.9</w:t>
            </w:r>
          </w:p>
        </w:tc>
        <w:tc>
          <w:tcPr>
            <w:tcW w:w="1217" w:type="dxa"/>
            <w:vAlign w:val="center"/>
          </w:tcPr>
          <w:p w14:paraId="21702FE6" w14:textId="6302986F"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67EA4B97"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2F9FC46A" w14:textId="77777777" w:rsidTr="00134425">
        <w:trPr>
          <w:trHeight w:val="227"/>
          <w:jc w:val="center"/>
        </w:trPr>
        <w:tc>
          <w:tcPr>
            <w:tcW w:w="1061" w:type="dxa"/>
            <w:vAlign w:val="center"/>
          </w:tcPr>
          <w:p w14:paraId="444C075D"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218A0277</w:t>
            </w:r>
          </w:p>
        </w:tc>
        <w:tc>
          <w:tcPr>
            <w:tcW w:w="1599" w:type="dxa"/>
            <w:vAlign w:val="center"/>
          </w:tcPr>
          <w:p w14:paraId="33C36675"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Larix sibirica</w:t>
            </w:r>
          </w:p>
        </w:tc>
        <w:tc>
          <w:tcPr>
            <w:tcW w:w="696" w:type="dxa"/>
            <w:vAlign w:val="center"/>
          </w:tcPr>
          <w:p w14:paraId="6A3E710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24</w:t>
            </w:r>
          </w:p>
        </w:tc>
        <w:tc>
          <w:tcPr>
            <w:tcW w:w="706" w:type="dxa"/>
            <w:vAlign w:val="center"/>
          </w:tcPr>
          <w:p w14:paraId="78829079"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26.10</w:t>
            </w:r>
          </w:p>
        </w:tc>
        <w:tc>
          <w:tcPr>
            <w:tcW w:w="866" w:type="dxa"/>
            <w:vAlign w:val="center"/>
          </w:tcPr>
          <w:p w14:paraId="43ED72FC"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80-100</w:t>
            </w:r>
          </w:p>
        </w:tc>
        <w:tc>
          <w:tcPr>
            <w:tcW w:w="626" w:type="dxa"/>
            <w:vAlign w:val="center"/>
          </w:tcPr>
          <w:p w14:paraId="486D4F7C" w14:textId="5102C447"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32.3</w:t>
            </w:r>
          </w:p>
        </w:tc>
        <w:tc>
          <w:tcPr>
            <w:tcW w:w="1217" w:type="dxa"/>
            <w:vAlign w:val="center"/>
          </w:tcPr>
          <w:p w14:paraId="0760FF4C" w14:textId="67FBF831"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2F2EC09B"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1B90BEC8" w14:textId="77777777" w:rsidTr="00134425">
        <w:trPr>
          <w:trHeight w:val="227"/>
          <w:jc w:val="center"/>
        </w:trPr>
        <w:tc>
          <w:tcPr>
            <w:tcW w:w="1061" w:type="dxa"/>
            <w:vAlign w:val="center"/>
          </w:tcPr>
          <w:p w14:paraId="1F3EE2A3"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218A0186</w:t>
            </w:r>
          </w:p>
        </w:tc>
        <w:tc>
          <w:tcPr>
            <w:tcW w:w="1599" w:type="dxa"/>
            <w:vAlign w:val="center"/>
          </w:tcPr>
          <w:p w14:paraId="4A894FAC" w14:textId="77777777" w:rsidR="007813BB" w:rsidRPr="00134425" w:rsidRDefault="007813BB" w:rsidP="00364A09">
            <w:pPr>
              <w:rPr>
                <w:rFonts w:ascii="Times New Roman" w:eastAsia="Times New Roman" w:hAnsi="Times New Roman" w:cs="Times New Roman"/>
                <w:i/>
                <w:iCs/>
                <w:sz w:val="20"/>
                <w:szCs w:val="20"/>
              </w:rPr>
            </w:pPr>
            <w:r w:rsidRPr="00134425">
              <w:rPr>
                <w:rFonts w:ascii="Times New Roman" w:hAnsi="Times New Roman" w:cs="Times New Roman"/>
                <w:i/>
                <w:iCs/>
                <w:color w:val="000000"/>
                <w:sz w:val="20"/>
                <w:szCs w:val="20"/>
              </w:rPr>
              <w:t>Tilia cordata</w:t>
            </w:r>
          </w:p>
        </w:tc>
        <w:tc>
          <w:tcPr>
            <w:tcW w:w="696" w:type="dxa"/>
            <w:vAlign w:val="center"/>
          </w:tcPr>
          <w:p w14:paraId="10C245C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17</w:t>
            </w:r>
          </w:p>
        </w:tc>
        <w:tc>
          <w:tcPr>
            <w:tcW w:w="706" w:type="dxa"/>
            <w:vAlign w:val="center"/>
          </w:tcPr>
          <w:p w14:paraId="07FB203C"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40.42</w:t>
            </w:r>
          </w:p>
        </w:tc>
        <w:tc>
          <w:tcPr>
            <w:tcW w:w="866" w:type="dxa"/>
            <w:vAlign w:val="center"/>
          </w:tcPr>
          <w:p w14:paraId="481061D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21D1B61D" w14:textId="7230C0EA"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19.5</w:t>
            </w:r>
          </w:p>
        </w:tc>
        <w:tc>
          <w:tcPr>
            <w:tcW w:w="1217" w:type="dxa"/>
            <w:vAlign w:val="center"/>
          </w:tcPr>
          <w:p w14:paraId="3785FF85" w14:textId="248F202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2AA874AC"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2CBCD796" w14:textId="77777777" w:rsidTr="00134425">
        <w:trPr>
          <w:trHeight w:val="227"/>
          <w:jc w:val="center"/>
        </w:trPr>
        <w:tc>
          <w:tcPr>
            <w:tcW w:w="1061" w:type="dxa"/>
            <w:vAlign w:val="center"/>
          </w:tcPr>
          <w:p w14:paraId="1AF3BF66"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218A0121</w:t>
            </w:r>
          </w:p>
        </w:tc>
        <w:tc>
          <w:tcPr>
            <w:tcW w:w="1599" w:type="dxa"/>
            <w:vAlign w:val="center"/>
          </w:tcPr>
          <w:p w14:paraId="14025D23" w14:textId="77777777" w:rsidR="007813BB" w:rsidRPr="00134425" w:rsidRDefault="007813BB" w:rsidP="00364A09">
            <w:pPr>
              <w:rPr>
                <w:rFonts w:ascii="Times New Roman" w:eastAsia="Times New Roman" w:hAnsi="Times New Roman" w:cs="Times New Roman"/>
                <w:i/>
                <w:iCs/>
                <w:sz w:val="20"/>
                <w:szCs w:val="20"/>
              </w:rPr>
            </w:pPr>
            <w:r w:rsidRPr="00134425">
              <w:rPr>
                <w:rFonts w:ascii="Times New Roman" w:hAnsi="Times New Roman" w:cs="Times New Roman"/>
                <w:i/>
                <w:iCs/>
                <w:color w:val="000000"/>
                <w:sz w:val="20"/>
                <w:szCs w:val="20"/>
              </w:rPr>
              <w:t>Tilia cordata</w:t>
            </w:r>
          </w:p>
        </w:tc>
        <w:tc>
          <w:tcPr>
            <w:tcW w:w="696" w:type="dxa"/>
            <w:vAlign w:val="center"/>
          </w:tcPr>
          <w:p w14:paraId="39BBBA3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16</w:t>
            </w:r>
          </w:p>
        </w:tc>
        <w:tc>
          <w:tcPr>
            <w:tcW w:w="706" w:type="dxa"/>
            <w:vAlign w:val="center"/>
          </w:tcPr>
          <w:p w14:paraId="71E3BA27"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37.87</w:t>
            </w:r>
          </w:p>
        </w:tc>
        <w:tc>
          <w:tcPr>
            <w:tcW w:w="866" w:type="dxa"/>
            <w:vAlign w:val="center"/>
          </w:tcPr>
          <w:p w14:paraId="486952C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25B0085F" w14:textId="5365CB24"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31.3</w:t>
            </w:r>
          </w:p>
        </w:tc>
        <w:tc>
          <w:tcPr>
            <w:tcW w:w="1217" w:type="dxa"/>
            <w:vAlign w:val="center"/>
          </w:tcPr>
          <w:p w14:paraId="0B9918ED" w14:textId="05443B9F"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0B5DE8E9"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3E656104" w14:textId="77777777" w:rsidTr="00134425">
        <w:trPr>
          <w:trHeight w:val="227"/>
          <w:jc w:val="center"/>
        </w:trPr>
        <w:tc>
          <w:tcPr>
            <w:tcW w:w="1061" w:type="dxa"/>
            <w:vAlign w:val="center"/>
          </w:tcPr>
          <w:p w14:paraId="63A75E05"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218A0153</w:t>
            </w:r>
          </w:p>
        </w:tc>
        <w:tc>
          <w:tcPr>
            <w:tcW w:w="1599" w:type="dxa"/>
            <w:vAlign w:val="center"/>
          </w:tcPr>
          <w:p w14:paraId="26CEDF6D" w14:textId="77777777" w:rsidR="007813BB" w:rsidRPr="00134425" w:rsidRDefault="007813BB" w:rsidP="00364A09">
            <w:pPr>
              <w:rPr>
                <w:rFonts w:ascii="Times New Roman" w:eastAsia="Times New Roman" w:hAnsi="Times New Roman" w:cs="Times New Roman"/>
                <w:i/>
                <w:iCs/>
                <w:sz w:val="20"/>
                <w:szCs w:val="20"/>
              </w:rPr>
            </w:pPr>
            <w:r w:rsidRPr="00134425">
              <w:rPr>
                <w:rFonts w:ascii="Times New Roman" w:hAnsi="Times New Roman" w:cs="Times New Roman"/>
                <w:i/>
                <w:iCs/>
                <w:color w:val="000000"/>
                <w:sz w:val="20"/>
                <w:szCs w:val="20"/>
              </w:rPr>
              <w:t>Tilia cordata</w:t>
            </w:r>
          </w:p>
        </w:tc>
        <w:tc>
          <w:tcPr>
            <w:tcW w:w="696" w:type="dxa"/>
            <w:vAlign w:val="center"/>
          </w:tcPr>
          <w:p w14:paraId="695E2AD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14</w:t>
            </w:r>
          </w:p>
        </w:tc>
        <w:tc>
          <w:tcPr>
            <w:tcW w:w="706" w:type="dxa"/>
            <w:vAlign w:val="center"/>
          </w:tcPr>
          <w:p w14:paraId="5C9F716B"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35.33</w:t>
            </w:r>
          </w:p>
        </w:tc>
        <w:tc>
          <w:tcPr>
            <w:tcW w:w="866" w:type="dxa"/>
            <w:vAlign w:val="center"/>
          </w:tcPr>
          <w:p w14:paraId="6BCF0FDA"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40-50</w:t>
            </w:r>
          </w:p>
        </w:tc>
        <w:tc>
          <w:tcPr>
            <w:tcW w:w="626" w:type="dxa"/>
            <w:vAlign w:val="center"/>
          </w:tcPr>
          <w:p w14:paraId="7CDB054E" w14:textId="032F00C5"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21.1</w:t>
            </w:r>
          </w:p>
        </w:tc>
        <w:tc>
          <w:tcPr>
            <w:tcW w:w="1217" w:type="dxa"/>
            <w:vAlign w:val="center"/>
          </w:tcPr>
          <w:p w14:paraId="01A01350" w14:textId="6D3DF488"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751193F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1C54FDDD" w14:textId="77777777" w:rsidTr="00134425">
        <w:trPr>
          <w:trHeight w:val="227"/>
          <w:jc w:val="center"/>
        </w:trPr>
        <w:tc>
          <w:tcPr>
            <w:tcW w:w="1061" w:type="dxa"/>
            <w:vAlign w:val="center"/>
          </w:tcPr>
          <w:p w14:paraId="52479B03"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218A0111</w:t>
            </w:r>
          </w:p>
        </w:tc>
        <w:tc>
          <w:tcPr>
            <w:tcW w:w="1599" w:type="dxa"/>
            <w:vAlign w:val="center"/>
          </w:tcPr>
          <w:p w14:paraId="2012A3A6" w14:textId="77777777" w:rsidR="007813BB" w:rsidRPr="00134425" w:rsidRDefault="007813BB" w:rsidP="00364A09">
            <w:pPr>
              <w:rPr>
                <w:rFonts w:ascii="Times New Roman" w:eastAsia="Times New Roman" w:hAnsi="Times New Roman" w:cs="Times New Roman"/>
                <w:i/>
                <w:iCs/>
                <w:sz w:val="20"/>
                <w:szCs w:val="20"/>
              </w:rPr>
            </w:pPr>
            <w:r w:rsidRPr="00134425">
              <w:rPr>
                <w:rFonts w:ascii="Times New Roman" w:hAnsi="Times New Roman" w:cs="Times New Roman"/>
                <w:i/>
                <w:iCs/>
                <w:color w:val="000000"/>
                <w:sz w:val="20"/>
                <w:szCs w:val="20"/>
              </w:rPr>
              <w:t>Tilia cordata</w:t>
            </w:r>
          </w:p>
        </w:tc>
        <w:tc>
          <w:tcPr>
            <w:tcW w:w="696" w:type="dxa"/>
            <w:vAlign w:val="center"/>
          </w:tcPr>
          <w:p w14:paraId="061CDDD1"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12</w:t>
            </w:r>
          </w:p>
        </w:tc>
        <w:tc>
          <w:tcPr>
            <w:tcW w:w="706" w:type="dxa"/>
            <w:vAlign w:val="center"/>
          </w:tcPr>
          <w:p w14:paraId="1C764B7B"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28.01</w:t>
            </w:r>
          </w:p>
        </w:tc>
        <w:tc>
          <w:tcPr>
            <w:tcW w:w="866" w:type="dxa"/>
            <w:vAlign w:val="center"/>
          </w:tcPr>
          <w:p w14:paraId="013A7C2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40-50</w:t>
            </w:r>
          </w:p>
        </w:tc>
        <w:tc>
          <w:tcPr>
            <w:tcW w:w="626" w:type="dxa"/>
            <w:vAlign w:val="center"/>
          </w:tcPr>
          <w:p w14:paraId="133D58BF" w14:textId="3D3D2D21"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20</w:t>
            </w:r>
          </w:p>
        </w:tc>
        <w:tc>
          <w:tcPr>
            <w:tcW w:w="1217" w:type="dxa"/>
            <w:vAlign w:val="center"/>
          </w:tcPr>
          <w:p w14:paraId="3BB90502" w14:textId="796783EF"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440203B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6AF65AC3" w14:textId="77777777" w:rsidTr="00134425">
        <w:trPr>
          <w:trHeight w:val="227"/>
          <w:jc w:val="center"/>
        </w:trPr>
        <w:tc>
          <w:tcPr>
            <w:tcW w:w="1061" w:type="dxa"/>
            <w:vAlign w:val="center"/>
          </w:tcPr>
          <w:p w14:paraId="039BC93A"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218A0270</w:t>
            </w:r>
          </w:p>
        </w:tc>
        <w:tc>
          <w:tcPr>
            <w:tcW w:w="1599" w:type="dxa"/>
            <w:vAlign w:val="center"/>
          </w:tcPr>
          <w:p w14:paraId="0A83638E" w14:textId="77777777" w:rsidR="007813BB" w:rsidRPr="00134425" w:rsidRDefault="007813BB" w:rsidP="00364A09">
            <w:pPr>
              <w:rPr>
                <w:rFonts w:ascii="Times New Roman" w:eastAsia="Times New Roman" w:hAnsi="Times New Roman" w:cs="Times New Roman"/>
                <w:i/>
                <w:iCs/>
                <w:sz w:val="20"/>
                <w:szCs w:val="20"/>
              </w:rPr>
            </w:pPr>
            <w:r w:rsidRPr="00134425">
              <w:rPr>
                <w:rFonts w:ascii="Times New Roman" w:hAnsi="Times New Roman" w:cs="Times New Roman"/>
                <w:i/>
                <w:iCs/>
                <w:color w:val="000000"/>
                <w:sz w:val="20"/>
                <w:szCs w:val="20"/>
              </w:rPr>
              <w:t>Tilia cordata</w:t>
            </w:r>
          </w:p>
        </w:tc>
        <w:tc>
          <w:tcPr>
            <w:tcW w:w="696" w:type="dxa"/>
            <w:vAlign w:val="center"/>
          </w:tcPr>
          <w:p w14:paraId="6D8EFBE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2161B08B"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25.14</w:t>
            </w:r>
          </w:p>
        </w:tc>
        <w:tc>
          <w:tcPr>
            <w:tcW w:w="866" w:type="dxa"/>
            <w:vAlign w:val="center"/>
          </w:tcPr>
          <w:p w14:paraId="3BBE9B3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30-40</w:t>
            </w:r>
          </w:p>
        </w:tc>
        <w:tc>
          <w:tcPr>
            <w:tcW w:w="626" w:type="dxa"/>
            <w:vAlign w:val="center"/>
          </w:tcPr>
          <w:p w14:paraId="26F7E38C" w14:textId="6EF9213B"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22.4</w:t>
            </w:r>
          </w:p>
        </w:tc>
        <w:tc>
          <w:tcPr>
            <w:tcW w:w="1217" w:type="dxa"/>
            <w:vAlign w:val="center"/>
          </w:tcPr>
          <w:p w14:paraId="1A546059" w14:textId="338240AC"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single</w:t>
            </w:r>
          </w:p>
        </w:tc>
        <w:tc>
          <w:tcPr>
            <w:tcW w:w="608" w:type="dxa"/>
            <w:vAlign w:val="center"/>
          </w:tcPr>
          <w:p w14:paraId="3200FCF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bl>
    <w:p w14:paraId="0804D76A" w14:textId="77777777" w:rsidR="00364A09" w:rsidRDefault="00364A09" w:rsidP="00364A09">
      <w:pPr>
        <w:spacing w:after="0"/>
        <w:ind w:firstLine="720"/>
        <w:jc w:val="both"/>
        <w:rPr>
          <w:rFonts w:ascii="Times New Roman" w:eastAsia="Times New Roman" w:hAnsi="Times New Roman" w:cs="Times New Roman"/>
          <w:sz w:val="24"/>
          <w:szCs w:val="24"/>
        </w:rPr>
      </w:pPr>
    </w:p>
    <w:p w14:paraId="3CC8B8A0" w14:textId="5E52828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TreeTalkers devices (TT+) (Nature4.0 BC </w:t>
      </w:r>
      <w:r w:rsidR="007A74A0">
        <w:rPr>
          <w:rFonts w:ascii="Times New Roman" w:eastAsia="Times New Roman" w:hAnsi="Times New Roman" w:cs="Times New Roman"/>
          <w:sz w:val="24"/>
          <w:szCs w:val="24"/>
        </w:rPr>
        <w:t>URL</w:t>
      </w:r>
      <w:r>
        <w:rPr>
          <w:rFonts w:ascii="Times New Roman" w:eastAsia="Times New Roman" w:hAnsi="Times New Roman" w:cs="Times New Roman"/>
          <w:sz w:val="24"/>
          <w:szCs w:val="24"/>
        </w:rPr>
        <w:t>-www.nature4.org</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2019)","dontUpdate":true,"noteIndex":0},"citationItems":[{"id":2089,"uris":["http://zotero.org/users/3524663/items/4K7EB497"],"uri":["http://zotero.org/users/3524663/items/4K7EB497"],"itemData":{"id":2089,"type":"article-journal","abstract":"Recently,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613AD3">
        <w:rPr>
          <w:rFonts w:ascii="Times New Roman" w:eastAsia="Times New Roman" w:hAnsi="Times New Roman" w:cs="Times New Roman"/>
          <w:sz w:val="24"/>
          <w:szCs w:val="24"/>
        </w:rPr>
        <w:fldChar w:fldCharType="separate"/>
      </w:r>
      <w:r w:rsidR="00613AD3" w:rsidRPr="00293F72">
        <w:rPr>
          <w:rFonts w:ascii="Times New Roman" w:hAnsi="Times New Roman" w:cs="Times New Roman"/>
          <w:sz w:val="24"/>
        </w:rPr>
        <w:t>Valentini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are microprocessor based IoT platform built around the ATMEL328 chip, equipped with a LoRa transceiver for radio transmission to a central gateway which collect the individual tree data and send to cloud using GSM/GPRS technology. The TT+ sensors are able to measure</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 the sap flow density, using</w:t>
      </w:r>
      <w:r w:rsidR="00625FA9">
        <w:rPr>
          <w:rFonts w:ascii="Times New Roman" w:eastAsia="Times New Roman" w:hAnsi="Times New Roman" w:cs="Times New Roman"/>
          <w:sz w:val="24"/>
          <w:szCs w:val="24"/>
        </w:rPr>
        <w:t xml:space="preserve"> a transient thermal dissipation methods</w:t>
      </w:r>
      <w:r>
        <w:rPr>
          <w:rFonts w:ascii="Times New Roman" w:eastAsia="Times New Roman" w:hAnsi="Times New Roman" w:cs="Times New Roman"/>
          <w:sz w:val="24"/>
          <w:szCs w:val="24"/>
        </w:rPr>
        <w:t xml:space="preserve"> </w:t>
      </w:r>
      <w:r w:rsidR="00625FA9">
        <w:rPr>
          <w:rFonts w:ascii="Times New Roman" w:eastAsia="Times New Roman" w:hAnsi="Times New Roman" w:cs="Times New Roman"/>
          <w:sz w:val="24"/>
          <w:szCs w:val="24"/>
        </w:rPr>
        <w:t xml:space="preserve">based on </w:t>
      </w:r>
      <w:r>
        <w:rPr>
          <w:rFonts w:ascii="Times New Roman" w:eastAsia="Times New Roman" w:hAnsi="Times New Roman" w:cs="Times New Roman"/>
          <w:sz w:val="24"/>
          <w:szCs w:val="24"/>
        </w:rPr>
        <w:t>an heating</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cooling cycle </w:t>
      </w:r>
      <w:r w:rsidR="00625FA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10minutes every 1 hour</w:t>
      </w:r>
      <w:r w:rsidR="00625FA9">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{"citationID":"jp88ewUN","properties":{"formattedCitation":"(Do et al., 2018)","plainCitation":"(Do et al., 2018)","noteIndex":0},"citationItems":[{"id":2103,"uris":["http://zotero.org/users/3524663/items/US6M9MXL"],"uri":["http://zotero.org/users/3524663/items/US6M9MXL"],"itemData":{"id":2103,"type":"article-journal","abstract":"The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 et al., 2018)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 the light transmission spectra through the canopy in 12 spectral bands</w:t>
      </w:r>
      <w:r w:rsidR="00625FA9">
        <w:rPr>
          <w:rFonts w:ascii="Times New Roman" w:eastAsia="Times New Roman" w:hAnsi="Times New Roman" w:cs="Times New Roman"/>
          <w:sz w:val="24"/>
          <w:szCs w:val="24"/>
        </w:rPr>
        <w:t xml:space="preserve"> , using 2 spectrometers (VIS and NIR)</w:t>
      </w:r>
      <w:r>
        <w:rPr>
          <w:rFonts w:ascii="Times New Roman" w:eastAsia="Times New Roman" w:hAnsi="Times New Roman" w:cs="Times New Roman"/>
          <w:sz w:val="24"/>
          <w:szCs w:val="24"/>
        </w:rPr>
        <w:t>, 3) diameter growth with an optical IR pulsed device, 4) Stem position and oscillation in 3 axis</w:t>
      </w:r>
      <w:r w:rsidR="00625FA9">
        <w:rPr>
          <w:rFonts w:ascii="Times New Roman" w:eastAsia="Times New Roman" w:hAnsi="Times New Roman" w:cs="Times New Roman"/>
          <w:sz w:val="24"/>
          <w:szCs w:val="24"/>
        </w:rPr>
        <w:t xml:space="preserve"> with an on board accelerometer</w:t>
      </w:r>
      <w:r>
        <w:rPr>
          <w:rFonts w:ascii="Times New Roman" w:eastAsia="Times New Roman" w:hAnsi="Times New Roman" w:cs="Times New Roman"/>
          <w:sz w:val="24"/>
          <w:szCs w:val="24"/>
        </w:rPr>
        <w:t>. In addition air temperature and humidity is recorded at the single tree level. Specification</w:t>
      </w:r>
      <w:r w:rsidR="001912A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listed in Table </w:t>
      </w:r>
      <w:r w:rsidR="00613AD3">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7B5FB806" w14:textId="50DFC8B0" w:rsidR="00364A09" w:rsidRDefault="00613AD3" w:rsidP="00613AD3">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Measured parameters according to TT+ specification. </w:t>
      </w:r>
    </w:p>
    <w:tbl>
      <w:tblPr>
        <w:tblStyle w:val="a6"/>
        <w:tblW w:w="8789" w:type="dxa"/>
        <w:jc w:val="center"/>
        <w:tblLook w:val="04A0" w:firstRow="1" w:lastRow="0" w:firstColumn="1" w:lastColumn="0" w:noHBand="0" w:noVBand="1"/>
      </w:tblPr>
      <w:tblGrid>
        <w:gridCol w:w="2725"/>
        <w:gridCol w:w="2726"/>
        <w:gridCol w:w="3338"/>
      </w:tblGrid>
      <w:tr w:rsidR="00364A09" w:rsidRPr="00613AD3" w14:paraId="136DF0A7" w14:textId="77777777" w:rsidTr="00134425">
        <w:trPr>
          <w:trHeight w:val="241"/>
          <w:jc w:val="center"/>
        </w:trPr>
        <w:tc>
          <w:tcPr>
            <w:tcW w:w="2725" w:type="dxa"/>
          </w:tcPr>
          <w:p w14:paraId="2223BF95"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Sensor</w:t>
            </w:r>
          </w:p>
        </w:tc>
        <w:tc>
          <w:tcPr>
            <w:tcW w:w="2726" w:type="dxa"/>
          </w:tcPr>
          <w:p w14:paraId="50798547"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Range</w:t>
            </w:r>
          </w:p>
        </w:tc>
        <w:tc>
          <w:tcPr>
            <w:tcW w:w="3338" w:type="dxa"/>
          </w:tcPr>
          <w:p w14:paraId="60FADFF0"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Accuracy</w:t>
            </w:r>
          </w:p>
        </w:tc>
      </w:tr>
      <w:tr w:rsidR="00364A09" w:rsidRPr="00613AD3" w14:paraId="3DB1783D" w14:textId="77777777" w:rsidTr="00134425">
        <w:trPr>
          <w:trHeight w:val="260"/>
          <w:jc w:val="center"/>
        </w:trPr>
        <w:tc>
          <w:tcPr>
            <w:tcW w:w="2725" w:type="dxa"/>
          </w:tcPr>
          <w:p w14:paraId="7BB5F0C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Accelerometer</w:t>
            </w:r>
          </w:p>
        </w:tc>
        <w:tc>
          <w:tcPr>
            <w:tcW w:w="2726" w:type="dxa"/>
          </w:tcPr>
          <w:p w14:paraId="0DE4339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0-360° (0-8g)</w:t>
            </w:r>
          </w:p>
        </w:tc>
        <w:tc>
          <w:tcPr>
            <w:tcW w:w="3338" w:type="dxa"/>
          </w:tcPr>
          <w:p w14:paraId="069C854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0.01°</w:t>
            </w:r>
          </w:p>
        </w:tc>
      </w:tr>
      <w:tr w:rsidR="00364A09" w:rsidRPr="00613AD3" w14:paraId="03772E82" w14:textId="77777777" w:rsidTr="00134425">
        <w:trPr>
          <w:trHeight w:val="483"/>
          <w:jc w:val="center"/>
        </w:trPr>
        <w:tc>
          <w:tcPr>
            <w:tcW w:w="2725" w:type="dxa"/>
          </w:tcPr>
          <w:p w14:paraId="5C5EA3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Diameter growth sensor</w:t>
            </w:r>
          </w:p>
        </w:tc>
        <w:tc>
          <w:tcPr>
            <w:tcW w:w="2726" w:type="dxa"/>
          </w:tcPr>
          <w:p w14:paraId="35B87823"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 cm</w:t>
            </w:r>
          </w:p>
        </w:tc>
        <w:tc>
          <w:tcPr>
            <w:tcW w:w="3338" w:type="dxa"/>
          </w:tcPr>
          <w:p w14:paraId="00E59AF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200 </w:t>
            </w:r>
            <w:commentRangeStart w:id="2"/>
            <w:r w:rsidRPr="00613AD3">
              <w:rPr>
                <w:rFonts w:ascii="Times New Roman" w:hAnsi="Times New Roman" w:cs="Times New Roman"/>
                <w:sz w:val="24"/>
                <w:szCs w:val="24"/>
              </w:rPr>
              <w:t></w:t>
            </w:r>
            <w:commentRangeEnd w:id="2"/>
            <w:r w:rsidR="002F32B4">
              <w:rPr>
                <w:rStyle w:val="a7"/>
              </w:rPr>
              <w:commentReference w:id="2"/>
            </w:r>
          </w:p>
        </w:tc>
      </w:tr>
      <w:tr w:rsidR="00364A09" w:rsidRPr="00613AD3" w14:paraId="1375B106" w14:textId="77777777" w:rsidTr="00134425">
        <w:trPr>
          <w:trHeight w:val="260"/>
          <w:jc w:val="center"/>
        </w:trPr>
        <w:tc>
          <w:tcPr>
            <w:tcW w:w="2725" w:type="dxa"/>
          </w:tcPr>
          <w:p w14:paraId="0E3FE1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Temperature probes </w:t>
            </w:r>
          </w:p>
        </w:tc>
        <w:tc>
          <w:tcPr>
            <w:tcW w:w="2726" w:type="dxa"/>
          </w:tcPr>
          <w:p w14:paraId="43C86F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 ÷ +40 °C</w:t>
            </w:r>
          </w:p>
        </w:tc>
        <w:tc>
          <w:tcPr>
            <w:tcW w:w="3338" w:type="dxa"/>
          </w:tcPr>
          <w:p w14:paraId="7B695884"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0.1 °C</w:t>
            </w:r>
          </w:p>
        </w:tc>
      </w:tr>
      <w:tr w:rsidR="00364A09" w:rsidRPr="00613AD3" w14:paraId="0528A706" w14:textId="77777777" w:rsidTr="00134425">
        <w:trPr>
          <w:trHeight w:val="260"/>
          <w:jc w:val="center"/>
        </w:trPr>
        <w:tc>
          <w:tcPr>
            <w:tcW w:w="2725" w:type="dxa"/>
          </w:tcPr>
          <w:p w14:paraId="2514EA6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Stem humidity probe </w:t>
            </w:r>
          </w:p>
        </w:tc>
        <w:tc>
          <w:tcPr>
            <w:tcW w:w="2726" w:type="dxa"/>
          </w:tcPr>
          <w:p w14:paraId="2E71463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 – 100%</w:t>
            </w:r>
          </w:p>
        </w:tc>
        <w:tc>
          <w:tcPr>
            <w:tcW w:w="3338" w:type="dxa"/>
          </w:tcPr>
          <w:p w14:paraId="4AA05D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 v/v</w:t>
            </w:r>
          </w:p>
        </w:tc>
      </w:tr>
      <w:tr w:rsidR="00364A09" w:rsidRPr="00613AD3" w14:paraId="026CA47B" w14:textId="77777777" w:rsidTr="00134425">
        <w:trPr>
          <w:trHeight w:val="1041"/>
          <w:jc w:val="center"/>
        </w:trPr>
        <w:tc>
          <w:tcPr>
            <w:tcW w:w="2725" w:type="dxa"/>
          </w:tcPr>
          <w:p w14:paraId="039C464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Visible Spectrometer</w:t>
            </w:r>
          </w:p>
        </w:tc>
        <w:tc>
          <w:tcPr>
            <w:tcW w:w="2726" w:type="dxa"/>
          </w:tcPr>
          <w:p w14:paraId="1D41EF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400-700 nm</w:t>
            </w:r>
          </w:p>
        </w:tc>
        <w:tc>
          <w:tcPr>
            <w:tcW w:w="3338" w:type="dxa"/>
          </w:tcPr>
          <w:p w14:paraId="059B9661"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3CE4B75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20 nmHBW</w:t>
            </w:r>
          </w:p>
          <w:p w14:paraId="2D5A75F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(450,500,550,570,600,650 nm)</w:t>
            </w:r>
          </w:p>
        </w:tc>
      </w:tr>
      <w:tr w:rsidR="00364A09" w:rsidRPr="00613AD3" w14:paraId="763D62DC" w14:textId="77777777" w:rsidTr="00134425">
        <w:trPr>
          <w:trHeight w:val="483"/>
          <w:jc w:val="center"/>
        </w:trPr>
        <w:tc>
          <w:tcPr>
            <w:tcW w:w="2725" w:type="dxa"/>
          </w:tcPr>
          <w:p w14:paraId="1CEEC00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Near-Infrared Spectrometer</w:t>
            </w:r>
          </w:p>
        </w:tc>
        <w:tc>
          <w:tcPr>
            <w:tcW w:w="2726" w:type="dxa"/>
          </w:tcPr>
          <w:p w14:paraId="0E4A838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700- 900 nm</w:t>
            </w:r>
          </w:p>
        </w:tc>
        <w:tc>
          <w:tcPr>
            <w:tcW w:w="3338" w:type="dxa"/>
          </w:tcPr>
          <w:p w14:paraId="5BA388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2BBDA57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10 nmHBW</w:t>
            </w:r>
          </w:p>
          <w:p w14:paraId="25818E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(610,680,730,760,810,860 nm)</w:t>
            </w:r>
          </w:p>
        </w:tc>
      </w:tr>
      <w:tr w:rsidR="00364A09" w:rsidRPr="00613AD3" w14:paraId="5B77A5FA" w14:textId="77777777" w:rsidTr="00134425">
        <w:trPr>
          <w:trHeight w:val="539"/>
          <w:jc w:val="center"/>
        </w:trPr>
        <w:tc>
          <w:tcPr>
            <w:tcW w:w="2725" w:type="dxa"/>
          </w:tcPr>
          <w:p w14:paraId="2C067CE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Air and humidity sensor</w:t>
            </w:r>
          </w:p>
        </w:tc>
        <w:tc>
          <w:tcPr>
            <w:tcW w:w="2726" w:type="dxa"/>
          </w:tcPr>
          <w:p w14:paraId="0FF32BE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-10 ÷ +85</w:t>
            </w:r>
          </w:p>
          <w:p w14:paraId="7EE7D8F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0-100%</w:t>
            </w:r>
          </w:p>
        </w:tc>
        <w:tc>
          <w:tcPr>
            <w:tcW w:w="3338" w:type="dxa"/>
          </w:tcPr>
          <w:p w14:paraId="1F7A6CD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0.5 °C</w:t>
            </w:r>
          </w:p>
          <w:p w14:paraId="36AE65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w:t>
            </w:r>
          </w:p>
        </w:tc>
      </w:tr>
    </w:tbl>
    <w:p w14:paraId="6E867921" w14:textId="444820F0"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6C1541">
        <w:rPr>
          <w:rFonts w:ascii="Times New Roman" w:eastAsia="Times New Roman" w:hAnsi="Times New Roman" w:cs="Times New Roman"/>
          <w:sz w:val="24"/>
          <w:szCs w:val="24"/>
        </w:rPr>
        <w:t xml:space="preserve"> reference </w:t>
      </w:r>
      <w:r>
        <w:rPr>
          <w:rFonts w:ascii="Times New Roman" w:eastAsia="Times New Roman" w:hAnsi="Times New Roman" w:cs="Times New Roman"/>
          <w:sz w:val="24"/>
          <w:szCs w:val="24"/>
        </w:rPr>
        <w:t xml:space="preserve">device </w:t>
      </w:r>
      <w:r w:rsidRPr="006C1541">
        <w:rPr>
          <w:rFonts w:ascii="Times New Roman" w:eastAsia="Times New Roman" w:hAnsi="Times New Roman" w:cs="Times New Roman"/>
          <w:sz w:val="24"/>
          <w:szCs w:val="24"/>
        </w:rPr>
        <w:t>TT</w:t>
      </w:r>
      <w:r>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outside of the tree canopies to collect climate data and incoming solar radiation reference spectra.</w:t>
      </w:r>
      <w:r w:rsidR="007A74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individual trees, the devices were placed at a height of 3 m from the ground on the north side of the trunk and the batteries - on the south side, which reduces the risk of damage or theft of devices. All measurements were conducted from </w:t>
      </w:r>
      <w:r w:rsidRPr="005F7742">
        <w:rPr>
          <w:rFonts w:ascii="Times New Roman" w:eastAsia="Times New Roman" w:hAnsi="Times New Roman" w:cs="Times New Roman"/>
          <w:sz w:val="24"/>
          <w:szCs w:val="24"/>
        </w:rPr>
        <w:t>01 July till 31 November with 1,5</w:t>
      </w:r>
      <w:r>
        <w:rPr>
          <w:rFonts w:ascii="Times New Roman" w:eastAsia="Times New Roman" w:hAnsi="Times New Roman" w:cs="Times New Roman"/>
          <w:sz w:val="24"/>
          <w:szCs w:val="24"/>
        </w:rPr>
        <w:t xml:space="preserve"> hour temporal resolution. </w:t>
      </w:r>
    </w:p>
    <w:p w14:paraId="77EB6D7F" w14:textId="77777777" w:rsidR="00613AD3" w:rsidRDefault="00613AD3" w:rsidP="00364A09">
      <w:pPr>
        <w:spacing w:after="0"/>
        <w:rPr>
          <w:rFonts w:ascii="Times New Roman" w:eastAsia="Times New Roman" w:hAnsi="Times New Roman" w:cs="Times New Roman"/>
          <w:sz w:val="24"/>
          <w:szCs w:val="24"/>
        </w:rPr>
      </w:pPr>
    </w:p>
    <w:p w14:paraId="0708D942"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2.2. Justification of the ES Indicators. </w:t>
      </w:r>
    </w:p>
    <w:p w14:paraId="79836E40" w14:textId="29849DCE" w:rsidR="00364A09" w:rsidRPr="00437DF0"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wide range of existing ES indicators, thus we have tried to choose from existed literature </w:t>
      </w:r>
      <w:r w:rsidR="00E05C4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{"citationID":"MWEkr5N7","properties":{"formattedCitation":"(Andersson-Sk\\uc0\\u246{}ld et al., 2018; G\\uc0\\u243{}mez-Baggethun and Barton, 2013)","plainCitation":"(Andersson-Sköld et al., 2018; Gómez-Baggethun and Barton,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N."}],"issued":{"date-parts":[["2013",2]]}}},{"id":1659,"uris":["http://zotero.org/users/3524663/items/I7PLY4DJ"],"uri":["http://zotero.org/users/3524663/items/I7PLY4DJ"],"itemData":{"id":1659,"type":"article-journal","abstract":"Ongoing urban exploitation is increasing pressure to transform urban green spaces, while there is increasing awareness that greenery provides a range of important beneﬁts to city residents. In efforts to help resolve associated problems we have developed a framework for integrated assessments of ecosystem service (ES) beneﬁts and values provided by urban greenery, based on the ecosystem service cascade model. The aim is to provide a method for assessing the contribution to, and valuing, multiple ES provided by urban greenery that can be readily applied in routine planning processes. The framework is unique as it recognizes that an urban greenery comprises several components and functions that can contribute to multiple ecosystem services in one or more ways via different functional traits (e.g. foliage characteristics) for which readily measured indicators have been identiﬁed. The framework consists of ﬁve steps including compilation of an inventory of indicator; application of effectivity factors to rate indicators' effectiveness; estimation of effects; estimation of beneﬁts for each ES; estimation of the total ES value of the ecosystem. The framework was applied to assess ecosystem services provided by trees, shrubs, herbs, birds, and bees, in green areas spanning an urban gradient in Gothenburg, Sweden. Estimates of perceived values of ecosystem services were obtained from interviews with the public and workshop activities with civil servants. The framework is systematic and transparent at all stages and appears to have potential utility in the existing spatial planning processes.","container-title":"Journal of Environmental Management","DOI":"10.1016/j.jenvman.2017.09.071","ISSN":"03014797","journalAbbreviation":"Journal of Environmental Management","language":"en","page":"274-285","source":"DOI.org (Crossref)","title":"A framework for assessing urban greenery's effects and valuing its ecosystem services","volume":"205","author":[{"family":"Andersson-Sköld","given":"Yvonne"},{"family":"Klingberg","given":"Jenny"},{"family":"Gunnarsson","given":"Bengt"},{"family":"Cullinane","given":"Kevin"},{"family":"Gustafsson","given":"Ingela"},{"family":"Hedblom","given":"Marcus"},{"family":"Knez","given":"Igor"},{"family":"Lindberg","given":"Fredrik"},{"family":"Ode Sang","given":"Åsa"},{"family":"Pleijel","given":"Håkan"},{"family":"Thorsson","given":"Pontus"},{"family":"Thorsson","given":"Sofia"}],"issued":{"date-parts":[["2018",1]]}}}],"schema":"https://github.com/citation-style-language/schema/raw/master/csl-citation.json"} </w:instrText>
      </w:r>
      <w:r w:rsidR="00E05C4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(Andersson-Sköld et al., 2018; Gómez-Baggethun and Barton, 2013)</w:t>
      </w:r>
      <w:r w:rsidR="00E05C4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ones that can be directly estimated by our measured parameters. The ES indicators and the relative measured vatiables, including algorithms references are shown on table 3. Direct measurements (like air temperature or relative humidity) gave us an opportunity to calculate ESI without any additional assumptions. However</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ESI</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labeled</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indirect</w:t>
      </w:r>
      <w:r w:rsidRPr="00437DF0">
        <w:rPr>
          <w:rFonts w:ascii="Times New Roman" w:eastAsia="Times New Roman" w:hAnsi="Times New Roman" w:cs="Times New Roman"/>
          <w:sz w:val="24"/>
          <w:szCs w:val="24"/>
        </w:rPr>
        <w:t xml:space="preserve">” required us to introduce some adjustment factors or assumptions. </w:t>
      </w:r>
      <w:r>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providing absolute values. We present particulate adsorption as an example of usefulness of LAI indicator indirect use.</w:t>
      </w:r>
    </w:p>
    <w:p w14:paraId="422983B4" w14:textId="77777777" w:rsidR="00364A09" w:rsidRDefault="00364A09" w:rsidP="00364A09">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Indicators of ES, provided by urban trees</w:t>
      </w:r>
    </w:p>
    <w:tbl>
      <w:tblPr>
        <w:tblW w:w="509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1268"/>
        <w:gridCol w:w="1222"/>
        <w:gridCol w:w="1384"/>
        <w:gridCol w:w="969"/>
        <w:gridCol w:w="693"/>
        <w:gridCol w:w="2905"/>
      </w:tblGrid>
      <w:tr w:rsidR="00524102" w:rsidRPr="00F902A5" w14:paraId="1DD281E8" w14:textId="77777777" w:rsidTr="00524102">
        <w:trPr>
          <w:cantSplit/>
          <w:trHeight w:val="553"/>
        </w:trPr>
        <w:tc>
          <w:tcPr>
            <w:tcW w:w="565" w:type="pct"/>
            <w:vAlign w:val="center"/>
          </w:tcPr>
          <w:p w14:paraId="4DAE61B0"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666" w:type="pct"/>
            <w:vAlign w:val="center"/>
          </w:tcPr>
          <w:p w14:paraId="35E679D9"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642" w:type="pct"/>
            <w:vAlign w:val="center"/>
          </w:tcPr>
          <w:p w14:paraId="65DD5CA9"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727" w:type="pct"/>
            <w:vAlign w:val="center"/>
          </w:tcPr>
          <w:p w14:paraId="7838AFA2"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509" w:type="pct"/>
            <w:vAlign w:val="center"/>
          </w:tcPr>
          <w:p w14:paraId="31B6DDCD"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364" w:type="pct"/>
            <w:vAlign w:val="center"/>
          </w:tcPr>
          <w:p w14:paraId="4F67D65E"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1526" w:type="pct"/>
            <w:vAlign w:val="center"/>
          </w:tcPr>
          <w:p w14:paraId="5D97A645"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524102" w:rsidRPr="00F902A5" w14:paraId="4FAC3C3E" w14:textId="77777777" w:rsidTr="00524102">
        <w:trPr>
          <w:cantSplit/>
          <w:trHeight w:val="845"/>
        </w:trPr>
        <w:tc>
          <w:tcPr>
            <w:tcW w:w="565" w:type="pct"/>
            <w:vAlign w:val="center"/>
          </w:tcPr>
          <w:p w14:paraId="2FCE56C8"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666" w:type="pct"/>
            <w:vAlign w:val="center"/>
          </w:tcPr>
          <w:p w14:paraId="19E404A9"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642" w:type="pct"/>
            <w:vAlign w:val="center"/>
          </w:tcPr>
          <w:p w14:paraId="5B937E3E"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growth rate</w:t>
            </w:r>
          </w:p>
        </w:tc>
        <w:tc>
          <w:tcPr>
            <w:tcW w:w="727" w:type="pct"/>
            <w:vAlign w:val="center"/>
          </w:tcPr>
          <w:p w14:paraId="445EE8DD" w14:textId="77777777" w:rsidR="00364A09" w:rsidRPr="00F902A5" w:rsidRDefault="00F428DA" w:rsidP="00524102">
            <w:pPr>
              <w:rPr>
                <w:rFonts w:ascii="Times New Roman" w:eastAsia="Times New Roman" w:hAnsi="Times New Roman" w:cs="Times New Roman"/>
                <w:sz w:val="20"/>
                <w:szCs w:val="20"/>
                <w:highlight w:val="red"/>
              </w:rPr>
            </w:pPr>
            <w:sdt>
              <w:sdtPr>
                <w:rPr>
                  <w:sz w:val="20"/>
                  <w:szCs w:val="20"/>
                </w:rPr>
                <w:tag w:val="goog_rdk_7"/>
                <w:id w:val="1481578835"/>
              </w:sdtPr>
              <w:sdtContent/>
            </w:sdt>
            <w:r w:rsidR="00364A09" w:rsidRPr="00F902A5">
              <w:rPr>
                <w:rFonts w:ascii="Times New Roman" w:eastAsia="Times New Roman" w:hAnsi="Times New Roman" w:cs="Times New Roman"/>
                <w:sz w:val="20"/>
                <w:szCs w:val="20"/>
              </w:rPr>
              <w:t xml:space="preserve">IR </w:t>
            </w:r>
            <w:r w:rsidR="00364A09">
              <w:rPr>
                <w:rFonts w:ascii="Times New Roman" w:eastAsia="Times New Roman" w:hAnsi="Times New Roman" w:cs="Times New Roman"/>
                <w:sz w:val="20"/>
                <w:szCs w:val="20"/>
              </w:rPr>
              <w:t xml:space="preserve">growth </w:t>
            </w:r>
            <w:r w:rsidR="00364A09" w:rsidRPr="00F902A5">
              <w:rPr>
                <w:rFonts w:ascii="Times New Roman" w:eastAsia="Times New Roman" w:hAnsi="Times New Roman" w:cs="Times New Roman"/>
                <w:sz w:val="20"/>
                <w:szCs w:val="20"/>
              </w:rPr>
              <w:t>sensor</w:t>
            </w:r>
          </w:p>
        </w:tc>
        <w:tc>
          <w:tcPr>
            <w:tcW w:w="509" w:type="pct"/>
            <w:vAlign w:val="center"/>
          </w:tcPr>
          <w:p w14:paraId="0818460C" w14:textId="77777777" w:rsidR="00364A09" w:rsidRPr="00F902A5" w:rsidRDefault="00364A09" w:rsidP="00524102">
            <w:pP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364" w:type="pct"/>
            <w:vAlign w:val="center"/>
          </w:tcPr>
          <w:p w14:paraId="2643F315"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kg C</w:t>
            </w:r>
          </w:p>
        </w:tc>
        <w:tc>
          <w:tcPr>
            <w:tcW w:w="1526" w:type="pct"/>
            <w:vAlign w:val="center"/>
          </w:tcPr>
          <w:p w14:paraId="17D1335D" w14:textId="53C2B84F" w:rsidR="00364A09" w:rsidRPr="00F902A5" w:rsidRDefault="00BF6A6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{"citationID":"8myRNS4D","properties":{"formattedCitation":"(Gratani and Varone, 2006; Lind\\uc0\\u233{}n et al., 2020; Nowak and Crane, 2002)","plainCitation":"(Gratani and Varone, 2006; Lindén et al., 2020;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E."}],"issued":{"date-parts":[["2002",3]]}}},{"id":1827,"uris":["http://zotero.org/users/3524663/items/UDDQLKWC"],"uri":["http://zotero.org/users/3524663/items/UDDQLKWC"],"itemData":{"id":1827,"type":"article-journal","abstract":"Carbon sequestration capability by Quercus ilex L and Quercus pubescens Willd., widely distributed in the city of Rome, and their contribution to decreasing air temperature were investigated. Crown volume is the most signiﬁcant ( p &lt; 0.01) variable explaining variation of air temperature below the tree crown. Q. pubescens gives a higher contribution to decreasing air temperature during the hottest months, due to its inherent larger crown volume than Q. ilex (252 ± 19 and 533 ± 52 m3, respectively for the large size). Moreover, our results show the existence of a strong urban carbon dioxide dome with a peak CO2 concentration (on an average 432 ± 37 ppm) at polluted sites, 16% greater than at control sites. Total carbon sequestration is 84 ± 12 and 111 ± 9 Kg year−1 of CO2 for the small Q. ilex and Q. pubescens tree size, respectively, and 151 ± 10 and 185 ± 7 Kg year−1 of CO2 for the large Q. ilex and Q. pubescen tree size, respectively. Q. pubescens, by its higher total photosynthetic leaf surface area (39% higher than Q. ilex) and its higher mean yearly photosynthetic rates (48% higher than Q. ilex) seems to have a greater role than Q. ilex. However, taking into account the leaf longevity (i.e. 12 ± 3 months for Q. ilex and 4 ± 2 months for Q. pubescens), the evergreen species, by its continuous photosynthetic activity, contributes to reduce CO2 throughout the year, and in particular during the winter months, when trafﬁc volume has a pick, than Q. pubescens.","container-title":"Urban Ecosystems","DOI":"10.1007/s11252-006-5527-2","ISSN":"1083-8155, 1573-1642","issue":"1","language":"en","page":"27-37","source":"Crossref","title":"Carbon sequestration by Quercus ilex L. and Quercus pubescens Willd. and their contribution to decreasing air temperature in Rome","volume":"9","author":[{"family":"Gratani","given":"Loretta"},{"family":"Varone","given":"Laura"}],"issued":{"date-parts":[["2006",1]]}}},{"id":2092,"uris":["http://zotero.org/users/3524663/items/YT67HG2E"],"uri":["http://zotero.org/users/3524663/items/YT67HG2E"],"itemData":{"id":2092,"type":"article-journal","abstract":"Removing CO2 from the atmosphere and storing carbon in vegetation and soil are important ecosystem services provided by urban green space. However, knowledge on the capacity of trees and soils to store carbon in urban parks - especially in the northern latitudes - is scarce. We assessed the amount of organic carbon stored in trees and soil of constructed urban parks under cold climatic conditions in Finland. More speciﬁcally, we investigated the eﬀects of management, vegetation type and time since construction on the amount of carbon stored in park trees and soil. We conducted two tree surveys and collected soil samples (0–90 cm) in constructed parks managed by the city of Helsinki. The estimated overall carbon density was approximately 130 t per park hectare, when the carbon stock of trees was 22 to 28 t ha−1 and that of soil 104 t ha−1 at the very least. The soil to tree carbon storage ratio varied from 7.1 to 7.5 for vegetated, pervious grounds and from 3.7 to 5.0 for entire park areas. The eﬀects of park management and vegetation type could not be entirely separated in our data, but time was shown to have a distinct, positive eﬀect on tree and soil carbon stocks. The results indicate that park soils can hold remarkable carbon stocks in a cold climate. It also seems that park soil carbon holding capacity largely exceeds that of forested soils in Finland. Preservation and augmentation of carbon stocks in urban parks implies avoidance of drastic tree and soil renovation measures.","container-title":"Urban Forestry &amp; Urban Greening","DOI":"10.1016/j.ufug.2020.126633","ISSN":"16188667","language":"en","page":"126633","source":"Crossref","title":"Quantifying carbon stocks in urban parks under cold climate conditions","volume":"49","author":[{"family":"Lindén","given":"Leena"},{"family":"Riikonen","given":"Anu"},{"family":"Setälä","given":"Heikki"},{"family":"Yli-Pelkonen","given":"Vesa"}],"issued":{"date-parts":[["2020",3]]}}}],"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szCs w:val="24"/>
              </w:rPr>
              <w:t>(Gratani and Varone, 2006; Lindén et al., 2020; Nowak and Crane, 2002)</w:t>
            </w:r>
            <w:r>
              <w:rPr>
                <w:rFonts w:ascii="Times New Roman" w:eastAsia="Times New Roman" w:hAnsi="Times New Roman" w:cs="Times New Roman"/>
                <w:sz w:val="20"/>
                <w:szCs w:val="20"/>
              </w:rPr>
              <w:fldChar w:fldCharType="end"/>
            </w:r>
          </w:p>
        </w:tc>
      </w:tr>
      <w:tr w:rsidR="00524102" w:rsidRPr="00F902A5" w14:paraId="75A8A03D" w14:textId="77777777" w:rsidTr="00524102">
        <w:trPr>
          <w:trHeight w:val="236"/>
        </w:trPr>
        <w:tc>
          <w:tcPr>
            <w:tcW w:w="565" w:type="pct"/>
            <w:vMerge w:val="restart"/>
            <w:vAlign w:val="center"/>
          </w:tcPr>
          <w:p w14:paraId="1D8FFEF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666" w:type="pct"/>
            <w:vMerge w:val="restart"/>
            <w:vAlign w:val="center"/>
          </w:tcPr>
          <w:p w14:paraId="3835783D" w14:textId="0550AF36"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Climate comfort regulation</w:t>
            </w:r>
          </w:p>
        </w:tc>
        <w:tc>
          <w:tcPr>
            <w:tcW w:w="642" w:type="pct"/>
            <w:vAlign w:val="center"/>
          </w:tcPr>
          <w:p w14:paraId="76529792" w14:textId="0AEEF395"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Air temperature</w:t>
            </w:r>
          </w:p>
        </w:tc>
        <w:tc>
          <w:tcPr>
            <w:tcW w:w="727" w:type="pct"/>
            <w:vAlign w:val="center"/>
          </w:tcPr>
          <w:p w14:paraId="598DACF4"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509" w:type="pct"/>
            <w:vAlign w:val="center"/>
          </w:tcPr>
          <w:p w14:paraId="2B3102A7"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364" w:type="pct"/>
            <w:vAlign w:val="center"/>
          </w:tcPr>
          <w:p w14:paraId="123F9DBB"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1526" w:type="pct"/>
            <w:vAlign w:val="center"/>
          </w:tcPr>
          <w:p w14:paraId="2D92D957" w14:textId="5D038E84"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Land surface temperature and climate comfort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{"citationID":"1QJC2aGe","properties":{"formattedCitation":"(Krayenhoff et al., 2020; Marando et al., 2019; Morakinyo et al., 2020)","plainCitation":"(Krayenhoff et al., 2020; Marando et al., 2019; Morakinyo et al., 2020)","noteIndex":0},"citationItems":[{"id":1643,"uris":["http://zotero.org/users/3524663/items/2SNS7MIU"],"uri":["http://zotero.org/users/3524663/items/2SNS7MIU"],"itemData":{"id":1643,"type":"article-journal","abstract":"The Urban Heat Island (UHI) effect is one of the main environmental impacts of urbanization, affecting directly human health and well-being of the city dwellers, and also contributing to worsen environmental quality. As a key strategy to address sustainable urban development, the EU has advocated the development of Nature-Based solutions, such as the implementation of Green Infrastructure (GI), which can deliver a wide range of Regulating Ecosystem Services (ES). In this article, the ES of climate regulation provided by GI has been analyzed in the Municipality of Rome, Italy, characterized by a complex territory and by a Mediterranean climate. The methodological approach allowed to characterize the UHI and to analyze its features in a spatially explicit way and on a seasonal basis, through the Land Surface Temperature (LST) derived from Landsat-8 data. The cooling capacity of different GI elements (peri-urban forest, urban forest, street trees), as well as the effect of vegetation cover and tree diversity on the provision of this regulating ES were assessed. The results show that GI significantly mitigates the hot urban climate during summer, with an effect that is dependent on the GI element and the environmental constrains to which it is exposed. NDVI and tree cover resulted the main indicators of the provision of the ES of climate regulation, highlighting that GI elements such as urban and peri-urban forests have the highest potential to provide this ES in a Mediterranean city. In the context of the Mapping and Assessment of Ecosystems and their Services (MAES) process, our results lend support to claims that GI is important for an ecosystem-based climate adaptation strategy in urban environments, contributing to the definition of knowledge based criteria and indicators, relevant for decision-making in Mediterranean cities.","container-title":"Ecological Modelling","DOI":"10.1016/j.ecolmodel.2018.11.011","ISSN":"03043800","journalAbbreviation":"Ecological Modelling","language":"en","page":"92-102","source":"DOI.org (Crossref)","title":"Regulating Ecosystem Services and Green Infrastructure: assessment of Urban Heat Island effect mitigation in the municipality of Rome, Italy","title-short":"Regulating Ecosystem Services and Green Infrastructure","volume":"392","author":[{"family":"Marando","given":"Federica"},{"family":"Salvatori","given":"Elisabetta"},{"family":"Sebastiani","given":"Alessandro"},{"family":"Fusaro","given":"Lina"},{"family":"Manes","given":"Fausto"}],"issued":{"date-parts":[["2019",1]]}}},{"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(Krayenhoff et al., 2020; Marando et al., 2019; Morakinyo et al., 2020)</w:t>
            </w:r>
            <w:r>
              <w:rPr>
                <w:rFonts w:ascii="Times New Roman" w:eastAsia="Times New Roman" w:hAnsi="Times New Roman" w:cs="Times New Roman"/>
                <w:sz w:val="20"/>
                <w:szCs w:val="20"/>
              </w:rPr>
              <w:fldChar w:fldCharType="end"/>
            </w:r>
          </w:p>
        </w:tc>
      </w:tr>
      <w:tr w:rsidR="00524102" w:rsidRPr="00F902A5" w14:paraId="01897252" w14:textId="77777777" w:rsidTr="00524102">
        <w:trPr>
          <w:trHeight w:val="272"/>
        </w:trPr>
        <w:tc>
          <w:tcPr>
            <w:tcW w:w="565" w:type="pct"/>
            <w:vMerge/>
            <w:vAlign w:val="center"/>
          </w:tcPr>
          <w:p w14:paraId="611848DB"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66" w:type="pct"/>
            <w:vMerge/>
            <w:vAlign w:val="center"/>
          </w:tcPr>
          <w:p w14:paraId="7BAFEDC5"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42" w:type="pct"/>
            <w:vAlign w:val="center"/>
          </w:tcPr>
          <w:p w14:paraId="27419435" w14:textId="1D3A5C4F"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Humidity</w:t>
            </w:r>
          </w:p>
        </w:tc>
        <w:tc>
          <w:tcPr>
            <w:tcW w:w="727" w:type="pct"/>
            <w:vAlign w:val="center"/>
          </w:tcPr>
          <w:p w14:paraId="19DF6FA0" w14:textId="3B3E16C1" w:rsidR="009C3D46" w:rsidRPr="00F902A5" w:rsidRDefault="009C3D46" w:rsidP="00524102">
            <w:pP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509" w:type="pct"/>
            <w:vAlign w:val="center"/>
          </w:tcPr>
          <w:p w14:paraId="2BCA13B6" w14:textId="57FBB976" w:rsidR="009C3D46" w:rsidRPr="00F902A5" w:rsidRDefault="009C3D46" w:rsidP="00524102">
            <w:pPr>
              <w:rPr>
                <w:rFonts w:ascii="yandex-sans" w:hAnsi="yandex-sans"/>
                <w:color w:val="000000"/>
                <w:sz w:val="20"/>
                <w:szCs w:val="20"/>
                <w:shd w:val="clear" w:color="auto" w:fill="FFFFFF"/>
              </w:rPr>
            </w:pPr>
            <w:r w:rsidRPr="00F902A5">
              <w:rPr>
                <w:rFonts w:ascii="Times New Roman" w:eastAsia="Times New Roman" w:hAnsi="Times New Roman" w:cs="Times New Roman"/>
                <w:sz w:val="20"/>
                <w:szCs w:val="20"/>
              </w:rPr>
              <w:t>Direct</w:t>
            </w:r>
          </w:p>
        </w:tc>
        <w:tc>
          <w:tcPr>
            <w:tcW w:w="364" w:type="pct"/>
            <w:vAlign w:val="center"/>
          </w:tcPr>
          <w:p w14:paraId="0262E4A5" w14:textId="6F06CB6A"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1526" w:type="pct"/>
            <w:vAlign w:val="center"/>
          </w:tcPr>
          <w:p w14:paraId="26EA31E9" w14:textId="3716E285"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control</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{"citationID":"x7VQNKeV","properties":{"formattedCitation":"(Chen et al., 2019; Moghbel and Erfanian Salim, 2017)","plainCitation":"(Chen et al., 2019; Moghbel and Erfanian Salim, 2017)","noteIndex":0},"citationItems":[{"id":1829,"uris":["http://zotero.org/users/3524663/items/VCUMECY9"],"uri":["http://zotero.org/users/3524663/items/VCUMECY9"],"itemData":{"id":1829,"type":"article-journal","abstract":"The main objective of this study is to evaluate the genuine effect of green roofs on Tehran's microclimatic conditions and air quality parameters. Two buildings with different roof covers (green and bitumen roof) were selected and air temperature, relative humidity and carbon dioxide concentration data loggers were installed on both of them in two different conditions. Also, the effect of roofs materials on indoor air temperature, heat exchange and energy consumption of each building was assessed by installing internal thermometer inside the rooms to study the indoor thermal conditions of the buildings. Results demonstrated that average air temperature above the green roof was 3.06 and 3.7 °C cooler than that of reference roof inside and outside the screen box, respectively. Also, RH above the green roof was 11.94 and 8.46% higher than the reference roof inside and outside the screen box, respectively. Furthermore, the average air CO2 concentration inside and outside of the screen box above the green roof during the studied period was 27.98 and 20.71 ppm lower than the reference roof. Similarity, interior spaces of the buildings with green roof showed lower measured air temperature than buildings with bitumen roof.","container-title":"Urban Climate","DOI":"10.1016/j.uclim.2017.02.012","ISSN":"22120955","language":"en","page":"46-58","source":"Crossref","title":"Environmental benefits of green roofs on microclimate of Tehran with specific focus on air temperature, humidity and CO 2 content","volume":"20","author":[{"family":"Moghbel","given":"M."},{"family":"Erfanian Salim","given":"R."}],"issued":{"date-parts":[["2017",6]]}}},{"id":1851,"uris":["http://zotero.org/users/3524663/items/FJWJFRI9"],"uri":["http://zotero.org/users/3524663/items/FJWJFRI9"],"itemData":{"id":1851,"type":"article-journal","abstract":"Quantitative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(Chen et al., 2019; Moghbel and Erfanian Salim, 2017)</w:t>
            </w:r>
            <w:r>
              <w:rPr>
                <w:rFonts w:ascii="Times New Roman" w:eastAsia="Times New Roman" w:hAnsi="Times New Roman" w:cs="Times New Roman"/>
                <w:sz w:val="20"/>
                <w:szCs w:val="20"/>
              </w:rPr>
              <w:fldChar w:fldCharType="end"/>
            </w:r>
          </w:p>
        </w:tc>
      </w:tr>
      <w:tr w:rsidR="00524102" w:rsidRPr="00F902A5" w14:paraId="46D348AB" w14:textId="77777777" w:rsidTr="00524102">
        <w:trPr>
          <w:trHeight w:val="236"/>
        </w:trPr>
        <w:tc>
          <w:tcPr>
            <w:tcW w:w="565" w:type="pct"/>
            <w:vMerge/>
            <w:vAlign w:val="center"/>
          </w:tcPr>
          <w:p w14:paraId="1EFB3260"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66" w:type="pct"/>
            <w:vMerge/>
            <w:vAlign w:val="center"/>
          </w:tcPr>
          <w:p w14:paraId="25C84BD1"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42" w:type="pct"/>
            <w:vAlign w:val="center"/>
          </w:tcPr>
          <w:p w14:paraId="10115A95" w14:textId="208305D8"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Wind velocity</w:t>
            </w:r>
          </w:p>
        </w:tc>
        <w:tc>
          <w:tcPr>
            <w:tcW w:w="727" w:type="pct"/>
            <w:vAlign w:val="center"/>
          </w:tcPr>
          <w:p w14:paraId="04CCCED0" w14:textId="2B072A96"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509" w:type="pct"/>
            <w:vAlign w:val="center"/>
          </w:tcPr>
          <w:p w14:paraId="4CF986E5"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4026BC62" w14:textId="1BB8E732" w:rsidR="009C3D46" w:rsidRPr="00F902A5" w:rsidRDefault="009C3D46" w:rsidP="00524102">
            <w:pPr>
              <w:rPr>
                <w:rFonts w:ascii="yandex-sans" w:hAnsi="yandex-sans"/>
                <w:color w:val="000000"/>
                <w:sz w:val="20"/>
                <w:szCs w:val="20"/>
                <w:shd w:val="clear" w:color="auto" w:fill="FFFFFF"/>
              </w:rPr>
            </w:pPr>
            <w:r w:rsidRPr="00F902A5">
              <w:rPr>
                <w:rFonts w:ascii="Times New Roman" w:eastAsia="Times New Roman" w:hAnsi="Times New Roman" w:cs="Times New Roman"/>
                <w:sz w:val="20"/>
                <w:szCs w:val="20"/>
              </w:rPr>
              <w:t>~LAI</w:t>
            </w:r>
          </w:p>
        </w:tc>
        <w:tc>
          <w:tcPr>
            <w:tcW w:w="364" w:type="pct"/>
            <w:vAlign w:val="center"/>
          </w:tcPr>
          <w:p w14:paraId="2915C5A2" w14:textId="64ECF3EB"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m s</w:t>
            </w:r>
            <w:r w:rsidRPr="009C3D46">
              <w:rPr>
                <w:rFonts w:ascii="Times New Roman" w:eastAsia="Times New Roman" w:hAnsi="Times New Roman" w:cs="Times New Roman"/>
                <w:sz w:val="20"/>
                <w:szCs w:val="20"/>
                <w:vertAlign w:val="superscript"/>
              </w:rPr>
              <w:t>-1</w:t>
            </w:r>
          </w:p>
        </w:tc>
        <w:tc>
          <w:tcPr>
            <w:tcW w:w="1526" w:type="pct"/>
            <w:vAlign w:val="center"/>
          </w:tcPr>
          <w:p w14:paraId="434B9D03" w14:textId="1126097E"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Wind comfort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{"citationID":"lZQmCBVo","properties":{"formattedCitation":"(Hefny Salim et al., 2015; Kang et al., 2020; Lee et al., 2010)","plainCitation":"(Hefny Salim et al., 2015; Kang et al., 2020; Lee et al., 2010)","noteIndex":0},"citationItems":[{"id":1801,"uris":["http://zotero.org/users/3524663/items/IWMJURBB"],"uri":["http://zotero.org/users/3524663/items/IWMJURBB"],"itemData":{"id":1801,"type":"article-journal","abstract":"The performance of trees as windbreaks is principally determined by their geometric characteristics. This paper reports the development of a laser scanning system to measure tree geometric characteristics on-the-go and its use to estimate percent wind velocity reduction in a windbreak. The laser scanning system was built by mounting a laser sensor, a global positioning system (GPS) receiver, and a notebook computer on a test vehicle. A windbreak was established by arranging a set of large potted trees in a pattern that provided two porosities for wind velocity measurements (windbreaks I and II). Winds generated by a blower at low and high wind velocities were directed at the centers of the tree windbreaks. Wind velocities were measured using a vane anemometer in four areas of the windbreaks, both on the windward and leeward sides. Percent wind velocity reductions between the windward and leeward sides were calculated. The laser scanning system measured the tree canopy geometric characteristics in the same areas where the wind velocities were collected.","container-title":"Computers and Electronics in Agriculture","DOI":"10.1016/j.compag.2010.03.007","ISSN":"01681699","issue":"1","language":"en","page":"1-6","source":"Crossref","title":"A laser scanning system for estimating wind velocity reduction through tree windbreaks","volume":"73","author":[{"family":"Lee","given":"K.H."},{"family":"Ehsani","given":"R."},{"family":"Castle","given":"W.S."}],"issued":{"date-parts":[["2010",7]]}}},{"id":1799,"uris":["http://zotero.org/users/3524663/items/MH5JMXBE"],"uri":["http://zotero.org/users/3524663/items/MH5JMXBE"],"itemData":{"id":1799,"type":"article-journal","abstract":"Although trees are numerous in urban areas, their dynamic effects on the wind ﬂow are usually approximated or neglected altogether in many wind engineering studies, especially those based on numerical modeling. This study investigates the effect of the inclusion of trees in numerical simulations of wind ﬂow in urban area. Three approaches are used to include the dynamic effect of trees: the basic approach (tree effects are neglected), the implicit approach (tree effects are included in the surface parameterizations), and the explicit approach (trees are represented by porous media). Several test cases have been adopted in order to cover a wide range of urban complexities, wind directions, foliage densities, and tree planting conﬁgurations. The results show that there are signiﬁcant effects of trees when the explicit approach is used compared to the basic and the implicit approaches. Thus tree effects need to be considered using an explicit approach to simulate wind ﬂow in urban area. Also, many parameters such as wind direction, foliage density, and urban conﬁguration are believed to inﬂuence the intensity of trees effects. This study emphasizes the importance to explicitly consider the effects of trees in numerical model investigations for the wind ﬂow in urban areas.","container-title":"Journal of Wind Engineering and Industrial Aerodynamics","DOI":"10.1016/j.jweia.2015.05.004","ISSN":"01676105","language":"en","page":"84-95","source":"Crossref","title":"Including trees in the numerical simulations of the wind flow in urban areas: Should we care?","title-short":"Including trees in the numerical simulations of the wind flow in urban areas","volume":"144","author":[{"family":"Hefny Salim","given":"Mohamed"},{"family":"Heinke Schlünzen","given":"K."},{"family":"Grawe","given":"David"}],"issued":{"date-parts":[["2015",9]]}}},{"id":1793,"uris":["http://zotero.org/users/3524663/items/TY5GZAA5"],"uri":["http://zotero.org/users/3524663/items/TY5GZAA5"],"itemData":{"id":1793,"type":"article-journal","abstract":"In this study, we applied a computational fluid dynamics (CFD) model incorporating a tree drag parameterization scheme to investigate how the presence of trees improved pedestrian wind comfort on the urban campus of Pukyong National University (PKNU). We comprehensively analyzed pedestrian wind comfort considering wind inflow direction and observed frequency. To validate the CFD model, we conducted sensitivity simulations by varying the vertical profiles of leaf area density (LAD) and compared our CFD simulations with previous field measurements and simulation results. The adjusted LAD profile yielded the best reproduction of measured wind speeds and turbulent kinetic energy behind trees, demonstrating performance similar to that of a large-eddy simulation (LES) model. We applied the CFD model to investigate the effect of trees on pedestrian wind comfort on the PKNU campus. Trees markedly improved pedestrian wind comfort when horizontally incoming airflow passed through the trees; however, there was little improvement in pedestrian wind comfort in regions where airflow rapidly descended the walls of tall buildings.","container-title":"Sustainable Cities and Society","DOI":"10.1016/j.scs.2020.102086","ISSN":"22106707","language":"en","page":"102086","source":"Crossref","title":"Computational fluid dynamics simulation of tree effects on pedestrian wind comfort in an urban area","volume":"56","author":[{"family":"Kang","given":"Geon"},{"family":"Kim","given":"Jae-Jin"},{"family":"Choi","given":"Wonsik"}],"issued":{"date-parts":[["2020",5]]}}}],"schema":"https://github.com/citation-style-language/schema/raw/master/csl-citation.json"}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(Hefny Salim et al., 2015; Kang et al., 2020; Lee et al., 2010)</w:t>
            </w:r>
            <w:r>
              <w:rPr>
                <w:rFonts w:ascii="Times New Roman" w:eastAsia="Times New Roman" w:hAnsi="Times New Roman" w:cs="Times New Roman"/>
                <w:sz w:val="20"/>
                <w:szCs w:val="20"/>
              </w:rPr>
              <w:fldChar w:fldCharType="end"/>
            </w:r>
          </w:p>
        </w:tc>
      </w:tr>
      <w:tr w:rsidR="00524102" w:rsidRPr="00F902A5" w14:paraId="5EC36B06" w14:textId="77777777" w:rsidTr="00524102">
        <w:trPr>
          <w:trHeight w:val="272"/>
        </w:trPr>
        <w:tc>
          <w:tcPr>
            <w:tcW w:w="565" w:type="pct"/>
            <w:vMerge/>
            <w:vAlign w:val="center"/>
          </w:tcPr>
          <w:p w14:paraId="10F36086"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66" w:type="pct"/>
            <w:vAlign w:val="center"/>
          </w:tcPr>
          <w:p w14:paraId="63CAB903" w14:textId="705D473C"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Energy balance regulation</w:t>
            </w:r>
          </w:p>
        </w:tc>
        <w:tc>
          <w:tcPr>
            <w:tcW w:w="642" w:type="pct"/>
            <w:vAlign w:val="center"/>
          </w:tcPr>
          <w:p w14:paraId="7328A69A" w14:textId="2CAF79AD"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Latent e</w:t>
            </w:r>
            <w:r w:rsidRPr="00F902A5">
              <w:rPr>
                <w:rFonts w:ascii="Times New Roman" w:eastAsia="Times New Roman" w:hAnsi="Times New Roman" w:cs="Times New Roman"/>
                <w:sz w:val="20"/>
                <w:szCs w:val="20"/>
              </w:rPr>
              <w:t xml:space="preserve">nergy </w:t>
            </w:r>
            <w:r>
              <w:rPr>
                <w:rFonts w:ascii="Times New Roman" w:eastAsia="Times New Roman" w:hAnsi="Times New Roman" w:cs="Times New Roman"/>
                <w:sz w:val="20"/>
                <w:szCs w:val="20"/>
              </w:rPr>
              <w:t>via transpiration</w:t>
            </w:r>
          </w:p>
        </w:tc>
        <w:tc>
          <w:tcPr>
            <w:tcW w:w="727" w:type="pct"/>
            <w:vAlign w:val="center"/>
          </w:tcPr>
          <w:p w14:paraId="798C69DD" w14:textId="2BEA8C20"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509" w:type="pct"/>
            <w:vAlign w:val="center"/>
          </w:tcPr>
          <w:p w14:paraId="1AC6304F" w14:textId="600E6B0F" w:rsidR="009C3D46" w:rsidRPr="00F902A5" w:rsidRDefault="009C3D46" w:rsidP="00524102">
            <w:pP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364" w:type="pct"/>
            <w:vAlign w:val="center"/>
          </w:tcPr>
          <w:p w14:paraId="40380544" w14:textId="242E0A93"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w:t>
            </w:r>
            <w:r>
              <w:rPr>
                <w:rFonts w:ascii="Times New Roman" w:eastAsia="Times New Roman" w:hAnsi="Times New Roman" w:cs="Times New Roman"/>
                <w:sz w:val="20"/>
                <w:szCs w:val="20"/>
              </w:rPr>
              <w:t xml:space="preserve"> m</w:t>
            </w:r>
            <w:r w:rsidRPr="00940AF6">
              <w:rPr>
                <w:rFonts w:ascii="Times New Roman" w:eastAsia="Times New Roman" w:hAnsi="Times New Roman" w:cs="Times New Roman"/>
                <w:sz w:val="20"/>
                <w:szCs w:val="20"/>
                <w:vertAlign w:val="superscript"/>
              </w:rPr>
              <w:t>-2</w:t>
            </w:r>
          </w:p>
        </w:tc>
        <w:tc>
          <w:tcPr>
            <w:tcW w:w="1526" w:type="pct"/>
            <w:vAlign w:val="center"/>
          </w:tcPr>
          <w:p w14:paraId="402ECEE1" w14:textId="15586101" w:rsidR="009C3D46" w:rsidRPr="00F902A5" w:rsidRDefault="009C3D46" w:rsidP="00524102">
            <w:pPr>
              <w:rPr>
                <w:rFonts w:ascii="Times New Roman" w:eastAsia="Times New Roman" w:hAnsi="Times New Roman" w:cs="Times New Roman"/>
                <w:sz w:val="20"/>
                <w:szCs w:val="20"/>
              </w:rPr>
            </w:pPr>
            <w:commentRangeStart w:id="3"/>
            <w:r w:rsidRPr="00F902A5">
              <w:rPr>
                <w:rFonts w:ascii="Times New Roman" w:eastAsia="Times New Roman" w:hAnsi="Times New Roman" w:cs="Times New Roman"/>
                <w:sz w:val="20"/>
                <w:szCs w:val="20"/>
              </w:rPr>
              <w:t xml:space="preserve">Exergy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{"citationID":"kTlOrxH2","properties":{"formattedCitation":"(Puzachenko et al., 2013, 2014)","plainCitation":"(Puzachenko et al., 2013, 2014)","noteIndex":0},"citationItems":[{"id":1812,"uris":["http://zotero.org/users/3524663/items/7BJLWH9Y"],"uri":["http://zotero.org/users/3524663/items/7BJLWH9Y"],"itemData":{"id":1812,"type":"article-journal","abstract":"The paper discusses methods of evaluating thermodynamic properties of landscape cover based on multi-spectral measurements by the Landsat satellites. Authors demonstrate how these methods could be used for studying functionality of landscapes and for spatial interpolation of Flux NET system measurements.","container-title":"Entropy","DOI":"10.3390/e15093970","ISSN":"1099-4300","issue":"12","language":"en","page":"3970-3982","source":"Crossref","title":"Methods of Evaluating Thermodynamic Properties of Landscape Cover Using Multispectral Reflected Radiation Measurements by the Landsat Satellite","volume":"15","author":[{"family":"Puzachenko","given":"Yuriy"},{"family":"Sandlersky","given":"Robert"},{"family":"Sankovski","given":"Alexey"}],"issued":{"date-parts":[["2013",9,23]]}}},{"id":1813,"uris":["http://zotero.org/users/3524663/items/S9TVHT6I"],"uri":["http://zotero.org/users/3524663/items/S9TVHT6I"],"itemData":{"id":1813,"type":"article-journal","container-title":"Contemporary Problems of Ecology","DOI":"10.1134/S1995425514070087","ISSN":"1995-4255, 1995-4263","issue":"7","language":"en","page":"838-854","source":"Crossref","title":"Multispectral remote information in forest research","volume":"7","author":[{"family":"Puzachenko","given":"Yu. G."},{"family":"Sandlersky","given":"R. B."},{"family":"Krenke","given":"A. N."},{"family":"Puzachenko","given":"Yu. M."}],"issued":{"date-parts":[["2014",12]]}}}],"schema":"https://github.com/citation-style-language/schema/raw/master/csl-citation.json"}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(Puzachenko et al., 2013, 2014)</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w:t>
            </w:r>
            <w:r w:rsidRPr="00F902A5">
              <w:rPr>
                <w:rFonts w:ascii="Times New Roman" w:eastAsia="Times New Roman" w:hAnsi="Times New Roman" w:cs="Times New Roman"/>
                <w:sz w:val="20"/>
                <w:szCs w:val="20"/>
              </w:rPr>
              <w:t xml:space="preserve"> Energy balance </w:t>
            </w:r>
            <w:r w:rsidRPr="00F902A5">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Pr="00CF1243">
              <w:rPr>
                <w:rFonts w:ascii="Times New Roman" w:hAnsi="Times New Roman" w:cs="Times New Roman"/>
                <w:sz w:val="20"/>
              </w:rPr>
              <w:t>(Krayenhoff et al., 2020)</w:t>
            </w:r>
            <w:r w:rsidRPr="00F902A5">
              <w:rPr>
                <w:rFonts w:ascii="Times New Roman" w:eastAsia="Times New Roman" w:hAnsi="Times New Roman" w:cs="Times New Roman"/>
                <w:sz w:val="20"/>
                <w:szCs w:val="20"/>
              </w:rPr>
              <w:fldChar w:fldCharType="end"/>
            </w:r>
            <w:commentRangeEnd w:id="3"/>
            <w:r>
              <w:rPr>
                <w:rStyle w:val="a7"/>
              </w:rPr>
              <w:commentReference w:id="3"/>
            </w:r>
          </w:p>
        </w:tc>
      </w:tr>
      <w:tr w:rsidR="00524102" w:rsidRPr="00BF6A66" w14:paraId="725326F8" w14:textId="77777777" w:rsidTr="00524102">
        <w:trPr>
          <w:trHeight w:val="236"/>
        </w:trPr>
        <w:tc>
          <w:tcPr>
            <w:tcW w:w="565" w:type="pct"/>
            <w:vMerge w:val="restart"/>
            <w:vAlign w:val="center"/>
          </w:tcPr>
          <w:p w14:paraId="0360A101"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666" w:type="pct"/>
            <w:vMerge w:val="restart"/>
            <w:vAlign w:val="center"/>
          </w:tcPr>
          <w:p w14:paraId="2D0D6813"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642" w:type="pct"/>
            <w:vAlign w:val="center"/>
          </w:tcPr>
          <w:p w14:paraId="765E6A08"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727" w:type="pct"/>
            <w:vAlign w:val="center"/>
          </w:tcPr>
          <w:p w14:paraId="1F16998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509" w:type="pct"/>
            <w:vAlign w:val="center"/>
          </w:tcPr>
          <w:p w14:paraId="410CF483" w14:textId="77777777" w:rsidR="009C3D46" w:rsidRPr="00F902A5" w:rsidRDefault="009C3D46" w:rsidP="00524102">
            <w:pP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364" w:type="pct"/>
            <w:vAlign w:val="center"/>
          </w:tcPr>
          <w:p w14:paraId="290D13F7" w14:textId="64192167"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 </w:t>
            </w:r>
            <w:r w:rsidRPr="00F902A5">
              <w:rPr>
                <w:rFonts w:ascii="Times New Roman" w:eastAsia="Times New Roman" w:hAnsi="Times New Roman" w:cs="Times New Roman"/>
                <w:sz w:val="20"/>
                <w:szCs w:val="20"/>
              </w:rPr>
              <w:t>hr</w:t>
            </w:r>
            <w:r w:rsidRPr="00F806CD">
              <w:rPr>
                <w:rFonts w:ascii="Times New Roman" w:eastAsia="Times New Roman" w:hAnsi="Times New Roman" w:cs="Times New Roman"/>
                <w:sz w:val="20"/>
                <w:szCs w:val="20"/>
                <w:vertAlign w:val="superscript"/>
              </w:rPr>
              <w:t>-</w:t>
            </w: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or mm</w:t>
            </w:r>
          </w:p>
        </w:tc>
        <w:commentRangeStart w:id="4"/>
        <w:tc>
          <w:tcPr>
            <w:tcW w:w="1526" w:type="pct"/>
            <w:vAlign w:val="center"/>
          </w:tcPr>
          <w:p w14:paraId="75C3C46B" w14:textId="2B5B855A" w:rsidR="009C3D46" w:rsidRPr="003150C7" w:rsidRDefault="009C3D46" w:rsidP="00524102">
            <w:pP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Pr>
                <w:rFonts w:ascii="Times New Roman" w:eastAsia="Times New Roman" w:hAnsi="Times New Roman" w:cs="Times New Roman"/>
                <w:sz w:val="20"/>
                <w:szCs w:val="20"/>
                <w:lang w:val="it-IT"/>
              </w:rPr>
              <w:instrText xml:space="preserve"> ADDIN ZOTERO_ITEM CSL_CITATION {"citationID":"OFEKeElr","properties":{"formattedCitation":"(Chen et al., 2019; Urban et al., 2019)","plainCitation":"(Chen et al., 2019; Urban et al., 2019)","noteIndex":0},"citationItems":[{"id":2112,"uris":["http://zotero.org/users/3524663/items/T6Q76FGZ"],"uri":["http://zotero.org/users/3524663/items/T6Q76FGZ"],"itemData":{"id":2112,"type":"article-journal","abstract":"Russian boreal forests represent the largest forested region on Earth and comprise one-ﬁfth of the world's forest cover. The two most common genera in Siberia are Larix and Pinus, which together cover more than 80% of the region’s forested area. One observable ongoing eﬀect of climate warming is that natural populations of Siberian larch are gradually being replaced by Scots pine. The present work focuses on comparing eﬀects of environmental variables on sap ﬂow density in two even-aged stands of Larix sibirica and Pinus sylvestris. While the two study stands were identical in age (49 years) with similar basal areas and leaf area index, they exhibited very diﬀerent transpiration rates and response mechanisms to environmental signals. Stand water use was higher for larch than it was for pine, even though transpiration for deciduous larch trees occurred over shorter time periods. The cumulative annual transpiration of the larch stand was 284 ± 4 mm measured over two consecutive growing seasons (2015–2016), while for pine this was 20% lower. Seasonal transpiration accounted for 50% and 40% of the reference evapotranspiration and 91% and 67% of growing season precipitation for larch and pine, respectively. Water stored in soil provided an important source of water for transpiration, observed as roughly 100 mm, which was then replenished from snowmelt the following spring. The greatest diﬀerence between two species related to how well they controlled transpiration, notably in the context of high vapor pressure deﬁcit; under these conditions, pine maintained greater control over transpiration than larch. For all soil moisture levels measured, larch transpired more water than pine. Importantly, our results point to potential future eﬀects of global warming, most notably an increasing decline of larch forests, changes in the ratio between latent and sensitive heat ﬂuxes, and signiﬁcant modiﬁcations in ecosystem water availability.","container-title":"Agricultural and Forest Meteorology","DOI":"10.1016/j.agrformet.2019.02.038","ISSN":"01681923","language":"en","page":"64-72","source":"Crossref","title":"Canopy transpiration of a Larix sibirica and Pinus sylvestris forest in Central Siberia","volume":"271","author":[{"family":"Urban","given":"Josef"},{"family":"Rubtsov","given":"Alexey V."},{"family":"Urban","given":"Anastasiya V."},{"family":"Shashkin","given":"Alexander V."},{"family":"Benkova","given":"Vera E."}],"issued":{"date-parts":[["2019",6]]}}},{"id":1851,"uris":["http://zotero.org/users/3524663/items/FJWJFRI9"],"uri":["http://zotero.org/users/3524663/items/FJWJFRI9"],"itemData":{"id":1851,"type":"article-journal","abstract":"Quantitative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Pr>
                <w:rFonts w:ascii="Times New Roman" w:eastAsia="Times New Roman" w:hAnsi="Times New Roman" w:cs="Times New Roman"/>
                <w:sz w:val="20"/>
                <w:szCs w:val="20"/>
                <w:lang w:val="it-IT"/>
              </w:rPr>
              <w:fldChar w:fldCharType="separate"/>
            </w:r>
            <w:r w:rsidRPr="00CF1243">
              <w:rPr>
                <w:rFonts w:ascii="Times New Roman" w:hAnsi="Times New Roman" w:cs="Times New Roman"/>
                <w:sz w:val="20"/>
              </w:rPr>
              <w:t>(Chen et al., 2019; Urban et al., 2019)</w:t>
            </w:r>
            <w:r>
              <w:rPr>
                <w:rFonts w:ascii="Times New Roman" w:eastAsia="Times New Roman" w:hAnsi="Times New Roman" w:cs="Times New Roman"/>
                <w:sz w:val="20"/>
                <w:szCs w:val="20"/>
                <w:lang w:val="it-IT"/>
              </w:rPr>
              <w:fldChar w:fldCharType="end"/>
            </w:r>
            <w:commentRangeEnd w:id="4"/>
            <w:r>
              <w:rPr>
                <w:rStyle w:val="a7"/>
              </w:rPr>
              <w:commentReference w:id="4"/>
            </w:r>
          </w:p>
        </w:tc>
      </w:tr>
      <w:tr w:rsidR="00524102" w:rsidRPr="003150C7" w14:paraId="09F33BCA" w14:textId="77777777" w:rsidTr="00524102">
        <w:trPr>
          <w:trHeight w:val="236"/>
        </w:trPr>
        <w:tc>
          <w:tcPr>
            <w:tcW w:w="565" w:type="pct"/>
            <w:vMerge/>
            <w:vAlign w:val="center"/>
          </w:tcPr>
          <w:p w14:paraId="7B0AD9B9" w14:textId="77777777" w:rsidR="009C3D46" w:rsidRPr="003150C7" w:rsidRDefault="009C3D46" w:rsidP="00524102">
            <w:pPr>
              <w:rPr>
                <w:rFonts w:ascii="Times New Roman" w:eastAsia="Times New Roman" w:hAnsi="Times New Roman" w:cs="Times New Roman"/>
                <w:sz w:val="20"/>
                <w:szCs w:val="20"/>
                <w:lang w:val="it-IT"/>
              </w:rPr>
            </w:pPr>
          </w:p>
        </w:tc>
        <w:tc>
          <w:tcPr>
            <w:tcW w:w="666" w:type="pct"/>
            <w:vMerge/>
            <w:vAlign w:val="center"/>
          </w:tcPr>
          <w:p w14:paraId="6A4F821E" w14:textId="77777777" w:rsidR="009C3D46" w:rsidRPr="003150C7" w:rsidRDefault="009C3D46" w:rsidP="00524102">
            <w:pPr>
              <w:rPr>
                <w:rFonts w:ascii="Times New Roman" w:eastAsia="Times New Roman" w:hAnsi="Times New Roman" w:cs="Times New Roman"/>
                <w:sz w:val="20"/>
                <w:szCs w:val="20"/>
                <w:lang w:val="it-IT"/>
              </w:rPr>
            </w:pPr>
          </w:p>
        </w:tc>
        <w:tc>
          <w:tcPr>
            <w:tcW w:w="642" w:type="pct"/>
            <w:vAlign w:val="center"/>
          </w:tcPr>
          <w:p w14:paraId="073FB91B"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Rain buffer</w:t>
            </w:r>
          </w:p>
        </w:tc>
        <w:tc>
          <w:tcPr>
            <w:tcW w:w="727" w:type="pct"/>
            <w:vAlign w:val="center"/>
          </w:tcPr>
          <w:p w14:paraId="32ACEC1E"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Spectrometer</w:t>
            </w:r>
          </w:p>
        </w:tc>
        <w:tc>
          <w:tcPr>
            <w:tcW w:w="509" w:type="pct"/>
            <w:vAlign w:val="center"/>
          </w:tcPr>
          <w:p w14:paraId="2EEB144A"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Proxy</w:t>
            </w:r>
          </w:p>
          <w:p w14:paraId="0B76291D"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~LAI</w:t>
            </w:r>
          </w:p>
        </w:tc>
        <w:tc>
          <w:tcPr>
            <w:tcW w:w="364" w:type="pct"/>
            <w:vAlign w:val="center"/>
          </w:tcPr>
          <w:p w14:paraId="4F13E2EC"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w:t>
            </w:r>
          </w:p>
        </w:tc>
        <w:tc>
          <w:tcPr>
            <w:tcW w:w="1526" w:type="pct"/>
            <w:vAlign w:val="center"/>
          </w:tcPr>
          <w:p w14:paraId="48F56A13" w14:textId="14933D97" w:rsidR="009C3D46" w:rsidRPr="003150C7" w:rsidRDefault="009C3D46" w:rsidP="00524102">
            <w:pPr>
              <w:rPr>
                <w:rFonts w:ascii="Times New Roman" w:hAnsi="Times New Roman" w:cs="Times New Roman"/>
                <w:sz w:val="20"/>
                <w:szCs w:val="20"/>
                <w:lang w:val="it-IT"/>
              </w:rPr>
            </w:pPr>
            <w:r w:rsidRPr="003150C7">
              <w:rPr>
                <w:rFonts w:ascii="Times New Roman" w:hAnsi="Times New Roman" w:cs="Times New Roman"/>
                <w:sz w:val="20"/>
                <w:szCs w:val="20"/>
                <w:lang w:val="it-IT"/>
              </w:rPr>
              <w:t xml:space="preserve">Rainfall buffer </w:t>
            </w:r>
            <w:r>
              <w:rPr>
                <w:rFonts w:ascii="Times New Roman" w:hAnsi="Times New Roman" w:cs="Times New Roman"/>
                <w:sz w:val="20"/>
                <w:szCs w:val="20"/>
                <w:lang w:val="it-IT"/>
              </w:rPr>
              <w:fldChar w:fldCharType="begin"/>
            </w:r>
            <w:r>
              <w:rPr>
                <w:rFonts w:ascii="Times New Roman" w:hAnsi="Times New Roman" w:cs="Times New Roman"/>
                <w:sz w:val="20"/>
                <w:szCs w:val="20"/>
                <w:lang w:val="it-IT"/>
              </w:rPr>
              <w:instrText xml:space="preserve"> ADDIN ZOTERO_ITEM CSL_CITATION {"citationID":"H2srpzTz","properties":{"formattedCitation":"(Pereira et al., 2009; Smets et al., 2019; Valente et al., 2020)","plainCitation":"(Pereira et al., 2009; Smets et al., 2019; Valente et al., 2020)","noteIndex":0},"citationItems":[{"id":2106,"uris":["http://zotero.org/users/3524663/items/37DVDAIM"],"uri":["http://zotero.org/users/3524663/items/37DVDAIM"],"itemData":{"id":2106,"type":"article-journal","abstract":"A new approach is suggested for estimating evaporation of intercepted rainfall from single trees in sparse forests. It is shown that, theoretically, the surface temperature of a wet tree crown will depend on the available energy and windspeed. But for a fully saturated canopy under rainy conditions, surface temperature will approach the wet bulb temperature when available energy tends to zero. This was conﬁrmed experimentally from measurements of the radiation balance, aerodynamic conductance for water vapour and surface temperature on an isolated tree crown. Net radiation over a virtual cylindrical surface, enclosing the tree crown, was monitored by a set of radiometers positioned around that surface. Aerodynamic conductance for the tree crown was derived by scaling up measurements of leaf boundary layer conductance using the heated leaf replica method. Thermocouples were used to measure the average leaf surface temperature. Results showed that a fully wet single tree crown behaves like a wet bulb, allowing evaporation of intercepted rainfall to be estimated by a simple diffusion equation for water vapour, which is not restricted by the assumptions of one-dimensional transfer models usually used at the stand scale. Using this approach, mean evaporation rate from wet, saturated tree crowns was 0.27 or 0.30 mm hÀ1, when surface temperature was taken equal to the air wet bulb temperature or estimated accounting for the available energy, respectively.","container-title":"Agricultural and Forest Meteorology","DOI":"10.1016/j.agrformet.2008.10.013","ISSN":"01681923","issue":"3-4","language":"en","page":"667-679","source":"Crossref","title":"Evaporation of intercepted rainfall from isolated evergreen oak trees: Do the crowns behave as wet bulbs?","title-short":"Evaporation of intercepted rainfall from isolated evergreen oak trees","volume":"149","author":[{"family":"Pereira","given":"F.L."},{"family":"Gash","given":"J.H.C."},{"family":"David","given":"J.S."},{"family":"Valente","given":"F."}],"issued":{"date-parts":[["2009",3]]}}},{"id":2115,"uris":["http://zotero.org/users/3524663/items/8XURFR49"],"uri":["http://zotero.org/users/3524663/items/8XURFR49"],"itemData":{"id":2115,"type":"article-journal","container-title":"Hydrology and Earth System Sciences","DOI":"10.5194/hess-23-3865-2019","ISSN":"1607-7938","issue":"9","language":"en","page":"3865-3884","source":"Crossref","title":"The importance of city trees for reducing net rainfall: comparing measurements and simulations","title-short":"The importance of city trees for reducing net rainfall","volume":"23","author":[{"family":"Smets","given":"Vincent"},{"family":"Wirion","given":"Charlotte"},{"family":"Bauwens","given":"Willy"},{"family":"Hermy","given":"Martin"},{"family":"Somers","given":"Ben"},{"family":"Verbeiren","given":"Boud"}],"issued":{"date-parts":[["2019",9,23]]}}},{"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Pr>
                <w:rFonts w:ascii="Times New Roman" w:hAnsi="Times New Roman" w:cs="Times New Roman"/>
                <w:sz w:val="20"/>
                <w:szCs w:val="20"/>
                <w:lang w:val="it-IT"/>
              </w:rPr>
              <w:fldChar w:fldCharType="separate"/>
            </w:r>
            <w:r w:rsidRPr="00A80DD7">
              <w:rPr>
                <w:rFonts w:ascii="Times New Roman" w:hAnsi="Times New Roman" w:cs="Times New Roman"/>
                <w:sz w:val="20"/>
              </w:rPr>
              <w:t>(Pereira et al., 2009; Smets et al., 2019; Valente et al., 2020)</w:t>
            </w:r>
            <w:r>
              <w:rPr>
                <w:rFonts w:ascii="Times New Roman" w:hAnsi="Times New Roman" w:cs="Times New Roman"/>
                <w:sz w:val="20"/>
                <w:szCs w:val="20"/>
                <w:lang w:val="it-IT"/>
              </w:rPr>
              <w:fldChar w:fldCharType="end"/>
            </w:r>
          </w:p>
        </w:tc>
      </w:tr>
      <w:tr w:rsidR="00524102" w:rsidRPr="003150C7" w14:paraId="2EA9A0EA" w14:textId="77777777" w:rsidTr="00524102">
        <w:trPr>
          <w:trHeight w:val="236"/>
        </w:trPr>
        <w:tc>
          <w:tcPr>
            <w:tcW w:w="565" w:type="pct"/>
            <w:vMerge w:val="restart"/>
            <w:vAlign w:val="center"/>
          </w:tcPr>
          <w:p w14:paraId="5349628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666" w:type="pct"/>
            <w:vAlign w:val="center"/>
          </w:tcPr>
          <w:p w14:paraId="41561DC7"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642" w:type="pct"/>
            <w:vAlign w:val="center"/>
          </w:tcPr>
          <w:p w14:paraId="1FC12660"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727" w:type="pct"/>
            <w:vAlign w:val="center"/>
          </w:tcPr>
          <w:p w14:paraId="4FE9E480" w14:textId="77777777" w:rsidR="009C3D46" w:rsidRPr="00F902A5" w:rsidRDefault="009C3D46" w:rsidP="00524102">
            <w:pPr>
              <w:rPr>
                <w:sz w:val="20"/>
                <w:szCs w:val="20"/>
              </w:rPr>
            </w:pPr>
            <w:r w:rsidRPr="00F902A5">
              <w:rPr>
                <w:rFonts w:ascii="Times New Roman" w:eastAsia="Times New Roman" w:hAnsi="Times New Roman" w:cs="Times New Roman"/>
                <w:sz w:val="20"/>
                <w:szCs w:val="20"/>
              </w:rPr>
              <w:t>Spectrometer</w:t>
            </w:r>
          </w:p>
        </w:tc>
        <w:tc>
          <w:tcPr>
            <w:tcW w:w="509" w:type="pct"/>
            <w:vAlign w:val="center"/>
          </w:tcPr>
          <w:p w14:paraId="5AEFE21B" w14:textId="77777777" w:rsidR="009C3D46" w:rsidRPr="00F902A5" w:rsidRDefault="009C3D46" w:rsidP="00524102">
            <w:pP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364" w:type="pct"/>
            <w:vAlign w:val="center"/>
          </w:tcPr>
          <w:p w14:paraId="3FC21D52" w14:textId="0C608829"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g m</w:t>
            </w:r>
            <w:r w:rsidRPr="00F806CD">
              <w:rPr>
                <w:rFonts w:ascii="Times New Roman" w:eastAsia="Times New Roman" w:hAnsi="Times New Roman" w:cs="Times New Roman"/>
                <w:sz w:val="20"/>
                <w:szCs w:val="20"/>
                <w:vertAlign w:val="superscript"/>
              </w:rPr>
              <w:t>-</w:t>
            </w:r>
            <w:r>
              <w:rPr>
                <w:rFonts w:ascii="Times New Roman" w:eastAsia="Times New Roman" w:hAnsi="Times New Roman" w:cs="Times New Roman"/>
                <w:sz w:val="20"/>
                <w:szCs w:val="20"/>
                <w:vertAlign w:val="superscript"/>
              </w:rPr>
              <w:t>2</w:t>
            </w:r>
          </w:p>
        </w:tc>
        <w:tc>
          <w:tcPr>
            <w:tcW w:w="1526" w:type="pct"/>
            <w:vMerge w:val="restart"/>
            <w:vAlign w:val="center"/>
          </w:tcPr>
          <w:p w14:paraId="14EBA1C4" w14:textId="5332A370" w:rsidR="009C3D46" w:rsidRPr="003150C7" w:rsidRDefault="009C3D46" w:rsidP="00524102">
            <w:pP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Pr>
                <w:rFonts w:ascii="Times New Roman" w:eastAsia="Times New Roman" w:hAnsi="Times New Roman" w:cs="Times New Roman"/>
                <w:sz w:val="20"/>
                <w:szCs w:val="20"/>
                <w:lang w:val="it-IT"/>
              </w:rPr>
              <w:instrText xml:space="preserve"> ADDIN ZOTERO_ITEM CSL_CITATION {"citationID":"psYPnPB2","properties":{"formattedCitation":"(Hirabayashi et al., 2012; Nowak et al., 2018, 2006; S\\uc0\\u230{}b\\uc0\\u248{} et al., 2012)","plainCitation":"(Hirabayashi et al., 2012; Nowak et al., 2018, 2006; Sæbø et al., 2012)","noteIndex":0},"citationItems":[{"id":1754,"uris":["http://zotero.org/users/3524663/items/QK9UND8U"],"uri":["http://zotero.org/users/3524663/items/QK9UND8U"],"itemData":{"id":1754,"type":"article-journal","abstract":"A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0"/>
                <w:szCs w:val="20"/>
                <w:lang w:val="it-IT"/>
              </w:rPr>
              <w:fldChar w:fldCharType="separate"/>
            </w:r>
            <w:r w:rsidRPr="00CF1243">
              <w:rPr>
                <w:rFonts w:ascii="Times New Roman" w:hAnsi="Times New Roman" w:cs="Times New Roman"/>
                <w:sz w:val="20"/>
                <w:szCs w:val="24"/>
              </w:rPr>
              <w:t>(Hirabayashi et al., 2012; Nowak et al., 2018, 2006; Sæbø et al., 2012)</w:t>
            </w:r>
            <w:r>
              <w:rPr>
                <w:rFonts w:ascii="Times New Roman" w:eastAsia="Times New Roman" w:hAnsi="Times New Roman" w:cs="Times New Roman"/>
                <w:sz w:val="20"/>
                <w:szCs w:val="20"/>
                <w:lang w:val="it-IT"/>
              </w:rPr>
              <w:fldChar w:fldCharType="end"/>
            </w:r>
          </w:p>
        </w:tc>
      </w:tr>
      <w:tr w:rsidR="00524102" w:rsidRPr="00F902A5" w14:paraId="444FDEA7" w14:textId="77777777" w:rsidTr="00524102">
        <w:trPr>
          <w:trHeight w:val="595"/>
        </w:trPr>
        <w:tc>
          <w:tcPr>
            <w:tcW w:w="565" w:type="pct"/>
            <w:vMerge/>
            <w:vAlign w:val="center"/>
          </w:tcPr>
          <w:p w14:paraId="3C8EFA23" w14:textId="77777777" w:rsidR="009C3D46" w:rsidRPr="003150C7" w:rsidRDefault="009C3D46" w:rsidP="00524102">
            <w:pPr>
              <w:widowControl w:val="0"/>
              <w:pBdr>
                <w:top w:val="nil"/>
                <w:left w:val="nil"/>
                <w:bottom w:val="nil"/>
                <w:right w:val="nil"/>
                <w:between w:val="nil"/>
              </w:pBdr>
              <w:rPr>
                <w:rFonts w:ascii="Times New Roman" w:eastAsia="Times New Roman" w:hAnsi="Times New Roman" w:cs="Times New Roman"/>
                <w:sz w:val="20"/>
                <w:szCs w:val="20"/>
                <w:lang w:val="it-IT"/>
              </w:rPr>
            </w:pPr>
          </w:p>
        </w:tc>
        <w:tc>
          <w:tcPr>
            <w:tcW w:w="666" w:type="pct"/>
            <w:vAlign w:val="center"/>
          </w:tcPr>
          <w:p w14:paraId="541EF558"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642" w:type="pct"/>
            <w:vAlign w:val="center"/>
          </w:tcPr>
          <w:p w14:paraId="42B708A3"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727" w:type="pct"/>
            <w:vAlign w:val="center"/>
          </w:tcPr>
          <w:p w14:paraId="02D31CA0" w14:textId="77777777" w:rsidR="009C3D46" w:rsidRPr="00F902A5" w:rsidRDefault="009C3D46" w:rsidP="00524102">
            <w:pPr>
              <w:rPr>
                <w:sz w:val="20"/>
                <w:szCs w:val="20"/>
              </w:rPr>
            </w:pPr>
            <w:r w:rsidRPr="00F902A5">
              <w:rPr>
                <w:rFonts w:ascii="Times New Roman" w:eastAsia="Times New Roman" w:hAnsi="Times New Roman" w:cs="Times New Roman"/>
                <w:sz w:val="20"/>
                <w:szCs w:val="20"/>
              </w:rPr>
              <w:t>Spectrometer</w:t>
            </w:r>
          </w:p>
        </w:tc>
        <w:tc>
          <w:tcPr>
            <w:tcW w:w="509" w:type="pct"/>
            <w:vAlign w:val="center"/>
          </w:tcPr>
          <w:p w14:paraId="77FDDD92" w14:textId="77777777" w:rsidR="009C3D46" w:rsidRPr="00F902A5" w:rsidRDefault="00F428DA" w:rsidP="00524102">
            <w:pPr>
              <w:rPr>
                <w:rFonts w:ascii="Times New Roman" w:eastAsia="Times New Roman" w:hAnsi="Times New Roman" w:cs="Times New Roman"/>
                <w:sz w:val="20"/>
                <w:szCs w:val="20"/>
              </w:rPr>
            </w:pPr>
            <w:sdt>
              <w:sdtPr>
                <w:rPr>
                  <w:sz w:val="20"/>
                  <w:szCs w:val="20"/>
                </w:rPr>
                <w:tag w:val="goog_rdk_14"/>
                <w:id w:val="-1746878598"/>
              </w:sdtPr>
              <w:sdtContent/>
            </w:sdt>
            <w:r w:rsidR="009C3D46" w:rsidRPr="00F902A5">
              <w:rPr>
                <w:rFonts w:ascii="yandex-sans" w:hAnsi="yandex-sans"/>
                <w:color w:val="000000"/>
                <w:sz w:val="20"/>
                <w:szCs w:val="20"/>
                <w:shd w:val="clear" w:color="auto" w:fill="FFFFFF"/>
              </w:rPr>
              <w:t>Indirect</w:t>
            </w:r>
            <w:r w:rsidR="009C3D46" w:rsidRPr="00F902A5">
              <w:rPr>
                <w:rFonts w:ascii="Times New Roman" w:eastAsia="Times New Roman" w:hAnsi="Times New Roman" w:cs="Times New Roman"/>
                <w:sz w:val="20"/>
                <w:szCs w:val="20"/>
              </w:rPr>
              <w:t xml:space="preserve"> ~LAI</w:t>
            </w:r>
          </w:p>
        </w:tc>
        <w:tc>
          <w:tcPr>
            <w:tcW w:w="364" w:type="pct"/>
            <w:vAlign w:val="center"/>
          </w:tcPr>
          <w:p w14:paraId="612A13C3" w14:textId="1781F074"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g m</w:t>
            </w:r>
            <w:r w:rsidRPr="00F806CD">
              <w:rPr>
                <w:rFonts w:ascii="Times New Roman" w:eastAsia="Times New Roman" w:hAnsi="Times New Roman" w:cs="Times New Roman"/>
                <w:sz w:val="20"/>
                <w:szCs w:val="20"/>
                <w:vertAlign w:val="superscript"/>
              </w:rPr>
              <w:t>-</w:t>
            </w:r>
            <w:r>
              <w:rPr>
                <w:rFonts w:ascii="Times New Roman" w:eastAsia="Times New Roman" w:hAnsi="Times New Roman" w:cs="Times New Roman"/>
                <w:sz w:val="20"/>
                <w:szCs w:val="20"/>
                <w:vertAlign w:val="superscript"/>
              </w:rPr>
              <w:t>2</w:t>
            </w:r>
          </w:p>
        </w:tc>
        <w:tc>
          <w:tcPr>
            <w:tcW w:w="1526" w:type="pct"/>
            <w:vMerge/>
            <w:vAlign w:val="center"/>
          </w:tcPr>
          <w:p w14:paraId="26451BFF"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r>
      <w:tr w:rsidR="00524102" w:rsidRPr="00F902A5" w14:paraId="4B1B1A04" w14:textId="77777777" w:rsidTr="00134425">
        <w:trPr>
          <w:cantSplit/>
          <w:trHeight w:val="844"/>
        </w:trPr>
        <w:tc>
          <w:tcPr>
            <w:tcW w:w="565" w:type="pct"/>
            <w:vAlign w:val="center"/>
          </w:tcPr>
          <w:p w14:paraId="471D7E6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666" w:type="pct"/>
            <w:vAlign w:val="center"/>
          </w:tcPr>
          <w:p w14:paraId="518788DD"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642" w:type="pct"/>
            <w:vAlign w:val="center"/>
          </w:tcPr>
          <w:p w14:paraId="579A76C0"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727" w:type="pct"/>
            <w:vAlign w:val="center"/>
          </w:tcPr>
          <w:p w14:paraId="5BCA963D" w14:textId="77777777" w:rsidR="009C3D46" w:rsidRPr="00F902A5" w:rsidRDefault="009C3D46" w:rsidP="00524102">
            <w:pPr>
              <w:rPr>
                <w:sz w:val="20"/>
                <w:szCs w:val="20"/>
              </w:rPr>
            </w:pPr>
            <w:r w:rsidRPr="00F902A5">
              <w:rPr>
                <w:rFonts w:ascii="Times New Roman" w:eastAsia="Times New Roman" w:hAnsi="Times New Roman" w:cs="Times New Roman"/>
                <w:sz w:val="20"/>
                <w:szCs w:val="20"/>
              </w:rPr>
              <w:t>Spectrometer</w:t>
            </w:r>
          </w:p>
        </w:tc>
        <w:tc>
          <w:tcPr>
            <w:tcW w:w="509" w:type="pct"/>
            <w:vAlign w:val="center"/>
          </w:tcPr>
          <w:p w14:paraId="05F290FC"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45B0B976"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364" w:type="pct"/>
            <w:vAlign w:val="center"/>
          </w:tcPr>
          <w:p w14:paraId="27C7BA43"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1526" w:type="pct"/>
            <w:vAlign w:val="center"/>
          </w:tcPr>
          <w:p w14:paraId="34416060" w14:textId="4BDD7EBA"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{"citationID":"af9EzRNL","properties":{"formattedCitation":"(Martens and Michelsen, 1981; Van Renterghem, 2014; Yang et al., 2013)","plainCitation":"(Martens and Michelsen, 1981; Van Renterghem, 2014; Yang et al., 2013)","noteIndex":0},"citationItems":[{"id":1899,"uris":["http://zotero.org/users/3524663/items/24CK7APD"],"uri":["http://zotero.org/users/3524663/items/24CK7APD"],"itemData":{"id":1899,"type":"article-journal","container-title":"The Journal of the Acoustical Society of America","DOI":"10.1121/1.385313","ISSN":"0001-4966","issue":"1","language":"en","page":"303-306","source":"Crossref","title":"Absorption of acoustic energy by plant leaves","volume":"69","author":[{"family":"Martens","given":"Maurice J. M."},{"family":"Michelsen","given":"Axel"}],"issued":{"date-parts":[["1981",1]]}}},{"id":1887,"uris":["http://zotero.org/users/3524663/items/LY4WIZI6"],"uri":["http://zotero.org/users/3524663/items/LY4WIZI6"],"itemData":{"id":1887,"type":"article-journal","container-title":"The Journal of the Acoustical Society of America","DOI":"10.1121/1.4808175","ISSN":"0001-4966","issue":"1","language":"en","page":"264-274","source":"Crossref","title":"Quantifying scattered sound energy from a single tree by means of reverberation time","volume":"134","author":[{"family":"Yang","given":"Hong-Seok"},{"family":"Kang","given":"Jian"},{"family":"Cheal","given":"Chris"},{"family":"Renterghem","given":"Timothy Van"},{"family":"Botteldooren","given":"Dick"}],"issued":{"date-parts":[["2013",7]]}}},{"id":1888,"uris":["http://zotero.org/users/3524663/items/AL8P5742"],"uri":["http://zotero.org/users/3524663/items/AL8P5742"],"itemData":{"id":1888,"type":"article-journal","abstract":"This paper discusses that a non-deep tree belt along a road can be an interesting solution to achieve road trafﬁc noise reduction. Noise shielding is mainly obtained as a combination of multiple scattering in the tree trunk layer and due to the presence of an acoustically soft soil. A large dataset of full-wave and highly detailed numerical simulations, based as much as possible on measured input data, shows that high biomass density should be strived for as a general rule. This conﬂicts, however, with practical limitations regarding access to light, nutrients and water for the trees. Some interesting approaches have been identiﬁed to relax the need for high biomass density, without affecting noise shielding to an important extent. Rectangular planting schemes, where the spacing orthogonal to the road can be increased, omitting full rows parallel to the road length axis, and thinning inside the belt are examples of such measures. It is discussed that the speciﬁc choice of a planting scheme could make a tree belt along a road an efﬁcient noise reducing measure or not.","container-title":"Ecological Engineering","DOI":"10.1016/j.ecoleng.2014.04.029","ISSN":"09258574","language":"en","page":"276-286","source":"Crossref","title":"Guidelines for optimizing road traffic noise shielding by non-deep tree belts","volume":"69","author":[{"family":"Van Renterghem","given":"Timothy"}],"issued":{"date-parts":[["2014",8]]}}}],"schema":"https://github.com/citation-style-language/schema/raw/master/csl-citation.json"}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(Martens and Michelsen, 1981; Van Renterghem, 2014; Yang et al., 2013)</w:t>
            </w:r>
            <w:r>
              <w:rPr>
                <w:rFonts w:ascii="Times New Roman" w:eastAsia="Times New Roman" w:hAnsi="Times New Roman" w:cs="Times New Roman"/>
                <w:sz w:val="20"/>
                <w:szCs w:val="20"/>
              </w:rPr>
              <w:fldChar w:fldCharType="end"/>
            </w:r>
          </w:p>
        </w:tc>
      </w:tr>
    </w:tbl>
    <w:p w14:paraId="69C1EECE" w14:textId="77777777" w:rsidR="00364A09" w:rsidRDefault="00364A09" w:rsidP="00364A09">
      <w:pPr>
        <w:spacing w:after="0"/>
        <w:ind w:firstLine="720"/>
        <w:jc w:val="both"/>
        <w:rPr>
          <w:rFonts w:ascii="Times New Roman" w:eastAsia="Times New Roman" w:hAnsi="Times New Roman" w:cs="Times New Roman"/>
          <w:sz w:val="24"/>
          <w:szCs w:val="24"/>
        </w:rPr>
      </w:pPr>
    </w:p>
    <w:p w14:paraId="4FF34F7E"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lastRenderedPageBreak/>
        <w:t>2.2.1. Carbon sequestration</w:t>
      </w:r>
    </w:p>
    <w:p w14:paraId="443D7BE0" w14:textId="7D1257F0" w:rsidR="00364A09" w:rsidRDefault="00364A09" w:rsidP="00364A09">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Pr="00F22F79">
        <w:rPr>
          <w:rFonts w:ascii="Times New Roman" w:hAnsi="Times New Roman" w:cs="Times New Roman"/>
          <w:color w:val="000000"/>
          <w:sz w:val="24"/>
          <w:szCs w:val="23"/>
          <w:shd w:val="clear" w:color="auto" w:fill="FFFFFF"/>
        </w:rPr>
        <w:t xml:space="preserve">was based on IPCC 2006 </w:t>
      </w:r>
      <w:r>
        <w:rPr>
          <w:rFonts w:ascii="Times New Roman" w:hAnsi="Times New Roman" w:cs="Times New Roman"/>
          <w:color w:val="000000"/>
          <w:sz w:val="24"/>
          <w:szCs w:val="23"/>
          <w:shd w:val="clear" w:color="auto" w:fill="FFFFFF"/>
        </w:rPr>
        <w:t>approach utilizing biomass expansion factors (BEF):</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179171E" w14:textId="77777777" w:rsidTr="00335AF7">
        <w:trPr>
          <w:jc w:val="center"/>
        </w:trPr>
        <w:tc>
          <w:tcPr>
            <w:tcW w:w="4754" w:type="pct"/>
          </w:tcPr>
          <w:p w14:paraId="25F54D81" w14:textId="464F1974" w:rsidR="00E05C4D" w:rsidRPr="009E46F1" w:rsidRDefault="00E05C4D" w:rsidP="00335AF7">
            <w:pPr>
              <w:pStyle w:val="MDPI39equation"/>
            </w:pP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C = [</w:t>
            </w: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V * B</w:t>
            </w:r>
            <w:r>
              <w:rPr>
                <w:rFonts w:ascii="Times New Roman" w:hAnsi="Times New Roman"/>
                <w:sz w:val="24"/>
                <w:szCs w:val="23"/>
                <w:shd w:val="clear" w:color="auto" w:fill="FFFFFF"/>
              </w:rPr>
              <w:t>C</w:t>
            </w:r>
            <w:r w:rsidRPr="00F22F79">
              <w:rPr>
                <w:rFonts w:ascii="Times New Roman" w:hAnsi="Times New Roman"/>
                <w:sz w:val="24"/>
                <w:szCs w:val="23"/>
                <w:shd w:val="clear" w:color="auto" w:fill="FFFFFF"/>
              </w:rPr>
              <w:t>EF] * (1 + R) * CF</w:t>
            </w:r>
            <w:r>
              <w:rPr>
                <w:rFonts w:ascii="Times New Roman" w:hAnsi="Times New Roman"/>
                <w:sz w:val="24"/>
                <w:szCs w:val="23"/>
                <w:shd w:val="clear" w:color="auto" w:fill="FFFFFF"/>
              </w:rPr>
              <w:t>,</w:t>
            </w:r>
          </w:p>
        </w:tc>
        <w:tc>
          <w:tcPr>
            <w:tcW w:w="246" w:type="pct"/>
            <w:vAlign w:val="center"/>
          </w:tcPr>
          <w:p w14:paraId="4EAB0203" w14:textId="77777777" w:rsidR="00E05C4D" w:rsidRPr="009E46F1" w:rsidRDefault="00E05C4D" w:rsidP="00335AF7">
            <w:pPr>
              <w:pStyle w:val="MDPI3aequationnumber"/>
              <w:spacing w:line="260" w:lineRule="atLeast"/>
            </w:pPr>
            <w:r w:rsidRPr="009E46F1">
              <w:t>(1)</w:t>
            </w:r>
          </w:p>
        </w:tc>
      </w:tr>
    </w:tbl>
    <w:p w14:paraId="78F5808E" w14:textId="34119615" w:rsidR="00364A09" w:rsidRDefault="00E05C4D" w:rsidP="00E05C4D">
      <w:pPr>
        <w:spacing w:after="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w:t>
      </w:r>
      <w:r w:rsidR="00364A09" w:rsidRPr="00F22F79">
        <w:rPr>
          <w:rFonts w:ascii="Times New Roman" w:hAnsi="Times New Roman" w:cs="Times New Roman"/>
          <w:color w:val="000000"/>
          <w:sz w:val="24"/>
          <w:szCs w:val="23"/>
          <w:shd w:val="clear" w:color="auto" w:fill="FFFFFF"/>
        </w:rPr>
        <w:t>here</w:t>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 xml:space="preserve">BCEF </w:t>
      </w:r>
      <w:r w:rsidR="00364A09">
        <w:rPr>
          <w:rFonts w:ascii="Times New Roman" w:hAnsi="Times New Roman" w:cs="Times New Roman"/>
          <w:color w:val="000000"/>
          <w:sz w:val="24"/>
          <w:szCs w:val="23"/>
          <w:shd w:val="clear" w:color="auto" w:fill="FFFFFF"/>
        </w:rPr>
        <w:t>=</w:t>
      </w:r>
      <w:r w:rsidR="00364A09" w:rsidRPr="00F22F79">
        <w:rPr>
          <w:rFonts w:ascii="Times New Roman" w:hAnsi="Times New Roman" w:cs="Times New Roman"/>
          <w:color w:val="000000"/>
          <w:sz w:val="24"/>
          <w:szCs w:val="23"/>
          <w:shd w:val="clear" w:color="auto" w:fill="FFFFFF"/>
        </w:rPr>
        <w:t xml:space="preserve"> BEF * D</w:t>
      </w:r>
      <w:r w:rsidR="00364A09">
        <w:rPr>
          <w:rFonts w:ascii="Times New Roman" w:hAnsi="Times New Roman" w:cs="Times New Roman"/>
          <w:color w:val="000000"/>
          <w:sz w:val="24"/>
          <w:szCs w:val="23"/>
          <w:shd w:val="clear" w:color="auto" w:fill="FFFFFF"/>
        </w:rPr>
        <w:t xml:space="preserve"> and R</w:t>
      </w:r>
      <w:r>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(root to shot ratio)</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was</w:t>
      </w:r>
      <w:r w:rsidR="00364A09" w:rsidRPr="00F22F79">
        <w:rPr>
          <w:rFonts w:ascii="Times New Roman" w:hAnsi="Times New Roman" w:cs="Times New Roman"/>
          <w:color w:val="000000"/>
          <w:sz w:val="24"/>
          <w:szCs w:val="23"/>
          <w:shd w:val="clear" w:color="auto" w:fill="FFFFFF"/>
        </w:rPr>
        <w:t xml:space="preserve"> taken from</w:t>
      </w:r>
      <w:r w:rsidR="00364A09">
        <w:rPr>
          <w:rFonts w:ascii="Times New Roman" w:hAnsi="Times New Roman" w:cs="Times New Roman"/>
          <w:color w:val="000000"/>
          <w:sz w:val="24"/>
          <w:szCs w:val="23"/>
          <w:shd w:val="clear" w:color="auto" w:fill="FFFFFF"/>
        </w:rPr>
        <w:t xml:space="preserve"> literature according to species and age of the tree</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fldChar w:fldCharType="begin"/>
      </w:r>
      <w:r w:rsidR="00CF1243">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sidR="00364A09">
        <w:rPr>
          <w:rFonts w:ascii="Times New Roman" w:hAnsi="Times New Roman" w:cs="Times New Roman"/>
          <w:color w:val="000000"/>
          <w:sz w:val="24"/>
          <w:szCs w:val="23"/>
          <w:shd w:val="clear" w:color="auto" w:fill="FFFFFF"/>
        </w:rPr>
        <w:fldChar w:fldCharType="separate"/>
      </w:r>
      <w:r w:rsidR="00CF1243" w:rsidRPr="00CF1243">
        <w:rPr>
          <w:rFonts w:ascii="Times New Roman" w:hAnsi="Times New Roman" w:cs="Times New Roman"/>
          <w:sz w:val="24"/>
        </w:rPr>
        <w:t>(Schepaschenko et al., 2018)</w:t>
      </w:r>
      <w:r w:rsidR="00364A09">
        <w:rPr>
          <w:rFonts w:ascii="Times New Roman" w:hAnsi="Times New Roman" w:cs="Times New Roman"/>
          <w:color w:val="000000"/>
          <w:sz w:val="24"/>
          <w:szCs w:val="23"/>
          <w:shd w:val="clear" w:color="auto" w:fill="FFFFFF"/>
        </w:rPr>
        <w:fldChar w:fldCharType="end"/>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CF</w:t>
      </w:r>
      <w:r w:rsidR="00364A09">
        <w:rPr>
          <w:rFonts w:ascii="Times New Roman" w:hAnsi="Times New Roman" w:cs="Times New Roman"/>
          <w:color w:val="000000"/>
          <w:sz w:val="24"/>
          <w:szCs w:val="23"/>
          <w:shd w:val="clear" w:color="auto" w:fill="FFFFFF"/>
        </w:rPr>
        <w:t xml:space="preserve"> (biomass conversion into carbon)</w:t>
      </w:r>
      <w:r w:rsidR="00364A09" w:rsidRPr="00F22F79">
        <w:rPr>
          <w:rFonts w:ascii="Times New Roman" w:hAnsi="Times New Roman" w:cs="Times New Roman"/>
          <w:color w:val="000000"/>
          <w:sz w:val="24"/>
          <w:szCs w:val="23"/>
          <w:shd w:val="clear" w:color="auto" w:fill="FFFFFF"/>
        </w:rPr>
        <w:t xml:space="preserve"> was taken as 0.5. </w:t>
      </w:r>
      <w:r w:rsidR="00364A09">
        <w:rPr>
          <w:rFonts w:ascii="Times New Roman" w:hAnsi="Times New Roman" w:cs="Times New Roman"/>
          <w:color w:val="000000"/>
          <w:sz w:val="24"/>
          <w:szCs w:val="23"/>
          <w:shd w:val="clear" w:color="auto" w:fill="FFFFFF"/>
        </w:rPr>
        <w:t>Trunk v</w:t>
      </w:r>
      <w:r w:rsidR="00364A09" w:rsidRPr="00F22F79">
        <w:rPr>
          <w:rFonts w:ascii="Times New Roman" w:hAnsi="Times New Roman" w:cs="Times New Roman"/>
          <w:color w:val="000000"/>
          <w:sz w:val="24"/>
          <w:szCs w:val="23"/>
          <w:shd w:val="clear" w:color="auto" w:fill="FFFFFF"/>
        </w:rPr>
        <w:t xml:space="preserve">olume was calculated </w:t>
      </w:r>
      <w:r w:rsidR="00364A09">
        <w:rPr>
          <w:rFonts w:ascii="Times New Roman" w:hAnsi="Times New Roman" w:cs="Times New Roman"/>
          <w:color w:val="000000"/>
          <w:sz w:val="24"/>
          <w:szCs w:val="23"/>
          <w:shd w:val="clear" w:color="auto" w:fill="FFFFFF"/>
        </w:rPr>
        <w:t>by using</w:t>
      </w:r>
      <w:r w:rsidR="00364A09" w:rsidRPr="00F22F79">
        <w:rPr>
          <w:rFonts w:ascii="Times New Roman" w:hAnsi="Times New Roman" w:cs="Times New Roman"/>
          <w:color w:val="000000"/>
          <w:sz w:val="24"/>
          <w:szCs w:val="23"/>
          <w:shd w:val="clear" w:color="auto" w:fill="FFFFFF"/>
        </w:rPr>
        <w:t xml:space="preserve"> </w:t>
      </w:r>
      <w:sdt>
        <w:sdtPr>
          <w:tag w:val="goog_rdk_26"/>
          <w:id w:val="-164015466"/>
        </w:sdtPr>
        <w:sdtContent>
          <w:r w:rsidR="00364A09">
            <w:t>h</w:t>
          </w:r>
        </w:sdtContent>
      </w:sdt>
      <w:r w:rsidR="00364A09" w:rsidRPr="00F22F79">
        <w:rPr>
          <w:rFonts w:ascii="Times New Roman" w:hAnsi="Times New Roman" w:cs="Times New Roman"/>
          <w:color w:val="000000"/>
          <w:sz w:val="24"/>
          <w:szCs w:val="23"/>
          <w:shd w:val="clear" w:color="auto" w:fill="FFFFFF"/>
        </w:rPr>
        <w:t xml:space="preserve">eight </w:t>
      </w:r>
      <w:r w:rsidR="00364A09">
        <w:rPr>
          <w:rFonts w:ascii="Times New Roman" w:hAnsi="Times New Roman" w:cs="Times New Roman"/>
          <w:color w:val="000000"/>
          <w:sz w:val="24"/>
          <w:szCs w:val="23"/>
          <w:shd w:val="clear" w:color="auto" w:fill="FFFFFF"/>
        </w:rPr>
        <w:t>measured directly in field and trunk diameter expansion measured in real time with TreeTalkers IR distance sensor. Species dendrometric coefficients have been taking into account for the estimation of the trunk shape in the final calculation of biomass increment</w:t>
      </w:r>
      <w:r>
        <w:rPr>
          <w:rFonts w:ascii="Times New Roman" w:hAnsi="Times New Roman" w:cs="Times New Roman"/>
          <w:color w:val="000000"/>
          <w:sz w:val="24"/>
          <w:szCs w:val="23"/>
          <w:shd w:val="clear" w:color="auto" w:fill="FFFFFF"/>
        </w:rPr>
        <w:t>.</w:t>
      </w:r>
    </w:p>
    <w:p w14:paraId="41E0EACB" w14:textId="273DA3D5"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 xml:space="preserve">2.2.2. </w:t>
      </w:r>
      <w:r w:rsidR="00940AF6">
        <w:rPr>
          <w:rFonts w:ascii="Times New Roman" w:eastAsia="Times New Roman" w:hAnsi="Times New Roman" w:cs="Times New Roman"/>
          <w:i/>
          <w:sz w:val="24"/>
          <w:szCs w:val="24"/>
        </w:rPr>
        <w:t>Climate regulation via a</w:t>
      </w:r>
      <w:r w:rsidRPr="00D12ABE">
        <w:rPr>
          <w:rFonts w:ascii="Times New Roman" w:eastAsia="Times New Roman" w:hAnsi="Times New Roman" w:cs="Times New Roman"/>
          <w:i/>
          <w:sz w:val="24"/>
          <w:szCs w:val="24"/>
        </w:rPr>
        <w:t>ir temperature and humidity</w:t>
      </w:r>
    </w:p>
    <w:p w14:paraId="6C9C40FD" w14:textId="368F5E68" w:rsidR="00364A09" w:rsidRDefault="00364A09" w:rsidP="00E05C4D">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direct measurements of temperature and humidity changes based on the difference between data form thermo-hygrometers of individual TT, measuring climate parameters at 3 m height under the crown space and TT-R (reference outside station).</w:t>
      </w:r>
    </w:p>
    <w:p w14:paraId="4176228C" w14:textId="73D78DA8" w:rsidR="00364A09" w:rsidRDefault="00364A09" w:rsidP="00E05C4D">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xml:space="preserve">. </w:t>
      </w:r>
      <w:r w:rsidR="00940AF6">
        <w:rPr>
          <w:rFonts w:ascii="Times New Roman" w:eastAsia="Times New Roman" w:hAnsi="Times New Roman" w:cs="Times New Roman"/>
          <w:i/>
          <w:sz w:val="24"/>
          <w:szCs w:val="24"/>
        </w:rPr>
        <w:t xml:space="preserve">Energy consumption </w:t>
      </w:r>
      <w:r w:rsidR="00582C89">
        <w:rPr>
          <w:rFonts w:ascii="Times New Roman" w:eastAsia="Times New Roman" w:hAnsi="Times New Roman" w:cs="Times New Roman"/>
          <w:i/>
          <w:sz w:val="24"/>
          <w:szCs w:val="24"/>
        </w:rPr>
        <w:t>through</w:t>
      </w:r>
      <w:r w:rsidR="00940AF6">
        <w:rPr>
          <w:rFonts w:ascii="Times New Roman" w:eastAsia="Times New Roman" w:hAnsi="Times New Roman" w:cs="Times New Roman"/>
          <w:i/>
          <w:sz w:val="24"/>
          <w:szCs w:val="24"/>
        </w:rPr>
        <w:t xml:space="preserve"> transpiration</w:t>
      </w:r>
    </w:p>
    <w:p w14:paraId="1D3A25F1" w14:textId="77C1AF0E" w:rsidR="00940AF6" w:rsidRDefault="00940AF6" w:rsidP="00940AF6">
      <w:pPr>
        <w:spacing w:after="0"/>
        <w:jc w:val="both"/>
        <w:rPr>
          <w:rFonts w:ascii="Times New Roman" w:hAnsi="Times New Roman" w:cs="Times New Roman"/>
          <w:sz w:val="24"/>
          <w:szCs w:val="24"/>
        </w:rPr>
      </w:pPr>
      <w:r>
        <w:rPr>
          <w:rFonts w:ascii="Times New Roman" w:hAnsi="Times New Roman" w:cs="Times New Roman"/>
          <w:sz w:val="24"/>
          <w:szCs w:val="24"/>
        </w:rPr>
        <w:t>And t</w:t>
      </w:r>
      <w:r w:rsidRPr="00175DFD">
        <w:rPr>
          <w:rFonts w:ascii="Times New Roman" w:hAnsi="Times New Roman" w:cs="Times New Roman"/>
          <w:sz w:val="24"/>
          <w:szCs w:val="24"/>
        </w:rPr>
        <w:t>he energy absorbed by tree is the result of this equation:</w:t>
      </w:r>
      <w:r>
        <w:rPr>
          <w:rFonts w:ascii="Times New Roman" w:hAnsi="Times New Roman" w:cs="Times New Roman"/>
          <w:sz w:val="24"/>
          <w:szCs w:val="24"/>
        </w:rPr>
        <w:t xml:space="preserve"> </w:t>
      </w:r>
    </w:p>
    <w:tbl>
      <w:tblPr>
        <w:tblW w:w="5000" w:type="pct"/>
        <w:jc w:val="center"/>
        <w:tblCellMar>
          <w:left w:w="0" w:type="dxa"/>
          <w:right w:w="0" w:type="dxa"/>
        </w:tblCellMar>
        <w:tblLook w:val="04A0" w:firstRow="1" w:lastRow="0" w:firstColumn="1" w:lastColumn="0" w:noHBand="0" w:noVBand="1"/>
      </w:tblPr>
      <w:tblGrid>
        <w:gridCol w:w="8895"/>
        <w:gridCol w:w="460"/>
      </w:tblGrid>
      <w:tr w:rsidR="00940AF6" w:rsidRPr="009E46F1" w14:paraId="2CB5D2CA" w14:textId="77777777" w:rsidTr="00940AF6">
        <w:trPr>
          <w:jc w:val="center"/>
        </w:trPr>
        <w:tc>
          <w:tcPr>
            <w:tcW w:w="4754" w:type="pct"/>
          </w:tcPr>
          <w:p w14:paraId="5ACE585B" w14:textId="75FB0C10" w:rsidR="00940AF6" w:rsidRPr="009E46F1" w:rsidRDefault="00940AF6" w:rsidP="00940AF6">
            <w:pPr>
              <w:pStyle w:val="MDPI39equation"/>
            </w:pPr>
            <w:r>
              <w:rPr>
                <w:rFonts w:ascii="Times New Roman" w:hAnsi="Times New Roman"/>
                <w:sz w:val="24"/>
                <w:szCs w:val="24"/>
              </w:rPr>
              <w:t>L</w:t>
            </w:r>
            <w:r w:rsidRPr="00175DFD">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E,</w:t>
            </w:r>
          </w:p>
        </w:tc>
        <w:tc>
          <w:tcPr>
            <w:tcW w:w="246" w:type="pct"/>
            <w:vAlign w:val="center"/>
          </w:tcPr>
          <w:p w14:paraId="392071AD" w14:textId="77777777" w:rsidR="00940AF6" w:rsidRPr="009E46F1" w:rsidRDefault="00940AF6" w:rsidP="00940AF6">
            <w:pPr>
              <w:pStyle w:val="MDPI3aequationnumber"/>
              <w:spacing w:line="260" w:lineRule="atLeast"/>
            </w:pPr>
            <w:r>
              <w:t>(2</w:t>
            </w:r>
            <w:r w:rsidRPr="009E46F1">
              <w:t>)</w:t>
            </w:r>
          </w:p>
        </w:tc>
      </w:tr>
    </w:tbl>
    <w:p w14:paraId="4A8BF579" w14:textId="27836500" w:rsidR="00940AF6" w:rsidRPr="00D12ABE" w:rsidRDefault="00940AF6" w:rsidP="00E05C4D">
      <w:pPr>
        <w:spacing w:after="0"/>
        <w:jc w:val="both"/>
        <w:rPr>
          <w:rFonts w:ascii="Times New Roman" w:eastAsia="Times New Roman" w:hAnsi="Times New Roman" w:cs="Times New Roman"/>
          <w:i/>
          <w:sz w:val="24"/>
          <w:szCs w:val="24"/>
        </w:rPr>
      </w:pPr>
      <w:r w:rsidRPr="00175DFD">
        <w:rPr>
          <w:rFonts w:ascii="Times New Roman" w:hAnsi="Times New Roman" w:cs="Times New Roman"/>
          <w:sz w:val="24"/>
          <w:szCs w:val="24"/>
        </w:rPr>
        <w:t xml:space="preserve">where </w:t>
      </w:r>
      <w:r>
        <w:rPr>
          <w:rFonts w:ascii="Symbol" w:hAnsi="Symbol" w:cs="Times New Roman"/>
          <w:sz w:val="24"/>
          <w:szCs w:val="24"/>
        </w:rPr>
        <w:t></w:t>
      </w:r>
      <w:r>
        <w:rPr>
          <w:rFonts w:ascii="Times New Roman" w:hAnsi="Times New Roman" w:cs="Times New Roman"/>
          <w:sz w:val="24"/>
          <w:szCs w:val="24"/>
        </w:rPr>
        <w:t>E</w:t>
      </w:r>
      <w:r w:rsidRPr="00175DFD">
        <w:rPr>
          <w:rFonts w:ascii="Times New Roman" w:hAnsi="Times New Roman" w:cs="Times New Roman"/>
          <w:sz w:val="24"/>
          <w:szCs w:val="24"/>
        </w:rPr>
        <w:t xml:space="preserve"> is energy spent in transpiration (</w:t>
      </w:r>
      <w:r>
        <w:rPr>
          <w:rFonts w:ascii="Symbol" w:hAnsi="Symbol" w:cs="Times New Roman"/>
          <w:sz w:val="24"/>
          <w:szCs w:val="24"/>
        </w:rPr>
        <w:t></w:t>
      </w:r>
      <w:r>
        <w:rPr>
          <w:rFonts w:ascii="Symbol" w:hAnsi="Symbol" w:cs="Times New Roman"/>
          <w:sz w:val="24"/>
          <w:szCs w:val="24"/>
        </w:rPr>
        <w:t></w:t>
      </w:r>
      <w:r w:rsidRPr="00175DFD">
        <w:rPr>
          <w:rFonts w:ascii="Times New Roman" w:hAnsi="Times New Roman" w:cs="Times New Roman"/>
          <w:sz w:val="24"/>
          <w:szCs w:val="24"/>
        </w:rPr>
        <w:t xml:space="preserve">the latent heat for vaporization of water = 2264.705 </w:t>
      </w:r>
      <w:commentRangeStart w:id="5"/>
      <w:r w:rsidRPr="00175DFD">
        <w:rPr>
          <w:rFonts w:ascii="Times New Roman" w:hAnsi="Times New Roman" w:cs="Times New Roman"/>
          <w:sz w:val="24"/>
          <w:szCs w:val="24"/>
        </w:rPr>
        <w:t>KJ</w:t>
      </w:r>
      <w:commentRangeEnd w:id="5"/>
      <w:r>
        <w:rPr>
          <w:rStyle w:val="a7"/>
        </w:rPr>
        <w:commentReference w:id="5"/>
      </w:r>
      <w:r w:rsidRPr="00175DFD">
        <w:rPr>
          <w:rFonts w:ascii="Times New Roman" w:hAnsi="Times New Roman" w:cs="Times New Roman"/>
          <w:sz w:val="24"/>
          <w:szCs w:val="24"/>
        </w:rPr>
        <w:t>/K</w:t>
      </w:r>
      <w:r>
        <w:rPr>
          <w:rFonts w:ascii="Times New Roman" w:hAnsi="Times New Roman" w:cs="Times New Roman"/>
          <w:sz w:val="24"/>
          <w:szCs w:val="24"/>
        </w:rPr>
        <w:t>g</w:t>
      </w:r>
      <w:r w:rsidRPr="00175DFD">
        <w:rPr>
          <w:rFonts w:ascii="Times New Roman" w:hAnsi="Times New Roman" w:cs="Times New Roman"/>
          <w:sz w:val="24"/>
          <w:szCs w:val="24"/>
        </w:rPr>
        <w:t>)</w:t>
      </w:r>
      <w:r>
        <w:rPr>
          <w:rFonts w:ascii="Times New Roman" w:hAnsi="Times New Roman" w:cs="Times New Roman"/>
          <w:sz w:val="24"/>
          <w:szCs w:val="24"/>
        </w:rPr>
        <w:t>, E – evapotranspiration, and E=…(sap flux)?</w:t>
      </w:r>
    </w:p>
    <w:p w14:paraId="246E0E60" w14:textId="24BB5659" w:rsidR="00940AF6" w:rsidRDefault="00F22F79" w:rsidP="00940AF6">
      <w:pPr>
        <w:spacing w:after="0"/>
        <w:jc w:val="both"/>
        <w:rPr>
          <w:rFonts w:ascii="Times New Roman" w:eastAsia="Times New Roman" w:hAnsi="Times New Roman" w:cs="Times New Roman"/>
          <w:i/>
          <w:sz w:val="24"/>
          <w:szCs w:val="24"/>
        </w:rPr>
      </w:pPr>
      <w:bookmarkStart w:id="6" w:name="_heading=h.30j0zll" w:colFirst="0" w:colLast="0"/>
      <w:bookmarkEnd w:id="6"/>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w:t>
      </w:r>
      <w:r w:rsidR="00940AF6">
        <w:rPr>
          <w:rFonts w:ascii="Times New Roman" w:eastAsia="Times New Roman" w:hAnsi="Times New Roman" w:cs="Times New Roman"/>
          <w:i/>
          <w:sz w:val="24"/>
          <w:szCs w:val="24"/>
        </w:rPr>
        <w:t xml:space="preserve">Run-off mitigation </w:t>
      </w:r>
      <w:r w:rsidR="00582C89">
        <w:rPr>
          <w:rFonts w:ascii="Times New Roman" w:eastAsia="Times New Roman" w:hAnsi="Times New Roman" w:cs="Times New Roman"/>
          <w:i/>
          <w:sz w:val="24"/>
          <w:szCs w:val="24"/>
        </w:rPr>
        <w:t>via</w:t>
      </w:r>
      <w:r w:rsidR="00940AF6">
        <w:rPr>
          <w:rFonts w:ascii="Times New Roman" w:eastAsia="Times New Roman" w:hAnsi="Times New Roman" w:cs="Times New Roman"/>
          <w:i/>
          <w:sz w:val="24"/>
          <w:szCs w:val="24"/>
        </w:rPr>
        <w:t xml:space="preserve"> transpiration</w:t>
      </w:r>
    </w:p>
    <w:p w14:paraId="6F45C770" w14:textId="7E69D1C6" w:rsidR="00B033F6" w:rsidRPr="00951AE6" w:rsidRDefault="00B033F6" w:rsidP="003D3103">
      <w:pPr>
        <w:spacing w:after="0"/>
        <w:jc w:val="both"/>
        <w:rPr>
          <w:rFonts w:ascii="Times New Roman" w:eastAsia="Times New Roman" w:hAnsi="Times New Roman" w:cs="Times New Roman"/>
          <w:sz w:val="24"/>
          <w:szCs w:val="24"/>
          <w:highlight w:val="yellow"/>
        </w:rPr>
      </w:pPr>
      <w:r w:rsidRPr="00951AE6">
        <w:rPr>
          <w:rFonts w:ascii="Times New Roman" w:eastAsia="Times New Roman" w:hAnsi="Times New Roman" w:cs="Times New Roman"/>
          <w:sz w:val="24"/>
          <w:szCs w:val="24"/>
          <w:highlight w:val="yellow"/>
        </w:rPr>
        <w:t xml:space="preserve">Each TT+ has two </w:t>
      </w:r>
      <w:r w:rsidRPr="00951AE6">
        <w:rPr>
          <w:rFonts w:ascii="Times New Roman" w:eastAsia="Times New Roman" w:hAnsi="Times New Roman" w:cs="Times New Roman"/>
          <w:sz w:val="24"/>
          <w:szCs w:val="24"/>
          <w:highlight w:val="yellow"/>
        </w:rPr>
        <w:t xml:space="preserve"> heat dissipation sensor</w:t>
      </w:r>
      <w:r w:rsidR="00A02D49" w:rsidRPr="00951AE6">
        <w:rPr>
          <w:rFonts w:ascii="Times New Roman" w:eastAsia="Times New Roman" w:hAnsi="Times New Roman" w:cs="Times New Roman"/>
          <w:sz w:val="24"/>
          <w:szCs w:val="24"/>
          <w:highlight w:val="yellow"/>
        </w:rPr>
        <w:t>s</w:t>
      </w:r>
      <w:r w:rsidRPr="00951AE6">
        <w:rPr>
          <w:rFonts w:ascii="Times New Roman" w:eastAsia="Times New Roman" w:hAnsi="Times New Roman" w:cs="Times New Roman"/>
          <w:sz w:val="24"/>
          <w:szCs w:val="24"/>
          <w:highlight w:val="yellow"/>
        </w:rPr>
        <w:t xml:space="preserve"> (Granier 1985) </w:t>
      </w:r>
      <w:r w:rsidR="00A02D49" w:rsidRPr="00951AE6">
        <w:rPr>
          <w:rFonts w:ascii="Times New Roman" w:eastAsia="Times New Roman" w:hAnsi="Times New Roman" w:cs="Times New Roman"/>
          <w:sz w:val="24"/>
          <w:szCs w:val="24"/>
          <w:highlight w:val="yellow"/>
        </w:rPr>
        <w:t xml:space="preserve">which </w:t>
      </w:r>
      <w:r w:rsidRPr="00951AE6">
        <w:rPr>
          <w:rFonts w:ascii="Times New Roman" w:eastAsia="Times New Roman" w:hAnsi="Times New Roman" w:cs="Times New Roman"/>
          <w:sz w:val="24"/>
          <w:szCs w:val="24"/>
          <w:highlight w:val="yellow"/>
        </w:rPr>
        <w:t>was</w:t>
      </w:r>
      <w:r w:rsidR="00A02D49" w:rsidRPr="00951AE6">
        <w:rPr>
          <w:rFonts w:ascii="Times New Roman" w:eastAsia="Times New Roman" w:hAnsi="Times New Roman" w:cs="Times New Roman"/>
          <w:sz w:val="24"/>
          <w:szCs w:val="24"/>
          <w:highlight w:val="yellow"/>
        </w:rPr>
        <w:t xml:space="preserve"> installed into the tree trunk at the vertical and horizontal distance 10 cm. Sensor has diameter 3mm each and was installed at the depth 3cm. TT+ heat dissipation sensors on all trees was installed on the northern side of the trunk at the 3.5m height and was well protected from direct sun heating by canopy.</w:t>
      </w:r>
      <w:r w:rsidR="003D3103" w:rsidRPr="00951AE6">
        <w:rPr>
          <w:rFonts w:ascii="Times New Roman" w:eastAsia="Times New Roman" w:hAnsi="Times New Roman" w:cs="Times New Roman"/>
          <w:sz w:val="24"/>
          <w:szCs w:val="24"/>
          <w:highlight w:val="yellow"/>
        </w:rPr>
        <w:t xml:space="preserve"> All sensors data was collected by TT+ at 10 min intervals and sent to server every 90 minutes.</w:t>
      </w:r>
    </w:p>
    <w:p w14:paraId="04D9AC03" w14:textId="1CD56345" w:rsidR="00B033F6" w:rsidRPr="00940AF6" w:rsidRDefault="00B033F6" w:rsidP="00E47A25">
      <w:pPr>
        <w:spacing w:after="0"/>
        <w:jc w:val="both"/>
        <w:rPr>
          <w:rFonts w:ascii="Times New Roman" w:eastAsia="Times New Roman" w:hAnsi="Times New Roman" w:cs="Times New Roman"/>
          <w:sz w:val="24"/>
          <w:szCs w:val="24"/>
        </w:rPr>
      </w:pPr>
      <w:r w:rsidRPr="00951AE6">
        <w:rPr>
          <w:rFonts w:ascii="Times New Roman" w:eastAsia="Times New Roman" w:hAnsi="Times New Roman" w:cs="Times New Roman"/>
          <w:sz w:val="24"/>
          <w:szCs w:val="24"/>
          <w:highlight w:val="yellow"/>
        </w:rPr>
        <w:t>Sap flow</w:t>
      </w:r>
      <w:r w:rsidR="00E47A25" w:rsidRPr="00951AE6">
        <w:rPr>
          <w:rFonts w:ascii="Times New Roman" w:eastAsia="Times New Roman" w:hAnsi="Times New Roman" w:cs="Times New Roman"/>
          <w:sz w:val="24"/>
          <w:szCs w:val="24"/>
          <w:highlight w:val="yellow"/>
        </w:rPr>
        <w:t xml:space="preserve"> density </w:t>
      </w:r>
      <w:r w:rsidRPr="00951AE6">
        <w:rPr>
          <w:rFonts w:ascii="Times New Roman" w:eastAsia="Times New Roman" w:hAnsi="Times New Roman" w:cs="Times New Roman"/>
          <w:sz w:val="24"/>
          <w:szCs w:val="24"/>
          <w:highlight w:val="yellow"/>
        </w:rPr>
        <w:t xml:space="preserve">at </w:t>
      </w:r>
      <w:r w:rsidR="003D3103" w:rsidRPr="00951AE6">
        <w:rPr>
          <w:rFonts w:ascii="Times New Roman" w:eastAsia="Times New Roman" w:hAnsi="Times New Roman" w:cs="Times New Roman"/>
          <w:sz w:val="24"/>
          <w:szCs w:val="24"/>
          <w:highlight w:val="yellow"/>
        </w:rPr>
        <w:t>9</w:t>
      </w:r>
      <w:r w:rsidRPr="00951AE6">
        <w:rPr>
          <w:rFonts w:ascii="Times New Roman" w:eastAsia="Times New Roman" w:hAnsi="Times New Roman" w:cs="Times New Roman"/>
          <w:sz w:val="24"/>
          <w:szCs w:val="24"/>
          <w:highlight w:val="yellow"/>
        </w:rPr>
        <w:t>0-min</w:t>
      </w:r>
      <w:r w:rsidR="003D3103" w:rsidRPr="00951AE6">
        <w:rPr>
          <w:rFonts w:ascii="Times New Roman" w:eastAsia="Times New Roman" w:hAnsi="Times New Roman" w:cs="Times New Roman"/>
          <w:sz w:val="24"/>
          <w:szCs w:val="24"/>
          <w:highlight w:val="yellow"/>
        </w:rPr>
        <w:t>utes</w:t>
      </w:r>
      <w:r w:rsidRPr="00951AE6">
        <w:rPr>
          <w:rFonts w:ascii="Times New Roman" w:eastAsia="Times New Roman" w:hAnsi="Times New Roman" w:cs="Times New Roman"/>
          <w:sz w:val="24"/>
          <w:szCs w:val="24"/>
          <w:highlight w:val="yellow"/>
        </w:rPr>
        <w:t xml:space="preserve"> intervals was calculated according to Granier’s </w:t>
      </w:r>
      <w:r w:rsidR="003D3103" w:rsidRPr="00951AE6">
        <w:rPr>
          <w:rFonts w:ascii="Times New Roman" w:eastAsia="Times New Roman" w:hAnsi="Times New Roman" w:cs="Times New Roman"/>
          <w:sz w:val="24"/>
          <w:szCs w:val="24"/>
          <w:highlight w:val="yellow"/>
        </w:rPr>
        <w:t xml:space="preserve">ΔTmax approach – maximum difference </w:t>
      </w:r>
      <w:r w:rsidRPr="00951AE6">
        <w:rPr>
          <w:rFonts w:ascii="Times New Roman" w:eastAsia="Times New Roman" w:hAnsi="Times New Roman" w:cs="Times New Roman"/>
          <w:sz w:val="24"/>
          <w:szCs w:val="24"/>
          <w:highlight w:val="yellow"/>
        </w:rPr>
        <w:t>between</w:t>
      </w:r>
      <w:r w:rsidR="003D3103" w:rsidRPr="00951AE6">
        <w:rPr>
          <w:rFonts w:ascii="Times New Roman" w:eastAsia="Times New Roman" w:hAnsi="Times New Roman" w:cs="Times New Roman"/>
          <w:sz w:val="24"/>
          <w:szCs w:val="24"/>
          <w:highlight w:val="yellow"/>
        </w:rPr>
        <w:t xml:space="preserve"> </w:t>
      </w:r>
      <w:r w:rsidRPr="00951AE6">
        <w:rPr>
          <w:rFonts w:ascii="Times New Roman" w:eastAsia="Times New Roman" w:hAnsi="Times New Roman" w:cs="Times New Roman"/>
          <w:sz w:val="24"/>
          <w:szCs w:val="24"/>
          <w:highlight w:val="yellow"/>
        </w:rPr>
        <w:t xml:space="preserve">heated and reference sensor </w:t>
      </w:r>
      <w:r w:rsidR="003D3103" w:rsidRPr="00951AE6">
        <w:rPr>
          <w:rFonts w:ascii="Times New Roman" w:eastAsia="Times New Roman" w:hAnsi="Times New Roman" w:cs="Times New Roman"/>
          <w:sz w:val="24"/>
          <w:szCs w:val="24"/>
          <w:highlight w:val="yellow"/>
        </w:rPr>
        <w:t xml:space="preserve">was associated with minimal </w:t>
      </w:r>
      <w:r w:rsidRPr="00951AE6">
        <w:rPr>
          <w:rFonts w:ascii="Times New Roman" w:eastAsia="Times New Roman" w:hAnsi="Times New Roman" w:cs="Times New Roman"/>
          <w:sz w:val="24"/>
          <w:szCs w:val="24"/>
          <w:highlight w:val="yellow"/>
        </w:rPr>
        <w:t>flow condition</w:t>
      </w:r>
      <w:r w:rsidR="003D3103" w:rsidRPr="00951AE6">
        <w:rPr>
          <w:rFonts w:ascii="Times New Roman" w:eastAsia="Times New Roman" w:hAnsi="Times New Roman" w:cs="Times New Roman"/>
          <w:sz w:val="24"/>
          <w:szCs w:val="24"/>
          <w:highlight w:val="yellow"/>
        </w:rPr>
        <w:t>.</w:t>
      </w:r>
      <w:r w:rsidRPr="00951AE6">
        <w:rPr>
          <w:rFonts w:ascii="Times New Roman" w:eastAsia="Times New Roman" w:hAnsi="Times New Roman" w:cs="Times New Roman"/>
          <w:sz w:val="24"/>
          <w:szCs w:val="24"/>
          <w:highlight w:val="yellow"/>
        </w:rPr>
        <w:t xml:space="preserve"> </w:t>
      </w:r>
      <w:r w:rsidR="003D3103" w:rsidRPr="00951AE6">
        <w:rPr>
          <w:rFonts w:ascii="Times New Roman" w:eastAsia="Times New Roman" w:hAnsi="Times New Roman" w:cs="Times New Roman"/>
          <w:sz w:val="24"/>
          <w:szCs w:val="24"/>
          <w:highlight w:val="yellow"/>
        </w:rPr>
        <w:t xml:space="preserve">Sap wood area for each tree was assessed according to </w:t>
      </w:r>
      <w:r w:rsidR="00E47A25" w:rsidRPr="00951AE6">
        <w:rPr>
          <w:rFonts w:ascii="Times New Roman" w:eastAsia="Times New Roman" w:hAnsi="Times New Roman" w:cs="Times New Roman"/>
          <w:sz w:val="24"/>
          <w:szCs w:val="24"/>
          <w:highlight w:val="yellow"/>
        </w:rPr>
        <w:t>couple of s</w:t>
      </w:r>
      <w:r w:rsidR="00E47A25" w:rsidRPr="00951AE6">
        <w:rPr>
          <w:rFonts w:ascii="Times New Roman" w:eastAsia="Times New Roman" w:hAnsi="Times New Roman" w:cs="Times New Roman"/>
          <w:sz w:val="24"/>
          <w:szCs w:val="24"/>
          <w:highlight w:val="yellow"/>
        </w:rPr>
        <w:t xml:space="preserve">tem wood cores </w:t>
      </w:r>
      <w:r w:rsidR="00E47A25" w:rsidRPr="00951AE6">
        <w:rPr>
          <w:rFonts w:ascii="Times New Roman" w:eastAsia="Times New Roman" w:hAnsi="Times New Roman" w:cs="Times New Roman"/>
          <w:sz w:val="24"/>
          <w:szCs w:val="24"/>
          <w:highlight w:val="yellow"/>
        </w:rPr>
        <w:t>taken from each tree. S</w:t>
      </w:r>
      <w:r w:rsidRPr="00951AE6">
        <w:rPr>
          <w:rFonts w:ascii="Times New Roman" w:eastAsia="Times New Roman" w:hAnsi="Times New Roman" w:cs="Times New Roman"/>
          <w:sz w:val="24"/>
          <w:szCs w:val="24"/>
          <w:highlight w:val="yellow"/>
        </w:rPr>
        <w:t xml:space="preserve">ap flow </w:t>
      </w:r>
      <w:r w:rsidR="00E47A25" w:rsidRPr="00951AE6">
        <w:rPr>
          <w:rFonts w:ascii="Times New Roman" w:eastAsia="Times New Roman" w:hAnsi="Times New Roman" w:cs="Times New Roman"/>
          <w:sz w:val="24"/>
          <w:szCs w:val="24"/>
          <w:highlight w:val="yellow"/>
        </w:rPr>
        <w:t xml:space="preserve">was calculated with assumption </w:t>
      </w:r>
      <w:r w:rsidRPr="00951AE6">
        <w:rPr>
          <w:rFonts w:ascii="Times New Roman" w:eastAsia="Times New Roman" w:hAnsi="Times New Roman" w:cs="Times New Roman"/>
          <w:sz w:val="24"/>
          <w:szCs w:val="24"/>
          <w:highlight w:val="yellow"/>
        </w:rPr>
        <w:t xml:space="preserve">that the whole </w:t>
      </w:r>
      <w:r w:rsidR="00E47A25" w:rsidRPr="00951AE6">
        <w:rPr>
          <w:rFonts w:ascii="Times New Roman" w:eastAsia="Times New Roman" w:hAnsi="Times New Roman" w:cs="Times New Roman"/>
          <w:sz w:val="24"/>
          <w:szCs w:val="24"/>
          <w:highlight w:val="yellow"/>
        </w:rPr>
        <w:t xml:space="preserve">trunk </w:t>
      </w:r>
      <w:r w:rsidRPr="00951AE6">
        <w:rPr>
          <w:rFonts w:ascii="Times New Roman" w:eastAsia="Times New Roman" w:hAnsi="Times New Roman" w:cs="Times New Roman"/>
          <w:sz w:val="24"/>
          <w:szCs w:val="24"/>
          <w:highlight w:val="yellow"/>
        </w:rPr>
        <w:t xml:space="preserve">sapwood </w:t>
      </w:r>
      <w:r w:rsidR="00E47A25" w:rsidRPr="00951AE6">
        <w:rPr>
          <w:rFonts w:ascii="Times New Roman" w:eastAsia="Times New Roman" w:hAnsi="Times New Roman" w:cs="Times New Roman"/>
          <w:sz w:val="24"/>
          <w:szCs w:val="24"/>
          <w:highlight w:val="yellow"/>
        </w:rPr>
        <w:t xml:space="preserve">area was </w:t>
      </w:r>
      <w:r w:rsidRPr="00951AE6">
        <w:rPr>
          <w:rFonts w:ascii="Times New Roman" w:eastAsia="Times New Roman" w:hAnsi="Times New Roman" w:cs="Times New Roman"/>
          <w:sz w:val="24"/>
          <w:szCs w:val="24"/>
          <w:highlight w:val="yellow"/>
        </w:rPr>
        <w:t>conduct</w:t>
      </w:r>
      <w:r w:rsidR="00E47A25" w:rsidRPr="00951AE6">
        <w:rPr>
          <w:rFonts w:ascii="Times New Roman" w:eastAsia="Times New Roman" w:hAnsi="Times New Roman" w:cs="Times New Roman"/>
          <w:sz w:val="24"/>
          <w:szCs w:val="24"/>
          <w:highlight w:val="yellow"/>
        </w:rPr>
        <w:t>ing water.</w:t>
      </w:r>
      <w:r w:rsidR="00951AE6">
        <w:rPr>
          <w:rFonts w:ascii="Times New Roman" w:eastAsia="Times New Roman" w:hAnsi="Times New Roman" w:cs="Times New Roman"/>
          <w:sz w:val="24"/>
          <w:szCs w:val="24"/>
        </w:rPr>
        <w:t xml:space="preserve"> </w:t>
      </w:r>
      <w:r w:rsidR="00951AE6" w:rsidRPr="00951AE6">
        <w:rPr>
          <w:rFonts w:ascii="Times New Roman" w:eastAsia="Times New Roman" w:hAnsi="Times New Roman" w:cs="Times New Roman"/>
          <w:sz w:val="24"/>
          <w:szCs w:val="24"/>
          <w:highlight w:val="yellow"/>
        </w:rPr>
        <w:t>It was assumed that daily transpiration is equal to daily sum of sap flow. Transpiration was normalized to each tree canopy area and compared with precipitation from closest meteorological station.</w:t>
      </w:r>
      <w:r w:rsidR="00951AE6">
        <w:rPr>
          <w:rFonts w:ascii="Times New Roman" w:eastAsia="Times New Roman" w:hAnsi="Times New Roman" w:cs="Times New Roman"/>
          <w:sz w:val="24"/>
          <w:szCs w:val="24"/>
        </w:rPr>
        <w:t xml:space="preserve"> </w:t>
      </w: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13AF7745" w:rsidR="004656A4" w:rsidRDefault="006A565F" w:rsidP="00E05C4D">
      <w:pPr>
        <w:spacing w:after="0"/>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There are a lot of different methods and protocols to estimate LAI </w:t>
      </w:r>
      <w:r>
        <w:rPr>
          <w:rFonts w:ascii="Times New Roman" w:eastAsia="Times New Roman" w:hAnsi="Times New Roman" w:cs="Times New Roman"/>
          <w:iCs/>
          <w:sz w:val="24"/>
          <w:szCs w:val="24"/>
        </w:rPr>
        <w:fldChar w:fldCharType="begin"/>
      </w:r>
      <w:r w:rsidR="00802C4E">
        <w:rPr>
          <w:rFonts w:ascii="Times New Roman" w:eastAsia="Times New Roman" w:hAnsi="Times New Roman" w:cs="Times New Roman"/>
          <w:iCs/>
          <w:sz w:val="24"/>
          <w:szCs w:val="24"/>
        </w:rPr>
        <w:instrText xml:space="preserve"> ADDIN ZOTERO_ITEM CSL_CITATION {"citationID":"ot65UBjx","properties":{"formattedCitation":"(X. Wang et al., 2019; Yan et al., 2019)","plainCitation":"(X. Wang et al., 2019; Yan et al., 2019)","noteIndex":0},"citationItems":[{"id":2154,"uris":["http://zotero.org/users/3524663/items/Z8VRLV6A"],"uri":["http://zotero.org/users/3524663/items/Z8VRLV6A"],"itemData":{"id":2154,"type":"article-journal","abstract":"The leaf litter collection method is often used as a baseline for assessing leaf area index (LAI) measurements in forests by optical methods, but diﬀerent protocols for measuring speciﬁc leaf area (SLA) may introduce biases in stand-level LAI estimates, which have not been quantiﬁed yet. To develop a standardized protocol for measuring SLA of leaf litter for estimating LAI via litterfall collection, we quantiﬁed the relative errors (RE) in the SLA measurements introduced by six protocols commonly-used in the literature with 46 deciduous woody species in a temperate forest, and assessed the stand-level LAI estimates derived from the SLA with eight permanent plots in the forest. The mean leaf area shrinkage from the litter collection across the species varied from 7.31 – 25.41% among the protocols, while the mean leaf mass loss varied from 2.07 – 24.68%. Compared with the reference, the mean RE of SLA introduced by the rest ﬁve protocols varied from −25.59 – 7.18%, and the subsequent RE of the stand-level LAI varied from −32.43 – 8.97%. We recommended a practical and reliable protocol for measuring SLA from leaf litter, i.e., weighing the dry mass ﬁrst, then measuring the leaf area after rehydration with wetﬁlter-papers, and ﬁnally correcting for the leaf area shrinkage relative to the green leaf. We also provided general models for correcting for the SLA biases due to area shrinkage and mass loss of senesced leaves in temperate forests. Our ﬁndings will extend the direct measurements of LAI and improve the estimation of carbon and nutrient budgets in forest ecosystems.","container-title":"Forest Ecology and Management","DOI":"10.1016/j.foreco.2019.05.050","ISSN":"03781127","language":"en","page":"87-94","source":"Crossref","title":"Towards a standardized protocol for measuring leaf area index in deciduous forests with litterfall collection","volume":"447","author":[{"family":"Wang","given":"Xingchang"},{"family":"Liu","given":"Fan"},{"family":"Wang","given":"Chuankuan"}],"issued":{"date-parts":[["2019",9]]}}},{"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Pr>
          <w:rFonts w:ascii="Times New Roman" w:eastAsia="Times New Roman" w:hAnsi="Times New Roman" w:cs="Times New Roman"/>
          <w:iCs/>
          <w:sz w:val="24"/>
          <w:szCs w:val="24"/>
        </w:rPr>
        <w:fldChar w:fldCharType="separate"/>
      </w:r>
      <w:r w:rsidR="00802C4E" w:rsidRPr="00802C4E">
        <w:rPr>
          <w:rFonts w:ascii="Times New Roman" w:hAnsi="Times New Roman" w:cs="Times New Roman"/>
          <w:sz w:val="24"/>
        </w:rPr>
        <w:t>(X. Wang et al., 2019; Yan et al., 2019)</w:t>
      </w:r>
      <w:r>
        <w:rPr>
          <w:rFonts w:ascii="Times New Roman" w:eastAsia="Times New Roman" w:hAnsi="Times New Roman" w:cs="Times New Roman"/>
          <w:iCs/>
          <w:sz w:val="24"/>
          <w:szCs w:val="24"/>
        </w:rPr>
        <w:fldChar w:fldCharType="end"/>
      </w:r>
      <w:r>
        <w:rPr>
          <w:rFonts w:ascii="Times New Roman" w:eastAsia="Times New Roman" w:hAnsi="Times New Roman" w:cs="Times New Roman"/>
          <w:iCs/>
          <w:sz w:val="24"/>
          <w:szCs w:val="24"/>
        </w:rPr>
        <w:t xml:space="preserve">. </w:t>
      </w:r>
      <w:r w:rsidR="00900D61" w:rsidRPr="003F4AEE">
        <w:rPr>
          <w:rFonts w:ascii="Times New Roman" w:eastAsia="Times New Roman" w:hAnsi="Times New Roman" w:cs="Times New Roman"/>
          <w:iCs/>
          <w:sz w:val="24"/>
          <w:szCs w:val="24"/>
        </w:rPr>
        <w:t xml:space="preserve">According to </w:t>
      </w:r>
      <w:r w:rsidR="00900D61" w:rsidRPr="00582C89">
        <w:rPr>
          <w:rFonts w:ascii="Times New Roman" w:eastAsia="Times New Roman" w:hAnsi="Times New Roman" w:cs="Times New Roman"/>
          <w:iCs/>
          <w:sz w:val="24"/>
          <w:szCs w:val="24"/>
        </w:rPr>
        <w:t>Monsi and Saeki (1953)</w:t>
      </w:r>
      <w:r w:rsidR="00900D61"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light transmission through </w:t>
      </w:r>
      <w:r w:rsidR="00900D61" w:rsidRPr="003F4AEE">
        <w:rPr>
          <w:rFonts w:ascii="Times New Roman" w:eastAsia="Times New Roman" w:hAnsi="Times New Roman" w:cs="Times New Roman"/>
          <w:iCs/>
          <w:sz w:val="24"/>
          <w:szCs w:val="24"/>
        </w:rPr>
        <w:t>c</w:t>
      </w:r>
      <w:r w:rsidR="004656A4" w:rsidRPr="003F4AEE">
        <w:rPr>
          <w:rFonts w:ascii="Times New Roman" w:eastAsia="Times New Roman" w:hAnsi="Times New Roman" w:cs="Times New Roman"/>
          <w:iCs/>
          <w:sz w:val="24"/>
          <w:szCs w:val="24"/>
        </w:rPr>
        <w:t>anopy as porous media can be</w:t>
      </w:r>
      <w:r w:rsidR="00B30CF7">
        <w:rPr>
          <w:rFonts w:ascii="Times New Roman" w:eastAsia="Times New Roman" w:hAnsi="Times New Roman" w:cs="Times New Roman"/>
          <w:iCs/>
          <w:sz w:val="24"/>
          <w:szCs w:val="24"/>
        </w:rPr>
        <w:t xml:space="preserve"> treated according to the</w:t>
      </w:r>
      <w:r w:rsidR="0039589E">
        <w:rPr>
          <w:rFonts w:ascii="Times New Roman" w:eastAsia="Times New Roman" w:hAnsi="Times New Roman" w:cs="Times New Roman"/>
          <w:iCs/>
          <w:sz w:val="24"/>
          <w:szCs w:val="24"/>
        </w:rPr>
        <w:t xml:space="preserve"> </w:t>
      </w:r>
      <w:r w:rsidR="004656A4" w:rsidRPr="003F4AEE">
        <w:rPr>
          <w:rFonts w:ascii="Times New Roman" w:eastAsia="Times New Roman" w:hAnsi="Times New Roman" w:cs="Times New Roman"/>
          <w:iCs/>
          <w:sz w:val="24"/>
          <w:szCs w:val="24"/>
        </w:rPr>
        <w:t>Beers la</w:t>
      </w:r>
      <w:r w:rsidR="000936AE" w:rsidRPr="003F4AEE">
        <w:rPr>
          <w:rFonts w:ascii="Times New Roman" w:eastAsia="Times New Roman" w:hAnsi="Times New Roman" w:cs="Times New Roman"/>
          <w:iCs/>
          <w:sz w:val="24"/>
          <w:szCs w:val="24"/>
        </w:rPr>
        <w:t>w.</w:t>
      </w:r>
      <w:r w:rsidR="00B30CF7">
        <w:rPr>
          <w:rFonts w:ascii="Times New Roman" w:eastAsia="Times New Roman" w:hAnsi="Times New Roman" w:cs="Times New Roman"/>
          <w:iCs/>
          <w:sz w:val="24"/>
          <w:szCs w:val="24"/>
        </w:rPr>
        <w:t xml:space="preserve"> In this way LAI can be estimated</w:t>
      </w:r>
      <w:r w:rsidR="00900D61"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by the extinction of photosynthetic light radiation through the canopy</w:t>
      </w:r>
      <w:r w:rsidR="00073E32">
        <w:rPr>
          <w:rFonts w:ascii="Times New Roman" w:eastAsia="Times New Roman" w:hAnsi="Times New Roman" w:cs="Times New Roman"/>
          <w:iCs/>
          <w:sz w:val="24"/>
          <w:szCs w:val="24"/>
        </w:rPr>
        <w:t xml:space="preserve"> </w:t>
      </w:r>
      <w:r w:rsidR="00073E32">
        <w:rPr>
          <w:rFonts w:ascii="Times New Roman" w:eastAsia="Times New Roman" w:hAnsi="Times New Roman" w:cs="Times New Roman"/>
          <w:iCs/>
          <w:sz w:val="24"/>
          <w:szCs w:val="24"/>
        </w:rPr>
        <w:fldChar w:fldCharType="begin"/>
      </w:r>
      <w:r w:rsidR="00073E32">
        <w:rPr>
          <w:rFonts w:ascii="Times New Roman" w:eastAsia="Times New Roman" w:hAnsi="Times New Roman" w:cs="Times New Roman"/>
          <w:iCs/>
          <w:sz w:val="24"/>
          <w:szCs w:val="24"/>
        </w:rPr>
        <w:instrText xml:space="preserve"> ADDIN ZOTERO_ITEM CSL_CITATION {"citationID":"6z8wOXGg","properties":{"formattedCitation":"(Neinavaz et al., 2016)","plainCitation":"(Neinavaz et al., 2016)","noteIndex":0},"citationItems":[{"id":2145,"uris":["http://zotero.org/users/3524663/items/L5Q6LVNK"],"uri":["http://zotero.org/users/3524663/items/L5Q6LVNK"],"itemData":{"id":2145,"type":"article-journal","abstract":"Leaf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A."}],"issued":{"date-parts":[["2016",9]]}}}],"schema":"https://github.com/citation-style-language/schema/raw/master/csl-citation.json"} </w:instrText>
      </w:r>
      <w:r w:rsidR="00073E32">
        <w:rPr>
          <w:rFonts w:ascii="Times New Roman" w:eastAsia="Times New Roman" w:hAnsi="Times New Roman" w:cs="Times New Roman"/>
          <w:iCs/>
          <w:sz w:val="24"/>
          <w:szCs w:val="24"/>
        </w:rPr>
        <w:fldChar w:fldCharType="separate"/>
      </w:r>
      <w:r w:rsidR="00073E32" w:rsidRPr="00073E32">
        <w:rPr>
          <w:rFonts w:ascii="Times New Roman" w:hAnsi="Times New Roman" w:cs="Times New Roman"/>
          <w:sz w:val="24"/>
        </w:rPr>
        <w:t>(Neinavaz et al., 2016)</w:t>
      </w:r>
      <w:r w:rsidR="00073E32">
        <w:rPr>
          <w:rFonts w:ascii="Times New Roman" w:eastAsia="Times New Roman" w:hAnsi="Times New Roman" w:cs="Times New Roman"/>
          <w:iCs/>
          <w:sz w:val="24"/>
          <w:szCs w:val="24"/>
        </w:rPr>
        <w:fldChar w:fldCharType="end"/>
      </w:r>
      <w:r w:rsidR="00B30CF7">
        <w:rPr>
          <w:rFonts w:ascii="Times New Roman" w:eastAsia="Times New Roman" w:hAnsi="Times New Roman" w:cs="Times New Roman"/>
          <w:iCs/>
          <w:sz w:val="24"/>
          <w:szCs w:val="24"/>
        </w:rPr>
        <w:t>. P</w:t>
      </w:r>
      <w:r w:rsidR="008C338F" w:rsidRPr="003F4AEE">
        <w:rPr>
          <w:rFonts w:ascii="Times New Roman" w:eastAsia="Times New Roman" w:hAnsi="Times New Roman" w:cs="Times New Roman"/>
          <w:iCs/>
          <w:sz w:val="24"/>
          <w:szCs w:val="24"/>
        </w:rPr>
        <w:t>hotosynthetically active radiation was measured above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 xml:space="preserve">(with </w:t>
      </w:r>
      <w:r w:rsidR="00B30CF7">
        <w:rPr>
          <w:rFonts w:ascii="Times New Roman" w:eastAsia="Times New Roman" w:hAnsi="Times New Roman" w:cs="Times New Roman"/>
          <w:iCs/>
          <w:sz w:val="24"/>
          <w:szCs w:val="24"/>
        </w:rPr>
        <w:t>TT</w:t>
      </w:r>
      <w:r w:rsidR="00A02D49">
        <w:rPr>
          <w:rFonts w:ascii="Times New Roman" w:eastAsia="Times New Roman" w:hAnsi="Times New Roman" w:cs="Times New Roman"/>
          <w:iCs/>
          <w:sz w:val="24"/>
          <w:szCs w:val="24"/>
        </w:rPr>
        <w:t>-</w:t>
      </w:r>
      <w:r w:rsidR="00B30CF7">
        <w:rPr>
          <w:rFonts w:ascii="Times New Roman" w:eastAsia="Times New Roman" w:hAnsi="Times New Roman" w:cs="Times New Roman"/>
          <w:iCs/>
          <w:sz w:val="24"/>
          <w:szCs w:val="24"/>
        </w:rPr>
        <w:t xml:space="preserve">R and </w:t>
      </w:r>
      <w:r w:rsidR="008C338F" w:rsidRPr="003F4AEE">
        <w:rPr>
          <w:rFonts w:ascii="Times New Roman" w:eastAsia="Times New Roman" w:hAnsi="Times New Roman" w:cs="Times New Roman"/>
          <w:iCs/>
          <w:sz w:val="24"/>
          <w:szCs w:val="24"/>
        </w:rPr>
        <w:t>TT+</w:t>
      </w:r>
      <w:r w:rsidR="00B30CF7">
        <w:rPr>
          <w:rFonts w:ascii="Times New Roman" w:eastAsia="Times New Roman" w:hAnsi="Times New Roman" w:cs="Times New Roman"/>
          <w:iCs/>
          <w:sz w:val="24"/>
          <w:szCs w:val="24"/>
        </w:rPr>
        <w:t xml:space="preserve"> spectrometers, respectively</w:t>
      </w:r>
      <w:r w:rsidR="008C338F" w:rsidRPr="003F4AEE">
        <w:rPr>
          <w:rFonts w:ascii="Times New Roman" w:eastAsia="Times New Roman" w:hAnsi="Times New Roman" w:cs="Times New Roman"/>
          <w:iCs/>
          <w:sz w:val="24"/>
          <w:szCs w:val="24"/>
        </w:rPr>
        <w:t>)</w:t>
      </w:r>
      <w:r w:rsidR="00A92C28"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Since the light is blocked also by woody components of canopy (i.e. branches and twigs), the </w:t>
      </w:r>
      <w:r w:rsidR="00052C93">
        <w:rPr>
          <w:rFonts w:ascii="Times New Roman" w:eastAsia="Times New Roman" w:hAnsi="Times New Roman" w:cs="Times New Roman"/>
          <w:iCs/>
          <w:sz w:val="24"/>
          <w:szCs w:val="24"/>
        </w:rPr>
        <w:t>extinction</w:t>
      </w:r>
      <w:r w:rsidR="00B30CF7">
        <w:rPr>
          <w:rFonts w:ascii="Times New Roman" w:eastAsia="Times New Roman" w:hAnsi="Times New Roman" w:cs="Times New Roman"/>
          <w:iCs/>
          <w:sz w:val="24"/>
          <w:szCs w:val="24"/>
        </w:rPr>
        <w:t xml:space="preserve"> of light </w:t>
      </w:r>
      <w:r w:rsidR="00052C93">
        <w:rPr>
          <w:rFonts w:ascii="Times New Roman" w:eastAsia="Times New Roman" w:hAnsi="Times New Roman" w:cs="Times New Roman"/>
          <w:iCs/>
          <w:sz w:val="24"/>
          <w:szCs w:val="24"/>
        </w:rPr>
        <w:t>profile gives the PAI (Plant Area Index) as follow:</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563D08C3" w14:textId="77777777" w:rsidTr="00335AF7">
        <w:trPr>
          <w:jc w:val="center"/>
        </w:trPr>
        <w:tc>
          <w:tcPr>
            <w:tcW w:w="4754" w:type="pct"/>
          </w:tcPr>
          <w:p w14:paraId="2F964D20" w14:textId="4373C62D" w:rsidR="00E05C4D" w:rsidRPr="009E46F1" w:rsidRDefault="00E05C4D" w:rsidP="00E05C4D">
            <w:pPr>
              <w:spacing w:after="0"/>
              <w:jc w:val="center"/>
            </w:pPr>
            <m:oMath>
              <m:r>
                <w:rPr>
                  <w:rFonts w:ascii="Cambria Math" w:eastAsia="Times New Roman" w:hAnsi="Cambria Math" w:cs="Times New Roman"/>
                  <w:sz w:val="28"/>
                  <w:szCs w:val="28"/>
                </w:rPr>
                <m:t>PAI=LAI+WAI=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Pr>
                <w:rFonts w:ascii="Times New Roman" w:eastAsia="Times New Roman" w:hAnsi="Times New Roman" w:cs="Times New Roman"/>
                <w:iCs/>
                <w:sz w:val="24"/>
                <w:szCs w:val="24"/>
              </w:rPr>
              <w:t>.</w:t>
            </w:r>
          </w:p>
        </w:tc>
        <w:tc>
          <w:tcPr>
            <w:tcW w:w="246" w:type="pct"/>
            <w:vAlign w:val="center"/>
          </w:tcPr>
          <w:p w14:paraId="3419A0DD" w14:textId="70EB6818" w:rsidR="00E05C4D" w:rsidRPr="009E46F1" w:rsidRDefault="00E05C4D" w:rsidP="00335AF7">
            <w:pPr>
              <w:pStyle w:val="MDPI3aequationnumber"/>
              <w:spacing w:line="260" w:lineRule="atLeast"/>
            </w:pPr>
            <w:r>
              <w:t>(5</w:t>
            </w:r>
            <w:r w:rsidRPr="009E46F1">
              <w:t>)</w:t>
            </w:r>
          </w:p>
        </w:tc>
      </w:tr>
    </w:tbl>
    <w:p w14:paraId="5C9C13C0" w14:textId="2B89A95B" w:rsidR="003F4AEE" w:rsidRDefault="00052C93" w:rsidP="004656A4">
      <w:pPr>
        <w:spacing w:after="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PAI </w:t>
      </w:r>
      <w:r w:rsidR="00A92C28" w:rsidRPr="003F4AEE">
        <w:rPr>
          <w:rFonts w:ascii="Times New Roman" w:eastAsia="Times New Roman" w:hAnsi="Times New Roman" w:cs="Times New Roman"/>
          <w:iCs/>
          <w:sz w:val="24"/>
          <w:szCs w:val="24"/>
        </w:rPr>
        <w:t>consists of wood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(WAI) and leaf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 xml:space="preserve">(LAI). Assuming that WAI </w:t>
      </w:r>
      <w:r w:rsidR="003F4AEE" w:rsidRPr="003F4AEE">
        <w:rPr>
          <w:rFonts w:ascii="Times New Roman" w:eastAsia="Times New Roman" w:hAnsi="Times New Roman" w:cs="Times New Roman"/>
          <w:iCs/>
          <w:sz w:val="24"/>
          <w:szCs w:val="24"/>
        </w:rPr>
        <w:t xml:space="preserve">constant </w:t>
      </w:r>
      <w:r w:rsidR="00A92C28"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00A92C28"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00A92C28"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r>
        <w:rPr>
          <w:rFonts w:ascii="Times New Roman" w:eastAsia="Times New Roman" w:hAnsi="Times New Roman" w:cs="Times New Roman"/>
          <w:iCs/>
          <w:sz w:val="24"/>
          <w:szCs w:val="24"/>
        </w:rPr>
        <w:t>.</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lastRenderedPageBreak/>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xml:space="preserve">. </w:t>
      </w:r>
      <w:commentRangeStart w:id="7"/>
      <w:r w:rsidRPr="00D12ABE">
        <w:rPr>
          <w:rFonts w:ascii="Times New Roman" w:eastAsia="Times New Roman" w:hAnsi="Times New Roman" w:cs="Times New Roman"/>
          <w:i/>
          <w:sz w:val="24"/>
          <w:szCs w:val="24"/>
        </w:rPr>
        <w:t>Particulate adsorption</w:t>
      </w:r>
      <w:r w:rsidR="00871684" w:rsidRPr="00D12ABE">
        <w:rPr>
          <w:rFonts w:ascii="Times New Roman" w:eastAsia="Times New Roman" w:hAnsi="Times New Roman" w:cs="Times New Roman"/>
          <w:i/>
          <w:sz w:val="24"/>
          <w:szCs w:val="24"/>
        </w:rPr>
        <w:t xml:space="preserve"> </w:t>
      </w:r>
      <w:commentRangeEnd w:id="7"/>
      <w:r w:rsidR="00A14704">
        <w:rPr>
          <w:rStyle w:val="a7"/>
        </w:rPr>
        <w:commentReference w:id="7"/>
      </w:r>
    </w:p>
    <w:p w14:paraId="6B9A0CF0" w14:textId="154B9DE3" w:rsidR="00983329" w:rsidRDefault="007C557A" w:rsidP="0039589E">
      <w:pPr>
        <w:spacing w:after="0"/>
        <w:ind w:firstLine="720"/>
        <w:jc w:val="both"/>
        <w:rPr>
          <w:rFonts w:ascii="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r w:rsidR="00983329" w:rsidRPr="00983329">
        <w:rPr>
          <w:rFonts w:ascii="Times New Roman" w:eastAsia="Times New Roman" w:hAnsi="Times New Roman" w:cs="Times New Roman"/>
          <w:sz w:val="24"/>
          <w:szCs w:val="24"/>
        </w:rPr>
        <w:t xml:space="preserve">i-Tree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{"citationID":"ClCDdZIq","properties":{"formattedCitation":"(Hirabayashi et al., 2012)","plainCitation":"(Hirabayashi et al., 2012)","noteIndex":0},"citationItems":[{"id":1854,"uris":["http://zotero.org/users/3524663/items/4IKLMUAG"],"uri":["http://zotero.org/users/3524663/items/4IKLMUAG"],"itemData":{"id":1854,"type":"article-journal","language":"en","page":"36","source":"Zotero","title":"i-Tree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(Hirabayashi et al., 2012)</w:t>
      </w:r>
      <w:r w:rsidR="0039589E">
        <w:rPr>
          <w:rFonts w:ascii="Times New Roman" w:eastAsia="Times New Roman" w:hAnsi="Times New Roman" w:cs="Times New Roman"/>
          <w:sz w:val="24"/>
          <w:szCs w:val="24"/>
        </w:rPr>
        <w:fldChar w:fldCharType="end"/>
      </w:r>
      <w:r w:rsidR="00AA1824">
        <w:rPr>
          <w:rFonts w:ascii="Times New Roman" w:hAnsi="Times New Roman" w:cs="Times New Roman"/>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61F34699" w14:textId="77777777" w:rsidTr="00335AF7">
        <w:trPr>
          <w:jc w:val="center"/>
        </w:trPr>
        <w:tc>
          <w:tcPr>
            <w:tcW w:w="4754" w:type="pct"/>
          </w:tcPr>
          <w:p w14:paraId="29AF728D" w14:textId="77777777" w:rsidR="00E05C4D" w:rsidRDefault="00E05C4D" w:rsidP="00E05C4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*C</w:t>
            </w:r>
          </w:p>
          <w:p w14:paraId="4ACA46F1" w14:textId="77777777" w:rsidR="00E05C4D" w:rsidRPr="007C557A" w:rsidRDefault="00F428DA"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D105C79" w14:textId="77777777" w:rsidR="00E05C4D" w:rsidRPr="007C557A" w:rsidRDefault="00F428DA"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062FAD83" w14:textId="260116E3" w:rsidR="00E05C4D" w:rsidRPr="009E46F1" w:rsidRDefault="00F428DA" w:rsidP="00E05C4D">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m:t>
                </m:r>
              </m:oMath>
            </m:oMathPara>
          </w:p>
        </w:tc>
        <w:tc>
          <w:tcPr>
            <w:tcW w:w="246" w:type="pct"/>
            <w:vAlign w:val="center"/>
          </w:tcPr>
          <w:p w14:paraId="6E202333" w14:textId="607C3456" w:rsidR="00E05C4D" w:rsidRPr="009E46F1" w:rsidRDefault="00E05C4D" w:rsidP="00E05C4D">
            <w:pPr>
              <w:pStyle w:val="MDPI3aequationnumber"/>
              <w:spacing w:line="260" w:lineRule="atLeast"/>
            </w:pPr>
            <w:r>
              <w:t>(6</w:t>
            </w:r>
            <w:r w:rsidRPr="009E46F1">
              <w:t>)</w:t>
            </w:r>
          </w:p>
        </w:tc>
      </w:tr>
    </w:tbl>
    <w:p w14:paraId="473C8FF9" w14:textId="4FBC939B" w:rsidR="007C557A" w:rsidRDefault="00E05C4D"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A1824">
        <w:rPr>
          <w:rFonts w:ascii="Times New Roman" w:eastAsia="Times New Roman" w:hAnsi="Times New Roman" w:cs="Times New Roman"/>
          <w:sz w:val="24"/>
          <w:szCs w:val="24"/>
        </w:rPr>
        <w:t xml:space="preserve">here C </w:t>
      </w:r>
      <w:r w:rsidR="00052C93">
        <w:rPr>
          <w:rFonts w:ascii="Times New Roman" w:eastAsia="Times New Roman" w:hAnsi="Times New Roman" w:cs="Times New Roman"/>
          <w:sz w:val="24"/>
          <w:szCs w:val="24"/>
        </w:rPr>
        <w:t xml:space="preserve">is the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00AA1824" w:rsidRPr="00AA1824">
        <w:rPr>
          <w:rFonts w:ascii="Times New Roman" w:eastAsia="Times New Roman" w:hAnsi="Times New Roman" w:cs="Times New Roman"/>
          <w:sz w:val="24"/>
          <w:szCs w:val="24"/>
        </w:rPr>
        <w:t xml:space="preserve"> concentration</w:t>
      </w:r>
      <w:r w:rsidR="00AA1824">
        <w:rPr>
          <w:rFonts w:ascii="Times New Roman" w:eastAsia="Times New Roman" w:hAnsi="Times New Roman" w:cs="Times New Roman"/>
          <w:sz w:val="24"/>
          <w:szCs w:val="24"/>
        </w:rPr>
        <w:t xml:space="preserve"> (g m</w:t>
      </w:r>
      <w:r w:rsidR="00AA1824" w:rsidRPr="00AA1824">
        <w:rPr>
          <w:rFonts w:ascii="Times New Roman" w:eastAsia="Times New Roman" w:hAnsi="Times New Roman" w:cs="Times New Roman"/>
          <w:sz w:val="24"/>
          <w:szCs w:val="24"/>
          <w:vertAlign w:val="superscript"/>
        </w:rPr>
        <w:t>-3</w:t>
      </w:r>
      <w:r w:rsidR="00AA1824">
        <w:rPr>
          <w:rFonts w:ascii="Times New Roman" w:eastAsia="Times New Roman" w:hAnsi="Times New Roman" w:cs="Times New Roman"/>
          <w:sz w:val="24"/>
          <w:szCs w:val="24"/>
        </w:rPr>
        <w:t>), V</w:t>
      </w:r>
      <w:r w:rsidR="00AA1824" w:rsidRPr="00AA1824">
        <w:rPr>
          <w:rFonts w:ascii="Times New Roman" w:eastAsia="Times New Roman" w:hAnsi="Times New Roman" w:cs="Times New Roman"/>
          <w:sz w:val="24"/>
          <w:szCs w:val="24"/>
          <w:vertAlign w:val="subscript"/>
        </w:rPr>
        <w:t>d</w:t>
      </w:r>
      <w:r w:rsidR="00052C93">
        <w:rPr>
          <w:rFonts w:ascii="Times New Roman" w:eastAsia="Times New Roman" w:hAnsi="Times New Roman" w:cs="Times New Roman"/>
          <w:sz w:val="24"/>
          <w:szCs w:val="24"/>
          <w:vertAlign w:val="subscript"/>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 xml:space="preserve">velocity of deposition </w:t>
      </w:r>
      <w:r w:rsidR="00AA1824" w:rsidRPr="00AA1824">
        <w:rPr>
          <w:rFonts w:ascii="Times New Roman" w:eastAsia="Times New Roman" w:hAnsi="Times New Roman" w:cs="Times New Roman"/>
          <w:sz w:val="24"/>
          <w:szCs w:val="24"/>
        </w:rPr>
        <w:t>(m s</w:t>
      </w:r>
      <w:r w:rsidR="00AA1824" w:rsidRPr="00AA1824">
        <w:rPr>
          <w:rFonts w:ascii="Times New Roman" w:eastAsia="Times New Roman" w:hAnsi="Times New Roman" w:cs="Times New Roman"/>
          <w:sz w:val="24"/>
          <w:szCs w:val="24"/>
          <w:vertAlign w:val="superscript"/>
        </w:rPr>
        <w:t>-1</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rPr>
        <w:t>, LAI</w:t>
      </w:r>
      <w:r w:rsidR="00AA1824" w:rsidRPr="00AA1824">
        <w:rPr>
          <w:rFonts w:ascii="Times New Roman" w:eastAsia="Times New Roman" w:hAnsi="Times New Roman" w:cs="Times New Roman"/>
          <w:sz w:val="24"/>
          <w:szCs w:val="24"/>
          <w:vertAlign w:val="subscript"/>
        </w:rPr>
        <w:t>PM10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leaf area index for pollutant deposition (m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 xml:space="preserve">) </w:t>
      </w:r>
      <w:r w:rsidR="00AA1824">
        <w:rPr>
          <w:rFonts w:ascii="Times New Roman" w:eastAsia="Times New Roman" w:hAnsi="Times New Roman" w:cs="Times New Roman"/>
          <w:sz w:val="24"/>
          <w:szCs w:val="24"/>
          <w:vertAlign w:val="superscript"/>
        </w:rPr>
        <w:t xml:space="preserve"> </w:t>
      </w:r>
      <w:r w:rsidR="00AA1824">
        <w:rPr>
          <w:rFonts w:ascii="Times New Roman" w:eastAsia="Times New Roman" w:hAnsi="Times New Roman" w:cs="Times New Roman"/>
          <w:sz w:val="24"/>
          <w:szCs w:val="24"/>
        </w:rPr>
        <w:t xml:space="preserve">and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dPM10max</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w:t>
      </w:r>
      <w:r w:rsidR="00AA1824">
        <w:rPr>
          <w:rFonts w:ascii="Times New Roman" w:eastAsia="Times New Roman" w:hAnsi="Times New Roman" w:cs="Times New Roman"/>
          <w:sz w:val="24"/>
          <w:szCs w:val="24"/>
          <w:vertAlign w:val="subscript"/>
        </w:rPr>
        <w:t>avg</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w:t>
      </w:r>
      <w:r w:rsidR="00AA1824">
        <w:rPr>
          <w:rFonts w:ascii="Times New Roman" w:eastAsia="Times New Roman" w:hAnsi="Times New Roman" w:cs="Times New Roman"/>
          <w:sz w:val="24"/>
          <w:szCs w:val="24"/>
          <w:vertAlign w:val="subscript"/>
        </w:rPr>
        <w:t xml:space="preserve">in </w:t>
      </w:r>
      <w:r w:rsidR="00AA1824">
        <w:rPr>
          <w:rFonts w:ascii="Times New Roman" w:eastAsia="Times New Roman" w:hAnsi="Times New Roman" w:cs="Times New Roman"/>
          <w:sz w:val="24"/>
          <w:szCs w:val="24"/>
        </w:rPr>
        <w:t xml:space="preserve"> – maximum, average and minimum deposition velocity for PM</w:t>
      </w:r>
      <w:r w:rsidR="00AA1824" w:rsidRPr="00AA1824">
        <w:rPr>
          <w:rFonts w:ascii="Times New Roman" w:eastAsia="Times New Roman" w:hAnsi="Times New Roman" w:cs="Times New Roman"/>
          <w:sz w:val="24"/>
          <w:szCs w:val="24"/>
          <w:vertAlign w:val="subscript"/>
        </w:rPr>
        <w:t>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0.0064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0.0025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AA1824" w:rsidRPr="00AA1824">
        <w:rPr>
          <w:rFonts w:ascii="Times New Roman" w:eastAsia="Times New Roman" w:hAnsi="Times New Roman" w:cs="Times New Roman"/>
          <w:sz w:val="24"/>
          <w:szCs w:val="24"/>
        </w:rPr>
        <w:t xml:space="preserve"> 0.01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FE4A5B" w:rsidRPr="00FE4A5B">
        <w:t xml:space="preserve"> </w:t>
      </w:r>
      <w:r w:rsidR="00AA1824">
        <w:rPr>
          <w:rFonts w:ascii="Times New Roman" w:eastAsia="Times New Roman" w:hAnsi="Times New Roman" w:cs="Times New Roman"/>
          <w:sz w:val="24"/>
          <w:szCs w:val="24"/>
        </w:rPr>
        <w:t>respectively.</w:t>
      </w:r>
      <w:r w:rsidR="0077191C">
        <w:rPr>
          <w:rFonts w:ascii="Times New Roman" w:eastAsia="Times New Roman" w:hAnsi="Times New Roman" w:cs="Times New Roman"/>
          <w:sz w:val="24"/>
          <w:szCs w:val="24"/>
        </w:rPr>
        <w:t xml:space="preserve"> 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r w:rsidR="0039589E">
        <w:rPr>
          <w:rFonts w:ascii="Times New Roman" w:eastAsia="Times New Roman" w:hAnsi="Times New Roman" w:cs="Times New Roman"/>
          <w:sz w:val="24"/>
          <w:szCs w:val="24"/>
        </w:rPr>
        <w:t>s</w:t>
      </w:r>
      <w:r w:rsidR="003247C0" w:rsidRPr="00022855">
        <w:rPr>
          <w:rFonts w:ascii="Times New Roman" w:eastAsia="Times New Roman" w:hAnsi="Times New Roman" w:cs="Times New Roman"/>
          <w:sz w:val="24"/>
          <w:szCs w:val="24"/>
        </w:rPr>
        <w:t>ensor</w:t>
      </w:r>
      <w:r w:rsidR="00022855" w:rsidRPr="00022855">
        <w:rPr>
          <w:rFonts w:ascii="Times New Roman" w:eastAsia="Times New Roman" w:hAnsi="Times New Roman" w:cs="Times New Roman"/>
          <w:sz w:val="24"/>
          <w:szCs w:val="24"/>
        </w:rPr>
        <w:t>.</w:t>
      </w:r>
      <w:r w:rsidR="003247C0">
        <w:rPr>
          <w:rFonts w:ascii="Times New Roman" w:eastAsia="Times New Roman" w:hAnsi="Times New Roman" w:cs="Times New Roman"/>
          <w:sz w:val="24"/>
          <w:szCs w:val="24"/>
        </w:rPr>
        <w:t>c</w:t>
      </w:r>
      <w:r w:rsidR="003247C0" w:rsidRPr="00022855">
        <w:rPr>
          <w:rFonts w:ascii="Times New Roman" w:eastAsia="Times New Roman" w:hAnsi="Times New Roman" w:cs="Times New Roman"/>
          <w:sz w:val="24"/>
          <w:szCs w:val="24"/>
        </w:rPr>
        <w:t>ommunity</w:t>
      </w:r>
      <w:r w:rsidR="003247C0">
        <w:rPr>
          <w:rFonts w:ascii="Times New Roman" w:eastAsia="Times New Roman" w:hAnsi="Times New Roman" w:cs="Times New Roman"/>
          <w:sz w:val="24"/>
          <w:szCs w:val="24"/>
        </w:rPr>
        <w:t xml:space="preserve"> </w:t>
      </w:r>
      <w:r w:rsidR="00022855">
        <w:rPr>
          <w:rFonts w:ascii="Times New Roman" w:eastAsia="Times New Roman" w:hAnsi="Times New Roman" w:cs="Times New Roman"/>
          <w:sz w:val="24"/>
          <w:szCs w:val="24"/>
        </w:rPr>
        <w:t>web portal</w:t>
      </w:r>
      <w:r w:rsidR="0039589E">
        <w:rPr>
          <w:rFonts w:ascii="Times New Roman" w:eastAsia="Times New Roman" w:hAnsi="Times New Roman" w:cs="Times New Roman"/>
          <w:sz w:val="24"/>
          <w:szCs w:val="24"/>
        </w:rPr>
        <w:t xml:space="preserve"> (</w:t>
      </w:r>
      <w:hyperlink r:id="rId14" w:history="1">
        <w:r w:rsidR="0039589E" w:rsidRPr="00265FF9">
          <w:rPr>
            <w:rStyle w:val="a4"/>
            <w:rFonts w:ascii="Times New Roman" w:eastAsia="Times New Roman" w:hAnsi="Times New Roman" w:cs="Times New Roman"/>
            <w:sz w:val="24"/>
            <w:szCs w:val="24"/>
          </w:rPr>
          <w:t>https://sensor.community/en/</w:t>
        </w:r>
      </w:hyperlink>
      <w:r w:rsidR="0039589E">
        <w:rPr>
          <w:rFonts w:ascii="Times New Roman" w:eastAsia="Times New Roman" w:hAnsi="Times New Roman" w:cs="Times New Roman"/>
          <w:sz w:val="24"/>
          <w:szCs w:val="24"/>
        </w:rPr>
        <w:t>)</w:t>
      </w:r>
      <w:r w:rsidR="00022855">
        <w:rPr>
          <w:rFonts w:ascii="Times New Roman" w:eastAsia="Times New Roman" w:hAnsi="Times New Roman" w:cs="Times New Roman"/>
          <w:sz w:val="24"/>
          <w:szCs w:val="24"/>
        </w:rPr>
        <w:t>.</w:t>
      </w: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8" w:name="_heading=h.gjdgxs" w:colFirst="0" w:colLast="0"/>
      <w:bookmarkEnd w:id="8"/>
      <w:r w:rsidRPr="003723ED">
        <w:rPr>
          <w:rFonts w:ascii="Times New Roman" w:eastAsia="Times New Roman" w:hAnsi="Times New Roman" w:cs="Times New Roman"/>
          <w:sz w:val="24"/>
          <w:szCs w:val="24"/>
        </w:rPr>
        <w:t>2.3. Data processing.</w:t>
      </w:r>
    </w:p>
    <w:p w14:paraId="7024A186" w14:textId="4D7F4DEF" w:rsidR="006B5389" w:rsidRPr="008F5D16" w:rsidRDefault="006B5389" w:rsidP="007C0EB3">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Data collection with TreeTalker+ devices is organized according to </w:t>
      </w:r>
      <w:r w:rsidR="00052C93">
        <w:rPr>
          <w:rFonts w:ascii="Times New Roman" w:eastAsia="Times New Roman" w:hAnsi="Times New Roman" w:cs="Times New Roman"/>
          <w:sz w:val="24"/>
          <w:szCs w:val="24"/>
        </w:rPr>
        <w:t>the following</w:t>
      </w:r>
      <w:r w:rsidR="00052C93" w:rsidRPr="003723ED">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scheme. All types of devices</w:t>
      </w:r>
      <w:r w:rsidR="00052C93">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(TT+ and TT</w:t>
      </w:r>
      <w:r w:rsidR="00A02D49">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R) made measurement every 90 minutes, stored data in internal memory, then according to predefined time window </w:t>
      </w:r>
      <w:r w:rsidR="006613D5" w:rsidRPr="003723ED">
        <w:rPr>
          <w:rFonts w:ascii="Times New Roman" w:eastAsia="Times New Roman" w:hAnsi="Times New Roman" w:cs="Times New Roman"/>
          <w:sz w:val="24"/>
          <w:szCs w:val="24"/>
        </w:rPr>
        <w:t>transmitted data to TT-cloud device via Low Power Wide Area Network (LoRaWan)</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wireless networking protocol. TT-cloud device is a gateway device in TreeTalkers devices ecosystem, which purpose is to collect data from all TT devices on site, store it and then transmit it to online database via WiFi or wireless mobile networks.</w:t>
      </w:r>
    </w:p>
    <w:p w14:paraId="57353311" w14:textId="1E410960" w:rsidR="00FE4A5B" w:rsidRPr="003723ED" w:rsidRDefault="00FE4A5B" w:rsidP="003247C0">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{"citationID":"dVoAdZ4Z","properties":{"formattedCitation":"(R Core Team, 2014)","plainCitation":"(R Core Team, 2014)","noteIndex":0},"citationItems":[{"id":156,"uris":["http://zotero.org/users/3524663/items/JRLIYPCX"],"uri":["http://zotero.org/users/3524663/items/JRLIYPCX"],"itemData":{"id":156,"type":"book","event-place":"Vienna, Austria","publisher":"R Foundation for Statistical Computing","publisher-place":"Vienna, Austria","title":"R: A language and environment for statistical computing.","URL":"http://www.R-project.org/","author":[{"family":"R Core Team","given":""}],"issued":{"date-parts":[["2014"]]}}}],"schema":"https://github.com/citation-style-language/schema/raw/master/csl-citation.json"}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 Core Team, 2014)</w:t>
      </w:r>
      <w:r w:rsidR="0039589E">
        <w:rPr>
          <w:rFonts w:ascii="Times New Roman" w:eastAsia="Times New Roman" w:hAnsi="Times New Roman" w:cs="Times New Roman"/>
          <w:sz w:val="24"/>
          <w:szCs w:val="24"/>
        </w:rPr>
        <w:fldChar w:fldCharType="end"/>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weekly </w:t>
      </w:r>
      <w:r w:rsidR="00052C93" w:rsidRPr="003723ED">
        <w:rPr>
          <w:rFonts w:ascii="Times New Roman" w:eastAsia="Times New Roman" w:hAnsi="Times New Roman" w:cs="Times New Roman"/>
          <w:sz w:val="24"/>
          <w:szCs w:val="24"/>
        </w:rPr>
        <w:t xml:space="preserve">measured parameters </w:t>
      </w:r>
      <w:r w:rsidR="003723ED" w:rsidRPr="003723ED">
        <w:rPr>
          <w:rFonts w:ascii="Times New Roman" w:eastAsia="Times New Roman" w:hAnsi="Times New Roman" w:cs="Times New Roman"/>
          <w:sz w:val="24"/>
          <w:szCs w:val="24"/>
        </w:rPr>
        <w:t>w</w:t>
      </w:r>
      <w:r w:rsidR="00052C93">
        <w:rPr>
          <w:rFonts w:ascii="Times New Roman" w:eastAsia="Times New Roman" w:hAnsi="Times New Roman" w:cs="Times New Roman"/>
          <w:sz w:val="24"/>
          <w:szCs w:val="24"/>
        </w:rPr>
        <w:t>ere</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filtered</w:t>
      </w:r>
      <w:r w:rsidR="00052C93">
        <w:rPr>
          <w:rFonts w:ascii="Times New Roman" w:eastAsia="Times New Roman" w:hAnsi="Times New Roman" w:cs="Times New Roman"/>
          <w:sz w:val="24"/>
          <w:szCs w:val="24"/>
        </w:rPr>
        <w:t xml:space="preserve"> by excluding 3 sigma (standard deviation) data</w:t>
      </w:r>
      <w:r w:rsidR="003723ED" w:rsidRPr="003723ED">
        <w:rPr>
          <w:rFonts w:ascii="Times New Roman" w:eastAsia="Times New Roman" w:hAnsi="Times New Roman" w:cs="Times New Roman"/>
          <w:sz w:val="24"/>
          <w:szCs w:val="24"/>
        </w:rPr>
        <w:t>. Filtered data was linearly interpolated. Data from TT devices didn’t have gaps more than three days</w:t>
      </w:r>
      <w:r w:rsidR="00052C93">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 xml:space="preserve">(battery </w:t>
      </w:r>
      <w:r w:rsidR="00052C93">
        <w:rPr>
          <w:rFonts w:ascii="Times New Roman" w:eastAsia="Times New Roman" w:hAnsi="Times New Roman" w:cs="Times New Roman"/>
          <w:sz w:val="24"/>
          <w:szCs w:val="24"/>
        </w:rPr>
        <w:t>problems)</w:t>
      </w:r>
      <w:r w:rsidR="003723ED" w:rsidRPr="003723ED">
        <w:rPr>
          <w:rFonts w:ascii="Times New Roman" w:eastAsia="Times New Roman" w:hAnsi="Times New Roman" w:cs="Times New Roman"/>
          <w:sz w:val="24"/>
          <w:szCs w:val="24"/>
        </w:rPr>
        <w:t>, big gaps w</w:t>
      </w:r>
      <w:r w:rsidR="00052C93">
        <w:rPr>
          <w:rFonts w:ascii="Times New Roman" w:eastAsia="Times New Roman" w:hAnsi="Times New Roman" w:cs="Times New Roman"/>
          <w:sz w:val="24"/>
          <w:szCs w:val="24"/>
        </w:rPr>
        <w:t>ere</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filled with data from trees with closest parameters</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(species, trunk diameter, height, canopy size, position on site).</w:t>
      </w:r>
    </w:p>
    <w:p w14:paraId="5DC4410F" w14:textId="55505277" w:rsidR="009E4150" w:rsidRDefault="009E4150" w:rsidP="00D12ABE">
      <w:pPr>
        <w:spacing w:after="0"/>
        <w:rPr>
          <w:rFonts w:ascii="Times New Roman" w:eastAsia="Times New Roman" w:hAnsi="Times New Roman" w:cs="Times New Roman"/>
          <w:b/>
          <w:sz w:val="24"/>
          <w:szCs w:val="24"/>
          <w:highlight w:val="cyan"/>
        </w:rPr>
      </w:pPr>
    </w:p>
    <w:p w14:paraId="4D00CB0B" w14:textId="1EA47689"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t>3. Results</w:t>
      </w:r>
      <w:r w:rsidR="00015FD1">
        <w:rPr>
          <w:rFonts w:ascii="Times New Roman" w:eastAsia="Times New Roman" w:hAnsi="Times New Roman" w:cs="Times New Roman"/>
          <w:b/>
          <w:sz w:val="24"/>
          <w:szCs w:val="24"/>
        </w:rPr>
        <w:t xml:space="preserve"> and its discussion</w:t>
      </w:r>
      <w:r w:rsidRPr="00C73913">
        <w:rPr>
          <w:rFonts w:ascii="Times New Roman" w:eastAsia="Times New Roman" w:hAnsi="Times New Roman" w:cs="Times New Roman"/>
          <w:b/>
          <w:sz w:val="24"/>
          <w:szCs w:val="24"/>
        </w:rPr>
        <w:t>.</w:t>
      </w:r>
    </w:p>
    <w:p w14:paraId="3854354F" w14:textId="05787913" w:rsidR="004E50E7" w:rsidRPr="00015FD1" w:rsidRDefault="004E50E7" w:rsidP="004E50E7">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5FD1">
        <w:rPr>
          <w:rFonts w:ascii="Times New Roman" w:eastAsia="Times New Roman" w:hAnsi="Times New Roman" w:cs="Times New Roman"/>
          <w:sz w:val="24"/>
          <w:szCs w:val="24"/>
        </w:rPr>
        <w:t>Carbon sequestration.</w:t>
      </w:r>
      <w:commentRangeStart w:id="9"/>
      <w:commentRangeEnd w:id="9"/>
      <w:r>
        <w:rPr>
          <w:rStyle w:val="a7"/>
        </w:rPr>
        <w:commentReference w:id="9"/>
      </w:r>
    </w:p>
    <w:p w14:paraId="118DF211" w14:textId="77777777" w:rsidR="004E50E7" w:rsidRDefault="004E50E7" w:rsidP="004E50E7">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Carbon sequestration is the result of continuous diameter increment across the season, using the biomass equation with expansion factors. </w:t>
      </w:r>
      <w:r>
        <w:rPr>
          <w:rFonts w:ascii="Times New Roman" w:eastAsia="Times New Roman" w:hAnsi="Times New Roman" w:cs="Times New Roman"/>
          <w:noProof/>
          <w:sz w:val="24"/>
          <w:szCs w:val="24"/>
        </w:rPr>
        <w:t>The growth dynamics show biomass increase till the end of September (around 260 day of a year) due to the warm autumn (Figure 2). Betula’s growing decreased two weeks later than others, with less variabulity across individuals, possibly because of more uniform young age. Acer #218A0281 had different dynamics with a rapid growth in the begginnig of the investigated period and then stopped growimg a month and a half earlier than others. This particular tree also showed the lowest VTA score, indicating possible declining patterns.</w:t>
      </w:r>
    </w:p>
    <w:p w14:paraId="6C5BE38E" w14:textId="77777777" w:rsidR="00134425" w:rsidRDefault="00134425" w:rsidP="00134425">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total the average accumalated carbon (during half of the vegetational season) was around 15 kg C for Acer spp. Larix accumalated about 7.5 kg C in average, and the lowest level was shown by Betula – 3 kg C. The most diverse was Tillia – from 5 to 20 kg C that was related to the age and diameter. So, it is clear that diameter of the tree influence greatly the growth ratio and carbon sequestration as well. </w:t>
      </w:r>
    </w:p>
    <w:p w14:paraId="0D8C2BE7" w14:textId="2AD65385" w:rsidR="004E50E7" w:rsidRDefault="004E50E7" w:rsidP="004E50E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5ABA4E21" wp14:editId="6E78C97B">
            <wp:extent cx="5939790" cy="4452620"/>
            <wp:effectExtent l="0" t="0" r="3810" b="5080"/>
            <wp:docPr id="3" name="Рисунок 3" descr="Carbon_accumulation_per_tree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bon_accumulation_per_tree_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4452620"/>
                    </a:xfrm>
                    <a:prstGeom prst="rect">
                      <a:avLst/>
                    </a:prstGeom>
                    <a:noFill/>
                    <a:ln>
                      <a:noFill/>
                    </a:ln>
                  </pic:spPr>
                </pic:pic>
              </a:graphicData>
            </a:graphic>
          </wp:inline>
        </w:drawing>
      </w:r>
      <w:commentRangeStart w:id="10"/>
      <w:commentRangeEnd w:id="10"/>
      <w:r>
        <w:rPr>
          <w:rStyle w:val="a7"/>
        </w:rPr>
        <w:commentReference w:id="10"/>
      </w:r>
    </w:p>
    <w:p w14:paraId="557CF976" w14:textId="7664DB23" w:rsidR="004E50E7" w:rsidRPr="00A11C13" w:rsidRDefault="004E50E7" w:rsidP="004E50E7">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Pr>
          <w:rFonts w:ascii="Times New Roman" w:eastAsia="Times New Roman" w:hAnsi="Times New Roman" w:cs="Times New Roman"/>
          <w:sz w:val="24"/>
          <w:szCs w:val="24"/>
          <w:highlight w:val="yellow"/>
        </w:rPr>
        <w:t>2</w:t>
      </w:r>
      <w:r w:rsidRPr="00015FD1">
        <w:rPr>
          <w:rFonts w:ascii="Times New Roman" w:eastAsia="Times New Roman" w:hAnsi="Times New Roman" w:cs="Times New Roman"/>
          <w:sz w:val="24"/>
          <w:szCs w:val="24"/>
          <w:highlight w:val="yellow"/>
        </w:rPr>
        <w:t>. Cumulative grow of stored carbon for each tree.</w:t>
      </w:r>
    </w:p>
    <w:p w14:paraId="260AE9F2" w14:textId="77777777" w:rsidR="004E50E7" w:rsidRDefault="004E50E7" w:rsidP="004E50E7">
      <w:pPr>
        <w:spacing w:after="0"/>
        <w:ind w:firstLine="720"/>
        <w:jc w:val="both"/>
        <w:rPr>
          <w:rFonts w:ascii="Times New Roman" w:eastAsia="Times New Roman" w:hAnsi="Times New Roman" w:cs="Times New Roman"/>
          <w:noProof/>
          <w:sz w:val="24"/>
          <w:szCs w:val="24"/>
        </w:rPr>
      </w:pPr>
      <w:r w:rsidRPr="009F4D1B">
        <w:rPr>
          <w:rFonts w:ascii="Times New Roman" w:eastAsia="Times New Roman" w:hAnsi="Times New Roman" w:cs="Times New Roman"/>
          <w:noProof/>
          <w:sz w:val="24"/>
          <w:szCs w:val="24"/>
        </w:rPr>
        <w:t>In general our knowledge of street tree carbon dynamics, including the balance of growth, mortality, and planting rates is quite data limited (</w:t>
      </w:r>
      <w:r w:rsidRPr="009F4D1B">
        <w:rPr>
          <w:rFonts w:ascii="Times New Roman" w:eastAsia="Times New Roman" w:hAnsi="Times New Roman" w:cs="Times New Roman"/>
          <w:noProof/>
          <w:sz w:val="24"/>
          <w:szCs w:val="24"/>
          <w:highlight w:val="yellow"/>
        </w:rPr>
        <w:t>Nowak et al. 2004</w:t>
      </w:r>
      <w:r w:rsidRPr="009F4D1B">
        <w:rPr>
          <w:rFonts w:ascii="Times New Roman" w:eastAsia="Times New Roman" w:hAnsi="Times New Roman" w:cs="Times New Roman"/>
          <w:noProof/>
          <w:sz w:val="24"/>
          <w:szCs w:val="24"/>
        </w:rPr>
        <w:t>). Although the carbon stock of the urban green is smaller compared to natural forests, the storage capacity is considerable (</w:t>
      </w:r>
      <w:r w:rsidRPr="009F4D1B">
        <w:rPr>
          <w:rFonts w:ascii="Times New Roman" w:eastAsia="Times New Roman" w:hAnsi="Times New Roman" w:cs="Times New Roman"/>
          <w:noProof/>
          <w:sz w:val="24"/>
          <w:szCs w:val="24"/>
          <w:highlight w:val="yellow"/>
        </w:rPr>
        <w:t>Moser et al., 2018</w:t>
      </w:r>
      <w:r w:rsidRPr="009F4D1B">
        <w:rPr>
          <w:rFonts w:ascii="Times New Roman" w:eastAsia="Times New Roman" w:hAnsi="Times New Roman" w:cs="Times New Roman"/>
          <w:noProof/>
          <w:sz w:val="24"/>
          <w:szCs w:val="24"/>
        </w:rPr>
        <w:t xml:space="preserve">). Growth rates of urban trees may be accelerated by the heat island effect, as result of increasing temperature, longer growing season and potentially higher N deposition, as it was shown by </w:t>
      </w:r>
      <w:r w:rsidRPr="009F4D1B">
        <w:rPr>
          <w:rFonts w:ascii="Times New Roman" w:eastAsia="Times New Roman" w:hAnsi="Times New Roman" w:cs="Times New Roman"/>
          <w:noProof/>
          <w:sz w:val="24"/>
          <w:szCs w:val="24"/>
          <w:highlight w:val="yellow"/>
        </w:rPr>
        <w:t>Pretzsch et al. (2017</w:t>
      </w:r>
      <w:r w:rsidRPr="009F4D1B">
        <w:rPr>
          <w:rFonts w:ascii="Times New Roman" w:eastAsia="Times New Roman" w:hAnsi="Times New Roman" w:cs="Times New Roman"/>
          <w:noProof/>
          <w:sz w:val="24"/>
          <w:szCs w:val="24"/>
        </w:rPr>
        <w:t>). The observed diameter growth for the different species, althoug</w:t>
      </w:r>
      <w:r>
        <w:rPr>
          <w:rFonts w:ascii="Times New Roman" w:eastAsia="Times New Roman" w:hAnsi="Times New Roman" w:cs="Times New Roman"/>
          <w:noProof/>
          <w:sz w:val="24"/>
          <w:szCs w:val="24"/>
        </w:rPr>
        <w:t>h</w:t>
      </w:r>
      <w:r w:rsidRPr="009F4D1B">
        <w:rPr>
          <w:rFonts w:ascii="Times New Roman" w:eastAsia="Times New Roman" w:hAnsi="Times New Roman" w:cs="Times New Roman"/>
          <w:noProof/>
          <w:sz w:val="24"/>
          <w:szCs w:val="24"/>
        </w:rPr>
        <w:t xml:space="preserve"> is rather variable across individuals, are consistent with the existing literature, showing for Picea and Birch a range of 1-3 mm of annul growth </w:t>
      </w:r>
      <w:r>
        <w:rPr>
          <w:rFonts w:ascii="Times New Roman" w:eastAsia="Times New Roman" w:hAnsi="Times New Roman" w:cs="Times New Roman"/>
          <w:noProof/>
          <w:sz w:val="24"/>
          <w:szCs w:val="24"/>
        </w:rPr>
        <w:fldChar w:fldCharType="begin"/>
      </w:r>
      <w:r>
        <w:rPr>
          <w:rFonts w:ascii="Times New Roman" w:eastAsia="Times New Roman" w:hAnsi="Times New Roman" w:cs="Times New Roman"/>
          <w:noProof/>
          <w:sz w:val="24"/>
          <w:szCs w:val="24"/>
        </w:rPr>
        <w:instrText xml:space="preserve"> ADDIN ZOTERO_ITEM CSL_CITATION {"citationID":"S63kaegx","properties":{"formattedCitation":"(Augustaitis et al., 2018, 2015)","plainCitation":"(Augustaitis et al., 2018, 2015)","noteIndex":0},"citationItems":[{"id":2127,"uris":["http://zotero.org/users/3524663/items/GBAVMWFT"],"uri":["http://zotero.org/users/3524663/items/GBAVMWFT"],"itemData":{"id":2127,"type":"article-journal","container-title":"Science of The Total Environment","DOI":"10.1016/j.scitotenv.2017.09.169","ISSN":"00489697","language":"en","page":"1247-1261","source":"Crossref","title":"Tree-ring formation as an indicator of forest capacity to adapt to the main threats of environmental changes in Lithuania","volume":"615","author":[{"family":"Augustaitis","given":"Algirdas"},{"family":"Augustaitienė","given":"Ingrida"},{"family":"Baugarten","given":"Manuela"},{"family":"Bičenkienė","given":"Steigvilė"},{"family":"Girgždienė","given":"Raselė"},{"family":"Kulbokas","given":"Gintaras"},{"family":"Linkevičius","given":"Edgaras"},{"family":"Marozas","given":"Vitas"},{"family":"Mikalajūnas","given":"Marius"},{"family":"Mordas","given":"Genrik"},{"family":"Mozgeris","given":"Gintautas"},{"family":"Petrauskas","given":"Edmundas"},{"family":"Pivoras","given":"Ainis"},{"family":"Šidlauskas","given":"Giedrius"},{"family":"Ulevičius","given":"Vidmantas"},{"family":"Vitas","given":"Adomas"},{"family":"Matyssek","given":"Rainer"}],"issued":{"date-parts":[["2018",2]]}}},{"id":2124,"uris":["http://zotero.org/users/3524663/items/YF9BY3U2"],"uri":["http://zotero.org/users/3524663/items/YF9BY3U2"],"itemData":{"id":2124,"type":"article-journal","abstract":"The hypothesis that trees have grown more rapidly in recent years as a consequence of climate warming and the reduced pollution was tested in Scots pine (Pinus sylvestris L.) forests in Lithuania. A hundred of the largest, dominant pine trees, with a diameter at breast height exceeding 50 cm, were selected in three experimental, over-mature stands located in different parts of the country (north-eastern, western and sea coast). Results confirmed that the annual increment of the trees analyzed has increased since 1980. The causes of such faster growth were higher air temperatures during the winter and, to a lesser extent, higher temperatures from May through August. The effect of precipitation was negligible. Using data on acidifying pollutants collected in last 30 years, a significant effect of the reduced SO2 concentration and sulphur deposition, as well as of the increased ammonia deposition, on the enhanced annual increment in the tree basal area was detected. Multiple regression analysis revealed that meteorological parameters can explain up to 50% of the observed variation in the increase of growth rate for Scots pine in Lithuania, while the variation in the concentration of acidifying pollutants accounted for an additional 30%. However, the pollution data set did not cover a timespan long enough (20-30 years) to clearly distinguish between the effect of the reduced pollution in recent years and the increased temperatures due to global warming as the driving factor of the enhanced growth observed for dominant pine trees in Lithanian forests.","container-title":"iForest - Biogeosciences and Forestry","DOI":"10.3832/ifor1267-007","ISSN":"19717458","issue":"4","language":"en","page":"509-516","source":"Crossref","title":"Growth patterns of Scots pine (Pinus sylvestris L.) under the current regional pollution load in Lithuania","volume":"8","author":[{"family":"Augustaitis","given":"A"},{"family":"Augustaitiene","given":"I"},{"family":"Mozgeris","given":"G"},{"family":"Juknys","given":"R"},{"family":"Vitas","given":"A"},{"family":"Jasinevičiene","given":"D"}],"issued":{"date-parts":[["2015",8,2]]}}}],"schema":"https://github.com/citation-style-language/schema/raw/master/csl-citation.json"} </w:instrText>
      </w:r>
      <w:r>
        <w:rPr>
          <w:rFonts w:ascii="Times New Roman" w:eastAsia="Times New Roman" w:hAnsi="Times New Roman" w:cs="Times New Roman"/>
          <w:noProof/>
          <w:sz w:val="24"/>
          <w:szCs w:val="24"/>
        </w:rPr>
        <w:fldChar w:fldCharType="separate"/>
      </w:r>
      <w:r w:rsidRPr="00062E3F">
        <w:rPr>
          <w:rFonts w:ascii="Times New Roman" w:hAnsi="Times New Roman" w:cs="Times New Roman"/>
          <w:sz w:val="24"/>
        </w:rPr>
        <w:t>(Augustaitis et al., 2018, 2015)</w:t>
      </w:r>
      <w:r>
        <w:rPr>
          <w:rFonts w:ascii="Times New Roman" w:eastAsia="Times New Roman" w:hAnsi="Times New Roman" w:cs="Times New Roman"/>
          <w:noProof/>
          <w:sz w:val="24"/>
          <w:szCs w:val="24"/>
        </w:rPr>
        <w:fldChar w:fldCharType="end"/>
      </w:r>
      <w:r w:rsidRPr="009F4D1B">
        <w:rPr>
          <w:rFonts w:ascii="Times New Roman" w:eastAsia="Times New Roman" w:hAnsi="Times New Roman" w:cs="Times New Roman"/>
          <w:noProof/>
          <w:sz w:val="24"/>
          <w:szCs w:val="24"/>
        </w:rPr>
        <w:t xml:space="preserve"> in the same age range. Conversion of diameter growth in biomass and hence carbon sequestration is very much related with the BEF coeffcients which we have derived by </w:t>
      </w:r>
      <w:r>
        <w:rPr>
          <w:rFonts w:ascii="Times New Roman" w:eastAsia="Times New Roman" w:hAnsi="Times New Roman" w:cs="Times New Roman"/>
          <w:noProof/>
          <w:sz w:val="24"/>
          <w:szCs w:val="24"/>
        </w:rPr>
        <w:fldChar w:fldCharType="begin"/>
      </w:r>
      <w:r>
        <w:rPr>
          <w:rFonts w:ascii="Times New Roman" w:eastAsia="Times New Roman" w:hAnsi="Times New Roman" w:cs="Times New Roman"/>
          <w:noProof/>
          <w:sz w:val="24"/>
          <w:szCs w:val="24"/>
        </w:rPr>
        <w:instrText xml:space="preserve"> ADDIN ZOTERO_ITEM CSL_CITATION {"citationID":"zn8bD4JV","properties":{"formattedCitation":"(Schepaschenko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rFonts w:ascii="Times New Roman" w:eastAsia="Times New Roman" w:hAnsi="Times New Roman" w:cs="Times New Roman"/>
          <w:noProof/>
          <w:sz w:val="24"/>
          <w:szCs w:val="24"/>
        </w:rPr>
        <w:fldChar w:fldCharType="separate"/>
      </w:r>
      <w:r w:rsidRPr="00B93C86">
        <w:rPr>
          <w:rFonts w:ascii="Times New Roman" w:hAnsi="Times New Roman" w:cs="Times New Roman"/>
          <w:sz w:val="24"/>
        </w:rPr>
        <w:t>(Schepaschenko et al., 2018)</w:t>
      </w:r>
      <w:r>
        <w:rPr>
          <w:rFonts w:ascii="Times New Roman" w:eastAsia="Times New Roman" w:hAnsi="Times New Roman" w:cs="Times New Roman"/>
          <w:noProof/>
          <w:sz w:val="24"/>
          <w:szCs w:val="24"/>
        </w:rPr>
        <w:fldChar w:fldCharType="end"/>
      </w:r>
      <w:r w:rsidRPr="009F4D1B">
        <w:rPr>
          <w:rFonts w:ascii="Times New Roman" w:eastAsia="Times New Roman" w:hAnsi="Times New Roman" w:cs="Times New Roman"/>
          <w:noProof/>
          <w:sz w:val="24"/>
          <w:szCs w:val="24"/>
        </w:rPr>
        <w:t xml:space="preserve">, specifically from Russian environment. One of the most comprehensive study on urban tree carbon sequestration is the one of </w:t>
      </w:r>
      <w:r w:rsidRPr="009F4D1B">
        <w:rPr>
          <w:rFonts w:ascii="Times New Roman" w:eastAsia="Times New Roman" w:hAnsi="Times New Roman" w:cs="Times New Roman"/>
          <w:noProof/>
          <w:sz w:val="24"/>
          <w:szCs w:val="24"/>
          <w:highlight w:val="yellow"/>
        </w:rPr>
        <w:t>Nowak et al. (2013</w:t>
      </w:r>
      <w:r w:rsidRPr="009F4D1B">
        <w:rPr>
          <w:rFonts w:ascii="Times New Roman" w:eastAsia="Times New Roman" w:hAnsi="Times New Roman" w:cs="Times New Roman"/>
          <w:noProof/>
          <w:sz w:val="24"/>
          <w:szCs w:val="24"/>
        </w:rPr>
        <w:t xml:space="preserve">) across a wide range of US cities. He showed an average annual net carbon uptake per tree of about 0.226 kg C m2 year-1. Scaling our tree carbon sequestration per unit of crown area we obtain an average value of </w:t>
      </w:r>
      <w:r>
        <w:rPr>
          <w:rFonts w:ascii="Times New Roman" w:eastAsia="Times New Roman" w:hAnsi="Times New Roman" w:cs="Times New Roman"/>
          <w:noProof/>
          <w:sz w:val="24"/>
          <w:szCs w:val="24"/>
        </w:rPr>
        <w:t>0.45</w:t>
      </w:r>
      <w:r w:rsidRPr="009F4D1B">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 xml:space="preserve">0.26 kg C m2 per half of vegetation period </w:t>
      </w:r>
      <w:r w:rsidRPr="009F4D1B">
        <w:rPr>
          <w:rFonts w:ascii="Times New Roman" w:eastAsia="Times New Roman" w:hAnsi="Times New Roman" w:cs="Times New Roman"/>
          <w:noProof/>
          <w:sz w:val="24"/>
          <w:szCs w:val="24"/>
        </w:rPr>
        <w:t>w</w:t>
      </w:r>
      <w:r>
        <w:rPr>
          <w:rFonts w:ascii="Times New Roman" w:eastAsia="Times New Roman" w:hAnsi="Times New Roman" w:cs="Times New Roman"/>
          <w:noProof/>
          <w:sz w:val="24"/>
          <w:szCs w:val="24"/>
        </w:rPr>
        <w:t>h</w:t>
      </w:r>
      <w:r w:rsidRPr="009F4D1B">
        <w:rPr>
          <w:rFonts w:ascii="Times New Roman" w:eastAsia="Times New Roman" w:hAnsi="Times New Roman" w:cs="Times New Roman"/>
          <w:noProof/>
          <w:sz w:val="24"/>
          <w:szCs w:val="24"/>
        </w:rPr>
        <w:t>ich is</w:t>
      </w:r>
      <w:r>
        <w:rPr>
          <w:rFonts w:ascii="Times New Roman" w:eastAsia="Times New Roman" w:hAnsi="Times New Roman" w:cs="Times New Roman"/>
          <w:noProof/>
          <w:sz w:val="24"/>
          <w:szCs w:val="24"/>
        </w:rPr>
        <w:t xml:space="preserve"> a bit higher of course, but still quite comparable due to small number of trees in our study.</w:t>
      </w:r>
    </w:p>
    <w:p w14:paraId="567AFC00" w14:textId="77777777" w:rsidR="00D01F0A" w:rsidRDefault="00D01F0A" w:rsidP="004E50E7">
      <w:pPr>
        <w:spacing w:after="0"/>
        <w:ind w:firstLine="720"/>
        <w:jc w:val="both"/>
        <w:rPr>
          <w:rFonts w:ascii="Times New Roman" w:eastAsia="Times New Roman" w:hAnsi="Times New Roman" w:cs="Times New Roman"/>
          <w:noProof/>
          <w:sz w:val="24"/>
          <w:szCs w:val="24"/>
        </w:rPr>
      </w:pPr>
    </w:p>
    <w:p w14:paraId="5CB07F11" w14:textId="31F3A907" w:rsidR="00015FD1"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5FD1">
        <w:rPr>
          <w:rFonts w:ascii="Times New Roman" w:eastAsia="Times New Roman" w:hAnsi="Times New Roman" w:cs="Times New Roman"/>
          <w:sz w:val="24"/>
          <w:szCs w:val="24"/>
        </w:rPr>
        <w:t xml:space="preserve">Air Temperature and Humidity </w:t>
      </w:r>
      <w:r w:rsidR="00134425">
        <w:rPr>
          <w:rFonts w:ascii="Times New Roman" w:eastAsia="Times New Roman" w:hAnsi="Times New Roman" w:cs="Times New Roman"/>
          <w:sz w:val="24"/>
          <w:szCs w:val="24"/>
        </w:rPr>
        <w:t>control</w:t>
      </w:r>
      <w:r>
        <w:rPr>
          <w:rFonts w:ascii="Times New Roman" w:eastAsia="Times New Roman" w:hAnsi="Times New Roman" w:cs="Times New Roman"/>
          <w:sz w:val="24"/>
          <w:szCs w:val="24"/>
        </w:rPr>
        <w:t>.</w:t>
      </w:r>
    </w:p>
    <w:p w14:paraId="7A079F7D" w14:textId="735F9F16"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local climate control from ecosystem service perspective is the mitigation of extreme temperatures and providing comfort urban microclimate. In fig. </w:t>
      </w:r>
      <w:r w:rsidR="004E50E7">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 diurnal difference mean changes of temperature between the reference station and the within tree crown space is presented as mean monthly day, for the investigated species. During the day the temperature difference is maximal, peaking on early afternoon in July, August and September, with the contrasting difference of October when the dynamic is reverted. During the day trees are cooling the surrounding air, showing an effect up to about 2°C degrees with the external temperatures. In October all the species </w:t>
      </w:r>
      <w:r>
        <w:rPr>
          <w:rFonts w:ascii="Times New Roman" w:eastAsia="Times New Roman" w:hAnsi="Times New Roman" w:cs="Times New Roman"/>
          <w:sz w:val="24"/>
          <w:szCs w:val="24"/>
        </w:rPr>
        <w:lastRenderedPageBreak/>
        <w:t xml:space="preserve">show a warming effect at mid of the day, on the same order. An opposed behavior is recorded for nighttime periods where usually during summer months trees are slightly warmer than the surrounded air. In October they show a cooling effect in the night. </w:t>
      </w:r>
    </w:p>
    <w:p w14:paraId="17180583" w14:textId="77E2B01D" w:rsidR="00015FD1" w:rsidRPr="00335AF7" w:rsidRDefault="00AD2F98"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8989B" wp14:editId="5487C6CE">
            <wp:extent cx="5410200" cy="3895725"/>
            <wp:effectExtent l="0" t="0" r="0" b="9525"/>
            <wp:docPr id="17" name="Рисунок 1"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r_diurnal_by_mont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3895725"/>
                    </a:xfrm>
                    <a:prstGeom prst="rect">
                      <a:avLst/>
                    </a:prstGeom>
                    <a:noFill/>
                    <a:ln>
                      <a:noFill/>
                    </a:ln>
                  </pic:spPr>
                </pic:pic>
              </a:graphicData>
            </a:graphic>
          </wp:inline>
        </w:drawing>
      </w:r>
    </w:p>
    <w:p w14:paraId="43B675E5" w14:textId="0972BC54"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sidR="004E50E7">
        <w:rPr>
          <w:rFonts w:ascii="Times New Roman" w:eastAsia="Times New Roman" w:hAnsi="Times New Roman" w:cs="Times New Roman"/>
          <w:sz w:val="24"/>
          <w:szCs w:val="24"/>
          <w:highlight w:val="yellow"/>
        </w:rPr>
        <w:t>3</w:t>
      </w:r>
      <w:r w:rsidRPr="00015FD1">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w:t>
      </w:r>
      <w:r w:rsidR="004E50E7">
        <w:rPr>
          <w:rFonts w:ascii="Times New Roman" w:eastAsia="Times New Roman" w:hAnsi="Times New Roman" w:cs="Times New Roman"/>
          <w:sz w:val="24"/>
          <w:szCs w:val="24"/>
        </w:rPr>
        <w:t>Diurnal differences mean changes of temperature by month</w:t>
      </w:r>
    </w:p>
    <w:p w14:paraId="20D2E12F" w14:textId="77777777" w:rsidR="00015FD1" w:rsidRPr="00730F1A"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differences between the air relative humidity under and outside of the canopy were not more than 20% (annex 1). During daytime trees made air more humid, while during nights they reduced humidity. There were no seasonal changes through months, even no significant difference between species.</w:t>
      </w:r>
      <w:r w:rsidRPr="00730F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can only see the typical sinusoid line with delay in time as a result of transpiration process.</w:t>
      </w:r>
    </w:p>
    <w:p w14:paraId="5B8325A3" w14:textId="19A0F15C"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important effect of trees is the mitigation of climate extremes. For this purpose we have estimated the daily differences between maximum and minimum temperatures of the reference station and the individual tree recording (fig. </w:t>
      </w:r>
      <w:r w:rsidR="004E50E7">
        <w:rPr>
          <w:rFonts w:ascii="Times New Roman" w:eastAsia="Times New Roman" w:hAnsi="Times New Roman" w:cs="Times New Roman"/>
          <w:sz w:val="24"/>
          <w:szCs w:val="24"/>
        </w:rPr>
        <w:t>4</w:t>
      </w:r>
      <w:r>
        <w:rPr>
          <w:rFonts w:ascii="Times New Roman" w:eastAsia="Times New Roman" w:hAnsi="Times New Roman" w:cs="Times New Roman"/>
          <w:sz w:val="24"/>
          <w:szCs w:val="24"/>
        </w:rPr>
        <w:t>). While temperature amplitudes outside of the canopy (the black line) reached a maximum of about 10°C degrees in August, under the canopy this amplitude was 3°C degrees lower.</w:t>
      </w:r>
      <w:r w:rsidRPr="001C2F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the species showed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similar</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period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w:t>
      </w:r>
      <w:r w:rsidRPr="00216FE1">
        <w:rPr>
          <w:rFonts w:ascii="Times New Roman" w:eastAsia="Times New Roman" w:hAnsi="Times New Roman" w:cs="Times New Roman"/>
          <w:sz w:val="24"/>
          <w:szCs w:val="24"/>
        </w:rPr>
        <w:t xml:space="preserve"> under the larch </w:t>
      </w:r>
      <w:r>
        <w:rPr>
          <w:rFonts w:ascii="Times New Roman" w:eastAsia="Times New Roman" w:hAnsi="Times New Roman" w:cs="Times New Roman"/>
          <w:sz w:val="24"/>
          <w:szCs w:val="24"/>
        </w:rPr>
        <w:t xml:space="preserve">temperature extremes were more similar to the reference station particularly during fall after </w:t>
      </w:r>
      <w:r w:rsidRPr="00E05F1D">
        <w:rPr>
          <w:rFonts w:ascii="Times New Roman" w:eastAsia="Times New Roman" w:hAnsi="Times New Roman" w:cs="Times New Roman"/>
          <w:sz w:val="24"/>
          <w:szCs w:val="24"/>
        </w:rPr>
        <w:t xml:space="preserve">defoliation </w:t>
      </w:r>
      <w:r>
        <w:rPr>
          <w:rFonts w:ascii="Times New Roman" w:eastAsia="Times New Roman" w:hAnsi="Times New Roman" w:cs="Times New Roman"/>
          <w:sz w:val="24"/>
          <w:szCs w:val="24"/>
        </w:rPr>
        <w:t xml:space="preserve">and due to the decrease of the air temperature. </w:t>
      </w:r>
    </w:p>
    <w:p w14:paraId="6FC7779F" w14:textId="1A490BFD" w:rsidR="00015FD1" w:rsidRDefault="00AD2F98"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25E163E8" wp14:editId="5888FC6F">
            <wp:extent cx="5943600" cy="4457700"/>
            <wp:effectExtent l="0" t="0" r="0" b="0"/>
            <wp:docPr id="16" name="Рисунок 2" descr="Tair_range_inside_and_outside_canopies_per_spe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ir_range_inside_and_outside_canopies_per_spei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C354BAA" w14:textId="79C305CB"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sidR="004E50E7">
        <w:rPr>
          <w:rFonts w:ascii="Times New Roman" w:eastAsia="Times New Roman" w:hAnsi="Times New Roman" w:cs="Times New Roman"/>
          <w:sz w:val="24"/>
          <w:szCs w:val="24"/>
          <w:highlight w:val="yellow"/>
        </w:rPr>
        <w:t>4</w:t>
      </w:r>
      <w:r w:rsidRPr="00015FD1">
        <w:rPr>
          <w:rFonts w:ascii="Times New Roman" w:eastAsia="Times New Roman" w:hAnsi="Times New Roman" w:cs="Times New Roman"/>
          <w:sz w:val="24"/>
          <w:szCs w:val="24"/>
          <w:highlight w:val="yellow"/>
        </w:rPr>
        <w:t>.</w:t>
      </w:r>
      <w:r w:rsidR="004E50E7">
        <w:rPr>
          <w:rFonts w:ascii="Times New Roman" w:eastAsia="Times New Roman" w:hAnsi="Times New Roman" w:cs="Times New Roman"/>
          <w:sz w:val="24"/>
          <w:szCs w:val="24"/>
        </w:rPr>
        <w:t xml:space="preserve"> Daily maximum amplitude differences between TT-R (black line) and TT+</w:t>
      </w:r>
    </w:p>
    <w:p w14:paraId="33A49B4A" w14:textId="3B0E5889" w:rsidR="00015FD1" w:rsidRDefault="004E50E7"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w:t>
      </w:r>
      <w:r w:rsidRPr="0039589E">
        <w:rPr>
          <w:rFonts w:ascii="Times New Roman" w:eastAsia="Times New Roman" w:hAnsi="Times New Roman" w:cs="Times New Roman"/>
          <w:sz w:val="24"/>
          <w:szCs w:val="24"/>
        </w:rPr>
        <w:t xml:space="preserve"> findings correspond well to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{"citationID":"VFK57BLj","properties":{"formattedCitation":"(Chen et al. 2019)","plainCitation":"(Chen et al. 2019)","dontUpdate":true,"noteIndex":0},"citationItems":[{"id":1851,"uris":["http://zotero.org/users/3524663/items/FJWJFRI9"],"uri":["http://zotero.org/users/3524663/items/FJWJFRI9"],"itemData":{"id":1851,"type":"article-journal","abstract":"Quantitative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39589E">
        <w:rPr>
          <w:rFonts w:ascii="Times New Roman" w:hAnsi="Times New Roman" w:cs="Times New Roman"/>
          <w:sz w:val="24"/>
        </w:rPr>
        <w:t xml:space="preserve">Chen et al. </w:t>
      </w:r>
      <w:r>
        <w:rPr>
          <w:rFonts w:ascii="Times New Roman" w:hAnsi="Times New Roman" w:cs="Times New Roman"/>
          <w:sz w:val="24"/>
        </w:rPr>
        <w:t>(</w:t>
      </w:r>
      <w:r w:rsidRPr="0039589E">
        <w:rPr>
          <w:rFonts w:ascii="Times New Roman" w:hAnsi="Times New Roman" w:cs="Times New Roman"/>
          <w:sz w:val="24"/>
        </w:rPr>
        <w:t>2019)</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explained observed seasonal dynamics of temperature reduction rates by differences in transpiration and to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{"citationID":"4azPLoh2","properties":{"formattedCitation":"(Rahman et al. 2020)","plainCitation":"(Rahman et al. 2020)","dontUpdate":true,"noteIndex":0},"citationItems":[{"id":2097,"uris":["http://zotero.org/users/3524663/items/ACEFTPBX"],"uri":["http://zotero.org/users/3524663/items/ACEFTPBX"],"itemData":{"id":2097,"type":"article-journal","abstract":"A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Pr>
          <w:rFonts w:ascii="Times New Roman" w:eastAsia="Times New Roman" w:hAnsi="Times New Roman" w:cs="Times New Roman"/>
          <w:sz w:val="24"/>
          <w:szCs w:val="24"/>
        </w:rPr>
        <w:fldChar w:fldCharType="separate"/>
      </w:r>
      <w:r w:rsidRPr="00995940">
        <w:rPr>
          <w:rFonts w:ascii="Times New Roman" w:hAnsi="Times New Roman" w:cs="Times New Roman"/>
          <w:sz w:val="24"/>
        </w:rPr>
        <w:t xml:space="preserve">Rahman et al. </w:t>
      </w:r>
      <w:r>
        <w:rPr>
          <w:rFonts w:ascii="Times New Roman" w:hAnsi="Times New Roman" w:cs="Times New Roman"/>
          <w:sz w:val="24"/>
        </w:rPr>
        <w:t>(</w:t>
      </w:r>
      <w:r w:rsidRPr="00995940">
        <w:rPr>
          <w:rFonts w:ascii="Times New Roman" w:hAnsi="Times New Roman" w:cs="Times New Roman"/>
          <w:sz w:val="24"/>
        </w:rPr>
        <w:t>2020)</w:t>
      </w:r>
      <w:r>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also found that within the canopy radius of 4.5m of </w:t>
      </w:r>
      <w:r>
        <w:rPr>
          <w:rFonts w:ascii="Times New Roman" w:eastAsia="Times New Roman" w:hAnsi="Times New Roman" w:cs="Times New Roman"/>
          <w:sz w:val="24"/>
          <w:szCs w:val="24"/>
        </w:rPr>
        <w:t xml:space="preserve">Acer platanoides or </w:t>
      </w:r>
      <w:r w:rsidRPr="0039589E">
        <w:rPr>
          <w:rFonts w:ascii="Times New Roman" w:eastAsia="Times New Roman" w:hAnsi="Times New Roman" w:cs="Times New Roman"/>
          <w:sz w:val="24"/>
          <w:szCs w:val="24"/>
        </w:rPr>
        <w:t>Tilia cordata trees, daytime temperature decreased up to 3.5 ℃ during August in comparison of the unshaded surrounding area.</w:t>
      </w:r>
      <w:r>
        <w:rPr>
          <w:rFonts w:ascii="Times New Roman" w:eastAsia="Times New Roman" w:hAnsi="Times New Roman" w:cs="Times New Roman"/>
          <w:sz w:val="24"/>
          <w:szCs w:val="24"/>
        </w:rPr>
        <w:t xml:space="preserve"> </w:t>
      </w:r>
      <w:r w:rsidR="00015FD1" w:rsidRPr="0039589E">
        <w:rPr>
          <w:rFonts w:ascii="Times New Roman" w:eastAsia="Times New Roman" w:hAnsi="Times New Roman" w:cs="Times New Roman"/>
          <w:sz w:val="24"/>
          <w:szCs w:val="24"/>
        </w:rPr>
        <w:t xml:space="preserve">Our results go in a line with the meta-analysis study, which showed relations between individual tree characteristics and daily/seasonal temperature reduction dynamics in different climate and urban conditions </w:t>
      </w:r>
      <w:r w:rsidR="00015FD1"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{"citationID":"HHosdItL","properties":{"formattedCitation":"(Rahman et al., 2020)","plainCitation":"(Rahman et al., 2020)","noteIndex":0},"citationItems":[{"id":2097,"uris":["http://zotero.org/users/3524663/items/ACEFTPBX"],"uri":["http://zotero.org/users/3524663/items/ACEFTPBX"],"itemData":{"id":2097,"type":"article-journal","abstract":"A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sidR="00015FD1"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(Rahman et al., 2020)</w:t>
      </w:r>
      <w:r w:rsidR="00015FD1" w:rsidRPr="0039589E">
        <w:rPr>
          <w:rFonts w:ascii="Times New Roman" w:eastAsia="Times New Roman" w:hAnsi="Times New Roman" w:cs="Times New Roman"/>
          <w:sz w:val="24"/>
          <w:szCs w:val="24"/>
        </w:rPr>
        <w:fldChar w:fldCharType="end"/>
      </w:r>
      <w:r w:rsidR="00015FD1" w:rsidRPr="0039589E">
        <w:rPr>
          <w:rFonts w:ascii="Times New Roman" w:eastAsia="Times New Roman" w:hAnsi="Times New Roman" w:cs="Times New Roman"/>
          <w:sz w:val="24"/>
          <w:szCs w:val="24"/>
        </w:rPr>
        <w:t xml:space="preserve">. Temperature reduction by urban green infrastructure on about 0.5-2.5℃ degrees was also shown in several articles, which used computational modeling </w:t>
      </w:r>
      <w:r w:rsidR="00015FD1"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{"citationID":"K0d5PrdU","properties":{"formattedCitation":"(Buccolieri et al., 2019; Morakinyo et al., 2020)","plainCitation":"(Buccolieri et al., 2019; Morakinyo et al., 2020)","noteIndex":0},"citationItems":[{"id":1869,"uris":["http://zotero.org/users/3524663/items/HIMKLDA4"],"uri":["http://zotero.org/users/3524663/items/HIMKLDA4"],"itemData":{"id":1869,"type":"article-journal","abstract":"This paper reviews current parameterizations developed and implemented within Computational Fluid Dynamics models for the study of the eﬀects linking vegetation, mainly trees, to urban air quality and thermal conditions. In the literature, passive mitigation via deposition is parametrized as a volumetric sink term in the transport equation of pollutants, while a volumetric source term is used for particle resuspension. The aerodynamics eﬀects are modelled via source and sink terms of momentum, turbulent kinetic energy and turbulent dissipation rate. A volumetric cooling power is ﬁnally considered to account for the thermal (transpirational cooling) eﬀects of vegetation. The most recent applications are also summarized with a focus on the relative importance of both aerodynamic and deposition eﬀects, together with recent studies evaluating thermal eﬀects. Those studies have shown that the aerodynamic eﬀects of trees are stronger than the positive eﬀects of deposition, however locally the pollutant concentration increases or decreases depending on the complex interrelation between local factors such as vegetation type and density, meteorological conditions, street geometry, pollutant characteristics and emission rates. Unlike aerodynamic and deposition eﬀects on pollutant dispersion which were also found in street far from trees, the thermal eﬀects were in general locally restricted to the close vicinity of the vegetation and to the street canyon itself. Future requirements in CFD modelling include more in depth investigation of resuspension and thermal eﬀects, as well as of the VOCs emissions and chemical reactions. The overall objective of this review is to provide the scientiﬁc community with a comprehensive summary on the current parameterizations of urban vegetation in CFD modelling and constitutes the starting point for the development of new parametrizations in CFD as well as in mesoscale models.","container-title":"Urban Forestry &amp; Urban Greening","DOI":"10.1016/j.ufug.2018.07.004","ISSN":"16188667","language":"en","page":"56-64","source":"Crossref","title":"Reprint of: Review on urban tree modelling in CFD simulations: Aerodynamic, deposition and thermal effects","title-short":"Reprint of","volume":"37","author":[{"family":"Buccolieri","given":"Riccardo"},{"family":"Santiago","given":"Jose-Luis"},{"family":"Rivas","given":"Esther"},{"family":"Sáanchez","given":"Beatriz"}],"issued":{"date-parts":[["2019",1]]}}},{"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00015FD1"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(Buccolieri et al., 2019; Morakinyo et al., 2020)</w:t>
      </w:r>
      <w:r w:rsidR="00015FD1" w:rsidRPr="0039589E">
        <w:rPr>
          <w:rFonts w:ascii="Times New Roman" w:eastAsia="Times New Roman" w:hAnsi="Times New Roman" w:cs="Times New Roman"/>
          <w:sz w:val="24"/>
          <w:szCs w:val="24"/>
        </w:rPr>
        <w:fldChar w:fldCharType="end"/>
      </w:r>
      <w:r w:rsidR="00015FD1" w:rsidRPr="0039589E">
        <w:rPr>
          <w:rFonts w:ascii="Times New Roman" w:eastAsia="Times New Roman" w:hAnsi="Times New Roman" w:cs="Times New Roman"/>
          <w:sz w:val="24"/>
          <w:szCs w:val="24"/>
        </w:rPr>
        <w:t xml:space="preserve"> and satellite based data such as land surface temperature </w:t>
      </w:r>
      <w:r w:rsidR="00015FD1"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{"citationID":"9jrdO0zl","properties":{"formattedCitation":"(Kremer et al., 2016; Tonyalo\\uc0\\u287{}lu, 2020)","plainCitation":"(Kremer et al., 2016; Tonyaloğlu, 2020)","noteIndex":0},"citationItems":[{"id":1130,"uris":["http://zotero.org/users/3524663/items/DMFYUR6H"],"uri":["http://zotero.org/users/3524663/items/DMFYUR6H"],"itemData":{"id":1130,"type":"article-journal","abstract":"Mapping,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A."},{"family":"McPhearson","given":"Timon"}],"issued":{"date-parts":[["2016",8]]}}},{"id":1628,"uris":["http://zotero.org/users/3524663/items/ZS2DB5GE"],"uri":["http://zotero.org/users/3524663/items/ZS2DB5GE"],"itemData":{"id":1628,"type":"article-journal","abstract":"Bornova metropolitan district is one of the most urbanised districts in Izmir metropolitan city, Turkey; with unknown eﬀ ;ects on the potential ecosystem services along urban-rural areas. This study mapped the condition of ecosystem services’ potential and analysed their spatiotemporal dynamics and patterns between 1990 and 2018 for Bornova district. The methodology used in this study was based on an existing potential ecosystem services mapping methodology and spatially explicit index using open access available spatial data. The spatiotemporal changes in the potential ecosystem services along the urban-rural gradient of Bornova district were assessed by global climate regulation (carbon storage), microclimate mitigation (Land Surface Temperature) and ecological integrity. The total vegetation cover in Bornova district increased from 18.41 % to 27.95 % to the last 28 years, particularly in peri-urban areas. Accordingly, two of the selected ecosystem services’ potential has increased throughout the district, except for ecological integrity. These changes were closely related to the deliberate eﬀorts of the Bornova Municipal Council in increasing the amount of urban green and open spaces throughout the Bornova district in coordination with Izmir Metropolitan City Council’s commitment to build a healthy and climate friendly city in the near future.","container-title":"Urban Forestry &amp; Urban Greening","DOI":"10.1016/j.ufug.2020.126631","ISSN":"16188667","journalAbbreviation":"Urban Forestry &amp; Urban Greening","language":"en","page":"126631","source":"DOI.org (Crossref)","title":"Spatiotemporal dynamics of urban ecosystem services in Turkey: The case of Bornova, Izmir","title-short":"Spatiotemporal dynamics of urban ecosystem services in Turkey","volume":"49","author":[{"family":"Tonyaloğlu","given":"Ebru Ersoy"}],"issued":{"date-parts":[["2020",3]]}}}],"schema":"https://github.com/citation-style-language/schema/raw/master/csl-citation.json"} </w:instrText>
      </w:r>
      <w:r w:rsidR="00015FD1"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(Kremer et al., 2016; Tonyaloğlu, 2020)</w:t>
      </w:r>
      <w:r w:rsidR="00015FD1" w:rsidRPr="0039589E">
        <w:rPr>
          <w:rFonts w:ascii="Times New Roman" w:eastAsia="Times New Roman" w:hAnsi="Times New Roman" w:cs="Times New Roman"/>
          <w:sz w:val="24"/>
          <w:szCs w:val="24"/>
        </w:rPr>
        <w:fldChar w:fldCharType="end"/>
      </w:r>
      <w:r w:rsidR="00015FD1">
        <w:rPr>
          <w:rFonts w:ascii="Times New Roman" w:eastAsia="Times New Roman" w:hAnsi="Times New Roman" w:cs="Times New Roman"/>
          <w:sz w:val="24"/>
          <w:szCs w:val="24"/>
        </w:rPr>
        <w:t>.</w:t>
      </w:r>
    </w:p>
    <w:p w14:paraId="1C35C10A" w14:textId="77777777" w:rsidR="00134425" w:rsidRDefault="00134425" w:rsidP="00015FD1">
      <w:pPr>
        <w:spacing w:after="0"/>
        <w:ind w:firstLine="720"/>
        <w:jc w:val="both"/>
        <w:rPr>
          <w:rFonts w:ascii="Times New Roman" w:eastAsia="Times New Roman" w:hAnsi="Times New Roman" w:cs="Times New Roman"/>
          <w:sz w:val="24"/>
          <w:szCs w:val="24"/>
        </w:rPr>
      </w:pPr>
    </w:p>
    <w:p w14:paraId="553B5940" w14:textId="77777777" w:rsidR="00134425" w:rsidRDefault="00134425" w:rsidP="00015FD1">
      <w:pPr>
        <w:spacing w:after="0"/>
        <w:ind w:firstLine="720"/>
        <w:jc w:val="both"/>
        <w:rPr>
          <w:rFonts w:ascii="Times New Roman" w:eastAsia="Times New Roman" w:hAnsi="Times New Roman" w:cs="Times New Roman"/>
          <w:sz w:val="24"/>
          <w:szCs w:val="24"/>
        </w:rPr>
      </w:pPr>
    </w:p>
    <w:p w14:paraId="3C5D65B9" w14:textId="6D229C92" w:rsidR="00321759" w:rsidRPr="00015FD1" w:rsidRDefault="004E50E7"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Energy consumption by trees via transpiration</w:t>
      </w:r>
    </w:p>
    <w:p w14:paraId="401610BC" w14:textId="59BD87EA" w:rsidR="004E50E7" w:rsidRPr="004E50E7" w:rsidRDefault="004E50E7" w:rsidP="004E50E7">
      <w:pPr>
        <w:spacing w:after="0"/>
        <w:rPr>
          <w:rFonts w:ascii="Times New Roman" w:eastAsia="Times New Roman" w:hAnsi="Times New Roman" w:cs="Times New Roman"/>
          <w:sz w:val="24"/>
          <w:szCs w:val="24"/>
        </w:rPr>
      </w:pPr>
      <w:r>
        <w:rPr>
          <w:noProof/>
          <w:lang w:val="ru-RU"/>
        </w:rPr>
        <w:lastRenderedPageBreak/>
        <w:drawing>
          <wp:inline distT="0" distB="0" distL="0" distR="0" wp14:anchorId="298CC61A" wp14:editId="1898AA11">
            <wp:extent cx="5939790" cy="4452620"/>
            <wp:effectExtent l="0" t="0" r="3810" b="5080"/>
            <wp:docPr id="2" name="Рисунок 2" descr="Flux_vs_VPD_couple_days_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ux_vs_VPD_couple_days_fill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2620"/>
                    </a:xfrm>
                    <a:prstGeom prst="rect">
                      <a:avLst/>
                    </a:prstGeom>
                    <a:noFill/>
                    <a:ln>
                      <a:noFill/>
                    </a:ln>
                  </pic:spPr>
                </pic:pic>
              </a:graphicData>
            </a:graphic>
          </wp:inline>
        </w:drawing>
      </w:r>
    </w:p>
    <w:p w14:paraId="029D958A" w14:textId="77777777" w:rsidR="004E50E7" w:rsidRDefault="004E50E7" w:rsidP="009C3D46">
      <w:pPr>
        <w:spacing w:after="0"/>
        <w:ind w:firstLine="720"/>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Figure 5 </w:t>
      </w:r>
      <w:r w:rsidRPr="004E50E7">
        <w:rPr>
          <w:rFonts w:ascii="Times New Roman" w:eastAsia="Times New Roman" w:hAnsi="Times New Roman" w:cs="Times New Roman"/>
          <w:noProof/>
          <w:sz w:val="24"/>
          <w:szCs w:val="24"/>
        </w:rPr>
        <w:t>Sap flux and VPD dynamics for several days during inversigated period.</w:t>
      </w:r>
    </w:p>
    <w:p w14:paraId="59793431" w14:textId="77777777" w:rsidR="002F32B4" w:rsidRDefault="002F32B4" w:rsidP="009C3D46">
      <w:pPr>
        <w:spacing w:after="0"/>
        <w:ind w:firstLine="720"/>
        <w:rPr>
          <w:rFonts w:ascii="Times New Roman" w:eastAsia="Times New Roman" w:hAnsi="Times New Roman" w:cs="Times New Roman"/>
          <w:sz w:val="24"/>
          <w:szCs w:val="24"/>
        </w:rPr>
      </w:pPr>
    </w:p>
    <w:p w14:paraId="433FA398" w14:textId="77777777" w:rsidR="009C3D46" w:rsidRDefault="009C3D46" w:rsidP="009C3D46">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energy balance equation it is possible to estimate the amount of absorbed radiation that is subtracted from the environment. Diurnal graph shows the increase of the absorbed energy (Rn) during day-time when evapotranspiration starts following the sun rise (fig.6). Energy flux associated with convective heating of a tree from the air was negative during night time (that means tree dissipate energy) during July and August. But it became positive already in September across all the day. And then in October energy flux at night became higher than day, which means tree takes more energy at night from the air. This reflects also in previous findings about changes in cooling effect in October. The lower values of energy absorption were shown by Betula and Larix, while Tillia and Acer showed the highest rates. It is interesting to note that Acer continue to be more active even in the first half of October, while all other trees dramatically drop down their activity. It is common to have the major part of energy absorption with transpiration during summer months, and convective heat during autumn.</w:t>
      </w:r>
    </w:p>
    <w:p w14:paraId="7B73DC1A" w14:textId="77777777" w:rsidR="009C3D46" w:rsidRDefault="009C3D46" w:rsidP="009C3D46">
      <w:pPr>
        <w:spacing w:after="0"/>
        <w:ind w:firstLine="720"/>
        <w:jc w:val="both"/>
        <w:rPr>
          <w:rFonts w:ascii="Times New Roman" w:eastAsia="Times New Roman" w:hAnsi="Times New Roman" w:cs="Times New Roman"/>
          <w:sz w:val="24"/>
          <w:szCs w:val="24"/>
        </w:rPr>
      </w:pPr>
      <w:r w:rsidRPr="00811B56">
        <w:rPr>
          <w:rFonts w:ascii="Times New Roman" w:eastAsia="Times New Roman" w:hAnsi="Times New Roman" w:cs="Times New Roman"/>
          <w:sz w:val="24"/>
          <w:szCs w:val="24"/>
        </w:rPr>
        <w:t>Also t</w:t>
      </w:r>
      <w:r>
        <w:rPr>
          <w:rFonts w:ascii="Times New Roman" w:eastAsia="Times New Roman" w:hAnsi="Times New Roman" w:cs="Times New Roman"/>
          <w:sz w:val="24"/>
          <w:szCs w:val="24"/>
        </w:rPr>
        <w:t>he</w:t>
      </w:r>
      <w:r w:rsidRPr="00811B56">
        <w:rPr>
          <w:rFonts w:ascii="Times New Roman" w:eastAsia="Times New Roman" w:hAnsi="Times New Roman" w:cs="Times New Roman"/>
          <w:sz w:val="24"/>
          <w:szCs w:val="24"/>
        </w:rPr>
        <w:t xml:space="preserve"> differences between individuals are noticeable</w:t>
      </w:r>
      <w:r>
        <w:rPr>
          <w:rFonts w:ascii="Times New Roman" w:eastAsia="Times New Roman" w:hAnsi="Times New Roman" w:cs="Times New Roman"/>
          <w:sz w:val="24"/>
          <w:szCs w:val="24"/>
        </w:rPr>
        <w:t xml:space="preserve"> (fig.7)</w:t>
      </w:r>
      <w:r w:rsidRPr="00811B56">
        <w:rPr>
          <w:rFonts w:ascii="Times New Roman" w:eastAsia="Times New Roman" w:hAnsi="Times New Roman" w:cs="Times New Roman"/>
          <w:sz w:val="24"/>
          <w:szCs w:val="24"/>
        </w:rPr>
        <w:t xml:space="preserve">. For example Acer #218A0281 showed completely </w:t>
      </w:r>
      <w:r>
        <w:rPr>
          <w:rFonts w:ascii="Times New Roman" w:eastAsia="Times New Roman" w:hAnsi="Times New Roman" w:cs="Times New Roman"/>
          <w:sz w:val="24"/>
          <w:szCs w:val="24"/>
        </w:rPr>
        <w:t xml:space="preserve">different energy </w:t>
      </w:r>
      <w:r w:rsidRPr="00811B56">
        <w:rPr>
          <w:rFonts w:ascii="Times New Roman" w:eastAsia="Times New Roman" w:hAnsi="Times New Roman" w:cs="Times New Roman"/>
          <w:sz w:val="24"/>
          <w:szCs w:val="24"/>
        </w:rPr>
        <w:t xml:space="preserve">balance structure than other Acers and </w:t>
      </w:r>
      <w:r>
        <w:rPr>
          <w:rFonts w:ascii="Times New Roman" w:eastAsia="Times New Roman" w:hAnsi="Times New Roman" w:cs="Times New Roman"/>
          <w:sz w:val="24"/>
          <w:szCs w:val="24"/>
        </w:rPr>
        <w:t xml:space="preserve">very low </w:t>
      </w:r>
      <w:r w:rsidRPr="00811B56">
        <w:rPr>
          <w:rFonts w:ascii="Times New Roman" w:eastAsia="Times New Roman" w:hAnsi="Times New Roman" w:cs="Times New Roman"/>
          <w:sz w:val="24"/>
          <w:szCs w:val="24"/>
        </w:rPr>
        <w:t xml:space="preserve">total value during summer months, that can possibly by explain by his lowest VTA score. Acer #218A0262 was overheated during autumn months that can be related to his edge standing position on the southern border of the green area. </w:t>
      </w:r>
    </w:p>
    <w:p w14:paraId="46242DD3" w14:textId="77777777" w:rsidR="00134425" w:rsidRDefault="00134425" w:rsidP="00134425">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Trees energy losses had high variation between species, individual trees and seasons. Authors possess that main variability between individual trees was due to difference in size of the canopy and position of the tree in the plot. Nevertheless, there are not much publication about energy balance of boreal urban trees, we got comparable number for lime in summer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{"citationID":"d5dzTaAl","properties":{"formattedCitation":"(Moser et al., 2015)","plainCitation":"(Moser et al., 2015)","noteIndex":0},"citationItems":[{"id":2120,"uris":["http://zotero.org/users/3524663/items/LM5H9YQP"],"uri":["http://zotero.org/users/3524663/items/LM5H9YQP"],"itemData":{"id":2120,"type":"article-journal","abstract":"Knowledge of the structure and morphology of common urban trees is scarce, particularly of the full life cycle of a tree. The present and future structural dimensions of urban tree species are of an increasing interest because tree growth is associated with its ecosystem services. The purpose of this study was to characterize the dimensions of two urban tree species (small-leaved lime, Tilia cordata Mill. and black locust, Robinia pseudoacacia L.) and to predict future structural dimensions based on the diameter at breast height and tree age. Regression equations were developed for tree height, crown diameter, crown height, crown volume, crown projection area, and open surface area of the tree pit. The data revealed strong relationships (r2 &gt; 0.7) between crown diameter, crown volume, crown projection area, crown height, tree pit for both species, and tree height of T. cordata. Based on tree dimensions and the leaf area index (LAI), three ecosystem services (carbon storage, shading, and cooling effects) were estimated for the analyzed trees. The results indicated that urban trees considerably improved the climate in cities, with carbon storage, shading, and cooling of single trees showing a direct relationship with LAI and age. The associations of tree growth patterns identiﬁed in this study can be used as guidelines for tree planting in cities and their ecosystem services; they may improve the management and planning of urban green areas.","container-title":"Urban Forestry &amp; Urban Greening","DOI":"10.1016/j.ufug.2015.10.005","ISSN":"16188667","issue":"4","language":"en","page":"1110-1121","source":"Crossref","title":"Structure and ecosystem services of small-leaved lime (Tilia cordata Mill.) and black locust (Robinia pseudoacacia L.) in urban environments","volume":"14","author":[{"family":"Moser","given":"A."},{"family":"Rötzer","given":"T."},{"family":"Pauleit","given":"S."},{"family":"Pretzsch","given":"H."}],"issued":{"date-parts":[["2015"]]}}}],"schema":"https://github.com/citation-style-language/schema/raw/master/csl-citation.json"} </w:instrText>
      </w:r>
      <w:r>
        <w:rPr>
          <w:rFonts w:ascii="Times New Roman" w:eastAsia="Times New Roman" w:hAnsi="Times New Roman" w:cs="Times New Roman"/>
          <w:sz w:val="24"/>
          <w:szCs w:val="24"/>
        </w:rPr>
        <w:fldChar w:fldCharType="separate"/>
      </w:r>
      <w:r w:rsidRPr="00062E3F">
        <w:rPr>
          <w:rFonts w:ascii="Times New Roman" w:hAnsi="Times New Roman" w:cs="Times New Roman"/>
          <w:sz w:val="24"/>
        </w:rPr>
        <w:t>(Moser et al.,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B5799C0" w14:textId="294916DD" w:rsidR="009C3D46" w:rsidRDefault="003C21C6" w:rsidP="009C3D4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FEE7E3" wp14:editId="2AFFA868">
            <wp:extent cx="5940425" cy="4455319"/>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14:paraId="3AB216D8" w14:textId="7E230CB2" w:rsidR="009C3D46" w:rsidRDefault="009C3D46" w:rsidP="009C3D4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w:t>
      </w:r>
      <w:r w:rsidR="003C21C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iurnal dynamics of </w:t>
      </w:r>
      <w:r w:rsidR="003C21C6">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atent heat (L) and </w:t>
      </w:r>
      <w:r w:rsidR="003C21C6">
        <w:rPr>
          <w:rFonts w:ascii="Times New Roman" w:eastAsia="Times New Roman" w:hAnsi="Times New Roman" w:cs="Times New Roman"/>
          <w:sz w:val="24"/>
          <w:szCs w:val="24"/>
        </w:rPr>
        <w:t>sap flow</w:t>
      </w:r>
      <w:r>
        <w:rPr>
          <w:rFonts w:ascii="Times New Roman" w:eastAsia="Times New Roman" w:hAnsi="Times New Roman" w:cs="Times New Roman"/>
          <w:sz w:val="24"/>
          <w:szCs w:val="24"/>
        </w:rPr>
        <w:t xml:space="preserve"> for different species averaged per month</w:t>
      </w:r>
    </w:p>
    <w:p w14:paraId="5D2329DE" w14:textId="77777777" w:rsidR="009C3D46" w:rsidRDefault="009C3D46" w:rsidP="009C3D46">
      <w:pPr>
        <w:spacing w:after="0"/>
        <w:rPr>
          <w:rFonts w:ascii="Times New Roman" w:eastAsia="Times New Roman" w:hAnsi="Times New Roman" w:cs="Times New Roman"/>
          <w:sz w:val="24"/>
          <w:szCs w:val="24"/>
        </w:rPr>
      </w:pPr>
    </w:p>
    <w:p w14:paraId="290A1BD7" w14:textId="26249E17" w:rsidR="009C3D46" w:rsidRDefault="002101FC" w:rsidP="009C3D4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5D1938C" wp14:editId="34164EBB">
            <wp:extent cx="5924550" cy="3295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03DADA0E" w14:textId="5166B446" w:rsidR="009C3D46" w:rsidRPr="003C21C6" w:rsidRDefault="009C3D46" w:rsidP="009C3D4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Energy removed from </w:t>
      </w:r>
      <w:r w:rsidRPr="00F363F3">
        <w:rPr>
          <w:rFonts w:ascii="Times New Roman" w:eastAsia="Times New Roman" w:hAnsi="Times New Roman" w:cs="Times New Roman"/>
          <w:sz w:val="24"/>
          <w:szCs w:val="24"/>
        </w:rPr>
        <w:t>atmosphere</w:t>
      </w:r>
      <w:r>
        <w:rPr>
          <w:rFonts w:ascii="Times New Roman" w:eastAsia="Times New Roman" w:hAnsi="Times New Roman" w:cs="Times New Roman"/>
          <w:sz w:val="24"/>
          <w:szCs w:val="24"/>
        </w:rPr>
        <w:t xml:space="preserve"> monthly by each investigated tree </w:t>
      </w:r>
    </w:p>
    <w:p w14:paraId="04C0AB8F" w14:textId="0EB64C66" w:rsidR="004E50E7" w:rsidRDefault="004E50E7" w:rsidP="00126910">
      <w:pPr>
        <w:spacing w:after="0"/>
        <w:ind w:firstLine="720"/>
        <w:jc w:val="both"/>
        <w:rPr>
          <w:rFonts w:ascii="Times New Roman" w:eastAsia="Times New Roman" w:hAnsi="Times New Roman" w:cs="Times New Roman"/>
          <w:sz w:val="24"/>
          <w:szCs w:val="24"/>
        </w:rPr>
      </w:pPr>
    </w:p>
    <w:p w14:paraId="0E5645DE" w14:textId="77777777" w:rsidR="00134425" w:rsidRDefault="00134425" w:rsidP="00126910">
      <w:pPr>
        <w:spacing w:after="0"/>
        <w:ind w:firstLine="720"/>
        <w:jc w:val="both"/>
        <w:rPr>
          <w:rFonts w:ascii="Times New Roman" w:eastAsia="Times New Roman" w:hAnsi="Times New Roman" w:cs="Times New Roman"/>
          <w:sz w:val="24"/>
          <w:szCs w:val="24"/>
        </w:rPr>
      </w:pPr>
    </w:p>
    <w:p w14:paraId="1EC32034" w14:textId="77777777" w:rsidR="00134425" w:rsidRDefault="00134425" w:rsidP="00126910">
      <w:pPr>
        <w:spacing w:after="0"/>
        <w:ind w:firstLine="720"/>
        <w:jc w:val="both"/>
        <w:rPr>
          <w:rFonts w:ascii="Times New Roman" w:eastAsia="Times New Roman" w:hAnsi="Times New Roman" w:cs="Times New Roman"/>
          <w:sz w:val="24"/>
          <w:szCs w:val="24"/>
        </w:rPr>
      </w:pPr>
    </w:p>
    <w:p w14:paraId="3EB73A77" w14:textId="77777777" w:rsidR="00134425" w:rsidRDefault="00134425" w:rsidP="00126910">
      <w:pPr>
        <w:spacing w:after="0"/>
        <w:ind w:firstLine="720"/>
        <w:jc w:val="both"/>
        <w:rPr>
          <w:rFonts w:ascii="Times New Roman" w:eastAsia="Times New Roman" w:hAnsi="Times New Roman" w:cs="Times New Roman"/>
          <w:sz w:val="24"/>
          <w:szCs w:val="24"/>
        </w:rPr>
      </w:pPr>
    </w:p>
    <w:p w14:paraId="3BADB50C" w14:textId="621D0504" w:rsidR="009C3D46" w:rsidRPr="009C3D46" w:rsidRDefault="009C3D46" w:rsidP="009C3D46">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34425">
        <w:rPr>
          <w:rFonts w:ascii="Times New Roman" w:eastAsia="Times New Roman" w:hAnsi="Times New Roman" w:cs="Times New Roman"/>
          <w:sz w:val="24"/>
          <w:szCs w:val="24"/>
        </w:rPr>
        <w:t>Run-off mitigation</w:t>
      </w:r>
      <w:r w:rsidRPr="009C3D46">
        <w:rPr>
          <w:rFonts w:ascii="Times New Roman" w:eastAsia="Times New Roman" w:hAnsi="Times New Roman" w:cs="Times New Roman"/>
          <w:sz w:val="24"/>
          <w:szCs w:val="24"/>
        </w:rPr>
        <w:t xml:space="preserve"> by trees via transpiration</w:t>
      </w:r>
    </w:p>
    <w:p w14:paraId="66145008" w14:textId="0A22CE72" w:rsidR="004438A4" w:rsidRPr="007E4F73" w:rsidRDefault="00126910" w:rsidP="001269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the purpose of the current study we report the cumulated </w:t>
      </w:r>
      <w:r w:rsidR="00683D4D">
        <w:rPr>
          <w:rFonts w:ascii="Times New Roman" w:eastAsia="Times New Roman" w:hAnsi="Times New Roman" w:cs="Times New Roman"/>
          <w:sz w:val="24"/>
          <w:szCs w:val="24"/>
        </w:rPr>
        <w:t xml:space="preserve">transpired amount of water </w:t>
      </w:r>
      <w:r>
        <w:rPr>
          <w:rFonts w:ascii="Times New Roman" w:eastAsia="Times New Roman" w:hAnsi="Times New Roman" w:cs="Times New Roman"/>
          <w:sz w:val="24"/>
          <w:szCs w:val="24"/>
        </w:rPr>
        <w:t xml:space="preserve">in relation to seasonal rainfall. The units are expressed in mm of water where for each of the tree, transpiration rates have been converted in </w:t>
      </w:r>
      <w:r w:rsidR="00995940">
        <w:rPr>
          <w:rFonts w:ascii="Times New Roman" w:eastAsia="Times New Roman" w:hAnsi="Times New Roman" w:cs="Times New Roman"/>
          <w:sz w:val="24"/>
          <w:szCs w:val="24"/>
        </w:rPr>
        <w:t xml:space="preserve">mm by using the tree crown area </w:t>
      </w:r>
      <w:r w:rsidR="00947EE5">
        <w:rPr>
          <w:rFonts w:ascii="Times New Roman" w:eastAsia="Times New Roman" w:hAnsi="Times New Roman" w:cs="Times New Roman"/>
          <w:sz w:val="24"/>
          <w:szCs w:val="24"/>
        </w:rPr>
        <w:t>(</w:t>
      </w:r>
      <w:r w:rsidR="00015FD1">
        <w:rPr>
          <w:rFonts w:ascii="Times New Roman" w:eastAsia="Times New Roman" w:hAnsi="Times New Roman" w:cs="Times New Roman"/>
          <w:sz w:val="24"/>
          <w:szCs w:val="24"/>
        </w:rPr>
        <w:t>fig.</w:t>
      </w:r>
      <w:r w:rsidR="002F32B4">
        <w:rPr>
          <w:rFonts w:ascii="Times New Roman" w:eastAsia="Times New Roman" w:hAnsi="Times New Roman" w:cs="Times New Roman"/>
          <w:sz w:val="24"/>
          <w:szCs w:val="24"/>
        </w:rPr>
        <w:t>8</w:t>
      </w:r>
      <w:r w:rsidR="00947EE5">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main purpose is to show, f</w:t>
      </w:r>
      <w:r w:rsidR="00683D4D">
        <w:rPr>
          <w:rFonts w:ascii="Times New Roman" w:eastAsia="Times New Roman" w:hAnsi="Times New Roman" w:cs="Times New Roman"/>
          <w:sz w:val="24"/>
          <w:szCs w:val="24"/>
        </w:rPr>
        <w:t>rom ecosystem services perspective</w:t>
      </w:r>
      <w:r>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the possibility of a tree to serve as a sewage system to mitigate flooding from rains. Our results show that Acers </w:t>
      </w:r>
      <w:r w:rsidR="000C27A7">
        <w:rPr>
          <w:rFonts w:ascii="Times New Roman" w:eastAsia="Times New Roman" w:hAnsi="Times New Roman" w:cs="Times New Roman"/>
          <w:sz w:val="24"/>
          <w:szCs w:val="24"/>
        </w:rPr>
        <w:t xml:space="preserve">reduced </w:t>
      </w:r>
      <w:r w:rsidR="00E53664">
        <w:rPr>
          <w:rFonts w:ascii="Times New Roman" w:eastAsia="Times New Roman" w:hAnsi="Times New Roman" w:cs="Times New Roman"/>
          <w:sz w:val="24"/>
          <w:szCs w:val="24"/>
        </w:rPr>
        <w:t xml:space="preserve">80-180 </w:t>
      </w:r>
      <w:r w:rsidR="00DE16FC">
        <w:rPr>
          <w:rFonts w:ascii="Times New Roman" w:eastAsia="Times New Roman" w:hAnsi="Times New Roman" w:cs="Times New Roman"/>
          <w:sz w:val="24"/>
          <w:szCs w:val="24"/>
        </w:rPr>
        <w:t>mm</w:t>
      </w:r>
      <w:r w:rsidR="000C27A7">
        <w:rPr>
          <w:rFonts w:ascii="Times New Roman" w:eastAsia="Times New Roman" w:hAnsi="Times New Roman" w:cs="Times New Roman"/>
          <w:sz w:val="24"/>
          <w:szCs w:val="24"/>
        </w:rPr>
        <w:t xml:space="preserve"> of water through the investigated period, while </w:t>
      </w:r>
      <w:r w:rsidR="00565ED8">
        <w:rPr>
          <w:rFonts w:ascii="Times New Roman" w:eastAsia="Times New Roman" w:hAnsi="Times New Roman" w:cs="Times New Roman"/>
          <w:sz w:val="24"/>
          <w:szCs w:val="24"/>
        </w:rPr>
        <w:t xml:space="preserve">young </w:t>
      </w:r>
      <w:r w:rsidR="000C27A7">
        <w:rPr>
          <w:rFonts w:ascii="Times New Roman" w:eastAsia="Times New Roman" w:hAnsi="Times New Roman" w:cs="Times New Roman"/>
          <w:sz w:val="24"/>
          <w:szCs w:val="24"/>
        </w:rPr>
        <w:t>Betulas –</w:t>
      </w:r>
      <w:r w:rsidR="00E53664">
        <w:rPr>
          <w:rFonts w:ascii="Times New Roman" w:eastAsia="Times New Roman" w:hAnsi="Times New Roman" w:cs="Times New Roman"/>
          <w:sz w:val="24"/>
          <w:szCs w:val="24"/>
        </w:rPr>
        <w:t xml:space="preserve"> about 250-350 </w:t>
      </w:r>
      <w:r w:rsidR="00DE16FC">
        <w:rPr>
          <w:rFonts w:ascii="Times New Roman" w:eastAsia="Times New Roman" w:hAnsi="Times New Roman" w:cs="Times New Roman"/>
          <w:sz w:val="24"/>
          <w:szCs w:val="24"/>
        </w:rPr>
        <w:t>mm</w:t>
      </w:r>
      <w:r w:rsidR="000C27A7">
        <w:rPr>
          <w:rFonts w:ascii="Times New Roman" w:eastAsia="Times New Roman" w:hAnsi="Times New Roman" w:cs="Times New Roman"/>
          <w:sz w:val="24"/>
          <w:szCs w:val="24"/>
        </w:rPr>
        <w:t>. In general</w:t>
      </w:r>
      <w:r w:rsidR="00120C83">
        <w:rPr>
          <w:rFonts w:ascii="Times New Roman" w:eastAsia="Times New Roman" w:hAnsi="Times New Roman" w:cs="Times New Roman"/>
          <w:sz w:val="24"/>
          <w:szCs w:val="24"/>
        </w:rPr>
        <w:t>,</w:t>
      </w:r>
      <w:r w:rsidR="000C27A7">
        <w:rPr>
          <w:rFonts w:ascii="Times New Roman" w:eastAsia="Times New Roman" w:hAnsi="Times New Roman" w:cs="Times New Roman"/>
          <w:sz w:val="24"/>
          <w:szCs w:val="24"/>
        </w:rPr>
        <w:t xml:space="preserve"> this process seemed to be linear, but there were several noticeable deviations</w:t>
      </w:r>
      <w:r w:rsidR="00AC0807" w:rsidRPr="00120C83">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I</w:t>
      </w:r>
      <w:r w:rsidR="00AC0807" w:rsidRPr="00120C83">
        <w:rPr>
          <w:rFonts w:ascii="Times New Roman" w:eastAsia="Times New Roman" w:hAnsi="Times New Roman" w:cs="Times New Roman"/>
          <w:color w:val="000000"/>
          <w:sz w:val="24"/>
          <w:szCs w:val="24"/>
        </w:rPr>
        <w:t>f we assume that evapotranspiration depends on</w:t>
      </w:r>
      <w:r w:rsidR="00120C83">
        <w:rPr>
          <w:rFonts w:ascii="Times New Roman" w:eastAsia="Times New Roman" w:hAnsi="Times New Roman" w:cs="Times New Roman"/>
          <w:color w:val="000000"/>
          <w:sz w:val="24"/>
          <w:szCs w:val="24"/>
        </w:rPr>
        <w:t>ly from</w:t>
      </w:r>
      <w:r w:rsidR="00AC0807" w:rsidRPr="00120C83">
        <w:rPr>
          <w:rFonts w:ascii="Times New Roman" w:eastAsia="Times New Roman" w:hAnsi="Times New Roman" w:cs="Times New Roman"/>
          <w:color w:val="000000"/>
          <w:sz w:val="24"/>
          <w:szCs w:val="24"/>
        </w:rPr>
        <w:t xml:space="preserve"> diameter it should be no crossing lines on graph.</w:t>
      </w:r>
      <w:r w:rsidR="00AC0807">
        <w:rPr>
          <w:rFonts w:ascii="Times New Roman" w:eastAsia="Times New Roman" w:hAnsi="Times New Roman" w:cs="Times New Roman"/>
          <w:color w:val="000000"/>
          <w:sz w:val="24"/>
          <w:szCs w:val="24"/>
        </w:rPr>
        <w:t xml:space="preserve">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showed</w:t>
      </w:r>
      <w:r w:rsidR="007F2074">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a similar trend until DOY</w:t>
      </w:r>
      <w:r w:rsidR="007F2074">
        <w:rPr>
          <w:rFonts w:ascii="Times New Roman" w:eastAsia="Times New Roman" w:hAnsi="Times New Roman" w:cs="Times New Roman"/>
          <w:color w:val="000000"/>
          <w:sz w:val="24"/>
          <w:szCs w:val="24"/>
        </w:rPr>
        <w:t xml:space="preserve"> 260 </w:t>
      </w:r>
      <w:r w:rsidR="00120C83">
        <w:rPr>
          <w:rFonts w:ascii="Times New Roman" w:eastAsia="Times New Roman" w:hAnsi="Times New Roman" w:cs="Times New Roman"/>
          <w:color w:val="000000"/>
          <w:sz w:val="24"/>
          <w:szCs w:val="24"/>
        </w:rPr>
        <w:t xml:space="preserve">and from this date one </w:t>
      </w:r>
      <w:r w:rsidR="007F2074">
        <w:rPr>
          <w:rFonts w:ascii="Times New Roman" w:eastAsia="Times New Roman" w:hAnsi="Times New Roman" w:cs="Times New Roman"/>
          <w:color w:val="000000"/>
          <w:sz w:val="24"/>
          <w:szCs w:val="24"/>
        </w:rPr>
        <w:t xml:space="preserve">of them slowed down, while </w:t>
      </w:r>
      <w:r w:rsidR="00120C83">
        <w:rPr>
          <w:rFonts w:ascii="Times New Roman" w:eastAsia="Times New Roman" w:hAnsi="Times New Roman" w:cs="Times New Roman"/>
          <w:color w:val="000000"/>
          <w:sz w:val="24"/>
          <w:szCs w:val="24"/>
        </w:rPr>
        <w:t xml:space="preserve">the </w:t>
      </w:r>
      <w:r w:rsidR="007F2074">
        <w:rPr>
          <w:rFonts w:ascii="Times New Roman" w:eastAsia="Times New Roman" w:hAnsi="Times New Roman" w:cs="Times New Roman"/>
          <w:color w:val="000000"/>
          <w:sz w:val="24"/>
          <w:szCs w:val="24"/>
        </w:rPr>
        <w:t xml:space="preserve">other became more active. </w:t>
      </w:r>
      <w:r w:rsidR="007F2074" w:rsidRPr="00CF1243">
        <w:rPr>
          <w:rFonts w:ascii="Times New Roman" w:eastAsia="Times New Roman" w:hAnsi="Times New Roman" w:cs="Times New Roman"/>
          <w:color w:val="000000"/>
          <w:sz w:val="24"/>
          <w:szCs w:val="24"/>
        </w:rPr>
        <w:t xml:space="preserve">Acer #281 has lower VTA score and higher diameter but he is standing in a group inside the square, while Acer #262 is standing on the edge, so maybe he was under a higher anthropogenic pressure. </w:t>
      </w:r>
      <w:r w:rsidR="007F2074" w:rsidRPr="00CF1243">
        <w:rPr>
          <w:rFonts w:ascii="Times New Roman" w:eastAsia="Times New Roman" w:hAnsi="Times New Roman" w:cs="Times New Roman"/>
          <w:sz w:val="24"/>
          <w:szCs w:val="24"/>
        </w:rPr>
        <w:t>On the other hand there were no significant respond to the heavy rains.</w:t>
      </w:r>
      <w:r w:rsidR="007F2074">
        <w:rPr>
          <w:rFonts w:ascii="Times New Roman" w:eastAsia="Times New Roman" w:hAnsi="Times New Roman" w:cs="Times New Roman"/>
          <w:sz w:val="24"/>
          <w:szCs w:val="24"/>
        </w:rPr>
        <w:t xml:space="preserve"> </w:t>
      </w:r>
      <w:r w:rsidR="00120C83">
        <w:rPr>
          <w:rFonts w:ascii="Times New Roman" w:eastAsia="Times New Roman" w:hAnsi="Times New Roman" w:cs="Times New Roman"/>
          <w:sz w:val="24"/>
          <w:szCs w:val="24"/>
        </w:rPr>
        <w:t>Our data shows that in</w:t>
      </w:r>
      <w:r w:rsidR="00947EE5">
        <w:rPr>
          <w:rFonts w:ascii="Times New Roman" w:eastAsia="Times New Roman" w:hAnsi="Times New Roman" w:cs="Times New Roman"/>
          <w:sz w:val="24"/>
          <w:szCs w:val="24"/>
        </w:rPr>
        <w:t xml:space="preserve"> general we can say that </w:t>
      </w:r>
      <w:r w:rsidR="00565ED8">
        <w:rPr>
          <w:rFonts w:ascii="Times New Roman" w:eastAsia="Times New Roman" w:hAnsi="Times New Roman" w:cs="Times New Roman"/>
          <w:sz w:val="24"/>
          <w:szCs w:val="24"/>
        </w:rPr>
        <w:t>about 80% (+-60)</w:t>
      </w:r>
      <w:r w:rsidR="00947EE5">
        <w:rPr>
          <w:rFonts w:ascii="Times New Roman" w:eastAsia="Times New Roman" w:hAnsi="Times New Roman" w:cs="Times New Roman"/>
          <w:sz w:val="24"/>
          <w:szCs w:val="24"/>
        </w:rPr>
        <w:t xml:space="preserve"> of water coming with the rains can be removed </w:t>
      </w:r>
      <w:r w:rsidR="00120C83">
        <w:rPr>
          <w:rFonts w:ascii="Times New Roman" w:eastAsia="Times New Roman" w:hAnsi="Times New Roman" w:cs="Times New Roman"/>
          <w:sz w:val="24"/>
          <w:szCs w:val="24"/>
        </w:rPr>
        <w:t>thanks to tree transpiration</w:t>
      </w:r>
      <w:r w:rsidR="00947EE5">
        <w:rPr>
          <w:rFonts w:ascii="Times New Roman" w:eastAsia="Times New Roman" w:hAnsi="Times New Roman" w:cs="Times New Roman"/>
          <w:sz w:val="24"/>
          <w:szCs w:val="24"/>
        </w:rPr>
        <w:t>.</w:t>
      </w:r>
      <w:r w:rsidR="00565ED8" w:rsidRPr="00565ED8">
        <w:rPr>
          <w:rFonts w:ascii="Times New Roman" w:eastAsia="Times New Roman" w:hAnsi="Times New Roman" w:cs="Times New Roman"/>
          <w:sz w:val="24"/>
          <w:szCs w:val="24"/>
        </w:rPr>
        <w:t xml:space="preserve"> </w:t>
      </w:r>
      <w:r w:rsidR="00565ED8">
        <w:rPr>
          <w:rFonts w:ascii="Times New Roman" w:eastAsia="Times New Roman" w:hAnsi="Times New Roman" w:cs="Times New Roman"/>
          <w:sz w:val="24"/>
          <w:szCs w:val="24"/>
        </w:rPr>
        <w:t>In annex 3 we show an ensemble of transpiration daily patterns for the investigated individuals which show the typical diurnal behavior modulated by changing environmental parameters.</w:t>
      </w:r>
    </w:p>
    <w:p w14:paraId="344F3D57" w14:textId="768920C5" w:rsidR="004438A4" w:rsidRDefault="00AD2F98"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F190AD5" wp14:editId="15D06396">
            <wp:extent cx="5943600" cy="4457700"/>
            <wp:effectExtent l="0" t="0" r="0" b="0"/>
            <wp:docPr id="15" name="Рисунок 3" descr="Transpiration_vs_precipitation_cumulated_ts_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piration_vs_precipitation_cumulated_ts_m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521047" w14:textId="38E9AA00" w:rsidR="00947EE5" w:rsidRDefault="00207112" w:rsidP="00E0539B">
      <w:pPr>
        <w:spacing w:after="0"/>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8</w:t>
      </w:r>
      <w:r w:rsidR="00947EE5">
        <w:rPr>
          <w:rFonts w:ascii="Times New Roman" w:eastAsia="Times New Roman" w:hAnsi="Times New Roman" w:cs="Times New Roman"/>
          <w:sz w:val="24"/>
          <w:szCs w:val="24"/>
        </w:rPr>
        <w:t>. Evapotranspiration</w:t>
      </w:r>
      <w:r w:rsidR="00E0539B">
        <w:rPr>
          <w:rFonts w:ascii="Times New Roman" w:eastAsia="Times New Roman" w:hAnsi="Times New Roman" w:cs="Times New Roman"/>
          <w:sz w:val="24"/>
          <w:szCs w:val="24"/>
        </w:rPr>
        <w:t xml:space="preserve"> of</w:t>
      </w:r>
      <w:r w:rsidR="00947EE5">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eac</w:t>
      </w:r>
      <w:r w:rsidR="00052344">
        <w:rPr>
          <w:rFonts w:ascii="Times New Roman" w:eastAsia="Times New Roman" w:hAnsi="Times New Roman" w:cs="Times New Roman"/>
          <w:sz w:val="24"/>
          <w:szCs w:val="24"/>
        </w:rPr>
        <w:t>h tree compared to precipitation</w:t>
      </w:r>
      <w:r w:rsidR="00B739EB">
        <w:rPr>
          <w:rFonts w:ascii="Times New Roman" w:eastAsia="Times New Roman" w:hAnsi="Times New Roman" w:cs="Times New Roman"/>
          <w:sz w:val="24"/>
          <w:szCs w:val="24"/>
        </w:rPr>
        <w:t>(black line)</w:t>
      </w:r>
      <w:r w:rsidR="00052344">
        <w:rPr>
          <w:rFonts w:ascii="Times New Roman" w:eastAsia="Times New Roman" w:hAnsi="Times New Roman" w:cs="Times New Roman"/>
          <w:sz w:val="24"/>
          <w:szCs w:val="24"/>
        </w:rPr>
        <w:t>.</w:t>
      </w:r>
    </w:p>
    <w:p w14:paraId="00775F6F" w14:textId="36AF3E64" w:rsidR="00C2351F" w:rsidRDefault="00C2351F" w:rsidP="00C2351F">
      <w:pPr>
        <w:spacing w:after="0"/>
        <w:ind w:firstLine="720"/>
        <w:jc w:val="both"/>
      </w:pPr>
      <w:r>
        <w:rPr>
          <w:rFonts w:ascii="Times New Roman" w:eastAsia="Times New Roman" w:hAnsi="Times New Roman" w:cs="Times New Roman"/>
          <w:sz w:val="24"/>
          <w:szCs w:val="24"/>
        </w:rPr>
        <w:t>For investigated period</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 trees was able to transpirate all precipitated water volume around them in area from 20 (</w:t>
      </w:r>
      <w:r w:rsidRPr="00F102D5">
        <w:rPr>
          <w:rFonts w:ascii="Times New Roman" w:eastAsia="Times New Roman" w:hAnsi="Times New Roman" w:cs="Times New Roman"/>
          <w:i/>
          <w:iCs/>
          <w:sz w:val="24"/>
          <w:szCs w:val="24"/>
        </w:rPr>
        <w:t>Betula pendula</w:t>
      </w:r>
      <w:r>
        <w:rPr>
          <w:rFonts w:ascii="Times New Roman" w:eastAsia="Times New Roman" w:hAnsi="Times New Roman" w:cs="Times New Roman"/>
          <w:sz w:val="24"/>
          <w:szCs w:val="24"/>
        </w:rPr>
        <w:t>) to 70m</w:t>
      </w:r>
      <w:r w:rsidRPr="005E1B10">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F102D5">
        <w:rPr>
          <w:rFonts w:ascii="Times New Roman" w:eastAsia="Times New Roman" w:hAnsi="Times New Roman" w:cs="Times New Roman"/>
          <w:i/>
          <w:iCs/>
          <w:sz w:val="24"/>
          <w:szCs w:val="24"/>
        </w:rPr>
        <w:t>Acer platanoides</w:t>
      </w:r>
      <w:r>
        <w:rPr>
          <w:rFonts w:ascii="Times New Roman" w:eastAsia="Times New Roman" w:hAnsi="Times New Roman" w:cs="Times New Roman"/>
          <w:sz w:val="24"/>
          <w:szCs w:val="24"/>
        </w:rPr>
        <w:t xml:space="preserve">), which positively correlates with size and density of those species canopies. Taking into account density of the stand it can be assumed that for investigated plot </w:t>
      </w:r>
      <w:r w:rsidRPr="00EA0109">
        <w:rPr>
          <w:rFonts w:ascii="Times New Roman" w:eastAsia="Times New Roman" w:hAnsi="Times New Roman" w:cs="Times New Roman"/>
          <w:sz w:val="24"/>
          <w:szCs w:val="24"/>
        </w:rPr>
        <w:t xml:space="preserve">annual rainfall and transpiration could be </w:t>
      </w:r>
      <w:r>
        <w:rPr>
          <w:rFonts w:ascii="Times New Roman" w:eastAsia="Times New Roman" w:hAnsi="Times New Roman" w:cs="Times New Roman"/>
          <w:sz w:val="24"/>
          <w:szCs w:val="24"/>
        </w:rPr>
        <w:t>close</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Pr="00EA0109">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without extreme </w:t>
      </w:r>
      <w:r w:rsidRPr="00EA0109">
        <w:rPr>
          <w:rFonts w:ascii="Times New Roman" w:eastAsia="Times New Roman" w:hAnsi="Times New Roman" w:cs="Times New Roman"/>
          <w:sz w:val="24"/>
          <w:szCs w:val="24"/>
        </w:rPr>
        <w:t xml:space="preserve">rainfall </w:t>
      </w:r>
      <w:r>
        <w:rPr>
          <w:rFonts w:ascii="Times New Roman" w:eastAsia="Times New Roman" w:hAnsi="Times New Roman" w:cs="Times New Roman"/>
          <w:sz w:val="24"/>
          <w:szCs w:val="24"/>
        </w:rPr>
        <w:t xml:space="preserve">ranges, what was shown for boreal urban trees of other cities </w:t>
      </w:r>
      <w:r w:rsidR="00E53664">
        <w:rPr>
          <w:rFonts w:ascii="Times New Roman" w:eastAsia="Times New Roman" w:hAnsi="Times New Roman" w:cs="Times New Roman"/>
          <w:sz w:val="24"/>
          <w:szCs w:val="24"/>
          <w:highlight w:val="yellow"/>
        </w:rPr>
        <w:t>(Rahman et al. 2019</w:t>
      </w:r>
      <w:r w:rsidRPr="00995940">
        <w:rPr>
          <w:rFonts w:ascii="Times New Roman" w:eastAsia="Times New Roman" w:hAnsi="Times New Roman" w:cs="Times New Roman"/>
          <w:sz w:val="24"/>
          <w:szCs w:val="24"/>
          <w:highlight w:val="yellow"/>
        </w:rPr>
        <w:t>, Pirinen et al. 2012)</w:t>
      </w:r>
      <w:r>
        <w:rPr>
          <w:rFonts w:ascii="Times New Roman" w:eastAsia="Times New Roman" w:hAnsi="Times New Roman" w:cs="Times New Roman"/>
          <w:sz w:val="24"/>
          <w:szCs w:val="24"/>
        </w:rPr>
        <w:t>. Such information obtained real time could considerably contribute to cities stormwater management</w:t>
      </w:r>
      <w:r w:rsidRPr="0087181F">
        <w:rPr>
          <w:rFonts w:ascii="Times New Roman" w:eastAsia="Times New Roman" w:hAnsi="Times New Roman" w:cs="Times New Roman"/>
          <w:sz w:val="24"/>
          <w:szCs w:val="24"/>
        </w:rPr>
        <w:t xml:space="preserve"> </w:t>
      </w:r>
      <w:r w:rsidRPr="00995940">
        <w:rPr>
          <w:rFonts w:ascii="Times New Roman" w:eastAsia="Times New Roman" w:hAnsi="Times New Roman" w:cs="Times New Roman"/>
          <w:sz w:val="24"/>
          <w:szCs w:val="24"/>
          <w:highlight w:val="yellow"/>
        </w:rPr>
        <w:t xml:space="preserve">(Scharenbroch et al. </w:t>
      </w:r>
      <w:commentRangeStart w:id="11"/>
      <w:r w:rsidRPr="00995940">
        <w:rPr>
          <w:rFonts w:ascii="Times New Roman" w:eastAsia="Times New Roman" w:hAnsi="Times New Roman" w:cs="Times New Roman"/>
          <w:sz w:val="24"/>
          <w:szCs w:val="24"/>
          <w:highlight w:val="yellow"/>
        </w:rPr>
        <w:t>2016</w:t>
      </w:r>
      <w:commentRangeEnd w:id="11"/>
      <w:r w:rsidR="00D01F0A">
        <w:rPr>
          <w:rStyle w:val="a7"/>
        </w:rPr>
        <w:commentReference w:id="11"/>
      </w:r>
      <w:r w:rsidRPr="0087181F">
        <w:rPr>
          <w:rFonts w:ascii="Times New Roman" w:eastAsia="Times New Roman" w:hAnsi="Times New Roman" w:cs="Times New Roman"/>
          <w:sz w:val="24"/>
          <w:szCs w:val="24"/>
        </w:rPr>
        <w:t>)</w:t>
      </w:r>
      <w:r w:rsidR="00D01F0A">
        <w:rPr>
          <w:rFonts w:ascii="Times New Roman" w:eastAsia="Times New Roman" w:hAnsi="Times New Roman" w:cs="Times New Roman"/>
          <w:sz w:val="24"/>
          <w:szCs w:val="24"/>
        </w:rPr>
        <w:t xml:space="preserve">. </w:t>
      </w:r>
    </w:p>
    <w:p w14:paraId="194E7A9B" w14:textId="164ABD53" w:rsidR="008027A8" w:rsidRPr="00015FD1" w:rsidRDefault="00134425" w:rsidP="009C3D46">
      <w:pPr>
        <w:pStyle w:val="a5"/>
        <w:numPr>
          <w:ilvl w:val="1"/>
          <w:numId w:val="8"/>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659E7" w:rsidRPr="00015FD1">
        <w:rPr>
          <w:rFonts w:ascii="Times New Roman" w:eastAsia="Times New Roman" w:hAnsi="Times New Roman" w:cs="Times New Roman"/>
          <w:sz w:val="24"/>
          <w:szCs w:val="24"/>
        </w:rPr>
        <w:t>LAI as a proxy</w:t>
      </w:r>
      <w:r w:rsidR="00995940" w:rsidRPr="00015FD1">
        <w:rPr>
          <w:rFonts w:ascii="Times New Roman" w:eastAsia="Times New Roman" w:hAnsi="Times New Roman" w:cs="Times New Roman"/>
          <w:sz w:val="24"/>
          <w:szCs w:val="24"/>
        </w:rPr>
        <w:t xml:space="preserve"> for ES</w:t>
      </w:r>
    </w:p>
    <w:p w14:paraId="64FDED53" w14:textId="395CAB09" w:rsidR="00D01F0A" w:rsidRDefault="00995940" w:rsidP="00D01F0A">
      <w:pPr>
        <w:spacing w:after="0"/>
        <w:ind w:firstLine="720"/>
        <w:jc w:val="both"/>
        <w:rPr>
          <w:rFonts w:ascii="Times New Roman" w:eastAsia="Times New Roman" w:hAnsi="Times New Roman" w:cs="Times New Roman"/>
          <w:sz w:val="24"/>
          <w:szCs w:val="24"/>
        </w:rPr>
      </w:pPr>
      <w:r w:rsidRPr="00995940">
        <w:rPr>
          <w:rFonts w:ascii="Times New Roman" w:eastAsia="Times New Roman" w:hAnsi="Times New Roman" w:cs="Times New Roman"/>
          <w:sz w:val="24"/>
          <w:szCs w:val="24"/>
        </w:rPr>
        <w:lastRenderedPageBreak/>
        <w:t xml:space="preserve">The LAI dynamics is very important since it is a good proxy for several types of Ecosystem Services, such as wind velocity and noise reduction, pollution regulation and erosion protection via leaves as a buffer. </w:t>
      </w:r>
      <w:r w:rsidR="008027A8" w:rsidRPr="008027A8">
        <w:rPr>
          <w:rFonts w:ascii="Times New Roman" w:eastAsia="Times New Roman" w:hAnsi="Times New Roman" w:cs="Times New Roman"/>
          <w:sz w:val="24"/>
          <w:szCs w:val="24"/>
        </w:rPr>
        <w:t xml:space="preserve">Our results show that we can calculate </w:t>
      </w:r>
      <w:r w:rsidR="008027A8">
        <w:rPr>
          <w:rFonts w:ascii="Times New Roman" w:eastAsia="Times New Roman" w:hAnsi="Times New Roman" w:cs="Times New Roman"/>
          <w:sz w:val="24"/>
          <w:szCs w:val="24"/>
        </w:rPr>
        <w:t xml:space="preserve">summative canopy area index (PAI) that is just a sum from </w:t>
      </w:r>
      <w:r w:rsidR="008027A8" w:rsidRPr="008027A8">
        <w:rPr>
          <w:rFonts w:ascii="Times New Roman" w:eastAsia="Times New Roman" w:hAnsi="Times New Roman" w:cs="Times New Roman"/>
          <w:sz w:val="24"/>
          <w:szCs w:val="24"/>
        </w:rPr>
        <w:t>lea</w:t>
      </w:r>
      <w:r w:rsidR="008027A8">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sidR="008027A8">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sidR="008027A8">
        <w:rPr>
          <w:rFonts w:ascii="Times New Roman" w:eastAsia="Times New Roman" w:hAnsi="Times New Roman" w:cs="Times New Roman"/>
          <w:sz w:val="24"/>
          <w:szCs w:val="24"/>
        </w:rPr>
        <w:t xml:space="preserve"> periods are clearly visible on a graph, </w:t>
      </w:r>
      <w:bookmarkStart w:id="12" w:name="_GoBack"/>
      <w:r w:rsidR="008027A8">
        <w:rPr>
          <w:rFonts w:ascii="Times New Roman" w:eastAsia="Times New Roman" w:hAnsi="Times New Roman" w:cs="Times New Roman"/>
          <w:sz w:val="24"/>
          <w:szCs w:val="24"/>
        </w:rPr>
        <w:t xml:space="preserve">and we can easily distinguish the time of defoliation which </w:t>
      </w:r>
      <w:r w:rsidR="00073E26">
        <w:rPr>
          <w:rFonts w:ascii="Times New Roman" w:eastAsia="Times New Roman" w:hAnsi="Times New Roman" w:cs="Times New Roman"/>
          <w:sz w:val="24"/>
          <w:szCs w:val="24"/>
        </w:rPr>
        <w:t>lasted</w:t>
      </w:r>
      <w:r w:rsidR="008027A8">
        <w:rPr>
          <w:rFonts w:ascii="Times New Roman" w:eastAsia="Times New Roman" w:hAnsi="Times New Roman" w:cs="Times New Roman"/>
          <w:sz w:val="24"/>
          <w:szCs w:val="24"/>
        </w:rPr>
        <w:t xml:space="preserve"> one week in first days of October</w:t>
      </w:r>
      <w:r w:rsidR="00777205">
        <w:rPr>
          <w:rFonts w:ascii="Times New Roman" w:eastAsia="Times New Roman" w:hAnsi="Times New Roman" w:cs="Times New Roman"/>
          <w:sz w:val="24"/>
          <w:szCs w:val="24"/>
        </w:rPr>
        <w:t xml:space="preserve"> </w:t>
      </w:r>
      <w:bookmarkEnd w:id="12"/>
      <w:r w:rsidR="00777205">
        <w:rPr>
          <w:rFonts w:ascii="Times New Roman" w:eastAsia="Times New Roman" w:hAnsi="Times New Roman" w:cs="Times New Roman"/>
          <w:sz w:val="24"/>
          <w:szCs w:val="24"/>
        </w:rPr>
        <w:t>(</w:t>
      </w:r>
      <w:r w:rsidR="00015FD1">
        <w:rPr>
          <w:rFonts w:ascii="Times New Roman" w:eastAsia="Times New Roman" w:hAnsi="Times New Roman" w:cs="Times New Roman"/>
          <w:sz w:val="24"/>
          <w:szCs w:val="24"/>
        </w:rPr>
        <w:t>fig.</w:t>
      </w:r>
      <w:r w:rsidR="002F32B4">
        <w:rPr>
          <w:rFonts w:ascii="Times New Roman" w:eastAsia="Times New Roman" w:hAnsi="Times New Roman" w:cs="Times New Roman"/>
          <w:sz w:val="24"/>
          <w:szCs w:val="24"/>
        </w:rPr>
        <w:t>9</w:t>
      </w:r>
      <w:r w:rsidR="00777205">
        <w:rPr>
          <w:rFonts w:ascii="Times New Roman" w:eastAsia="Times New Roman" w:hAnsi="Times New Roman" w:cs="Times New Roman"/>
          <w:sz w:val="24"/>
          <w:szCs w:val="24"/>
        </w:rPr>
        <w:t>)</w:t>
      </w:r>
      <w:r w:rsidR="008027A8">
        <w:rPr>
          <w:rFonts w:ascii="Times New Roman" w:eastAsia="Times New Roman" w:hAnsi="Times New Roman" w:cs="Times New Roman"/>
          <w:sz w:val="24"/>
          <w:szCs w:val="24"/>
        </w:rPr>
        <w:t xml:space="preserve">. </w:t>
      </w:r>
      <w:r w:rsidR="00073E26">
        <w:rPr>
          <w:rFonts w:ascii="Times New Roman" w:eastAsia="Times New Roman" w:hAnsi="Times New Roman" w:cs="Times New Roman"/>
          <w:sz w:val="24"/>
          <w:szCs w:val="24"/>
        </w:rPr>
        <w:t xml:space="preserve">It is interesting to note that </w:t>
      </w:r>
      <w:r w:rsidR="00FB39AC">
        <w:rPr>
          <w:rFonts w:ascii="Times New Roman" w:eastAsia="Times New Roman" w:hAnsi="Times New Roman" w:cs="Times New Roman"/>
          <w:sz w:val="24"/>
          <w:szCs w:val="24"/>
        </w:rPr>
        <w:t xml:space="preserve">for an individual tree this process </w:t>
      </w:r>
      <w:r w:rsidR="00073E26">
        <w:rPr>
          <w:rFonts w:ascii="Times New Roman" w:eastAsia="Times New Roman" w:hAnsi="Times New Roman" w:cs="Times New Roman"/>
          <w:sz w:val="24"/>
          <w:szCs w:val="24"/>
        </w:rPr>
        <w:t xml:space="preserve">can </w:t>
      </w:r>
      <w:r w:rsidR="00FB39AC">
        <w:rPr>
          <w:rFonts w:ascii="Times New Roman" w:eastAsia="Times New Roman" w:hAnsi="Times New Roman" w:cs="Times New Roman"/>
          <w:sz w:val="24"/>
          <w:szCs w:val="24"/>
        </w:rPr>
        <w:t xml:space="preserve">take in reality one-two days. Only due to our perception of green areas as a whole we think </w:t>
      </w:r>
      <w:r w:rsidR="00073E26">
        <w:rPr>
          <w:rFonts w:ascii="Times New Roman" w:eastAsia="Times New Roman" w:hAnsi="Times New Roman" w:cs="Times New Roman"/>
          <w:sz w:val="24"/>
          <w:szCs w:val="24"/>
        </w:rPr>
        <w:t>this process has a slower dynamics</w:t>
      </w:r>
      <w:r w:rsidR="00FB39AC">
        <w:rPr>
          <w:rFonts w:ascii="Times New Roman" w:eastAsia="Times New Roman" w:hAnsi="Times New Roman" w:cs="Times New Roman"/>
          <w:sz w:val="24"/>
          <w:szCs w:val="24"/>
        </w:rPr>
        <w:t xml:space="preserve">. </w:t>
      </w:r>
      <w:r w:rsidR="00D01F0A">
        <w:rPr>
          <w:rFonts w:ascii="Times New Roman" w:eastAsia="Times New Roman" w:hAnsi="Times New Roman" w:cs="Times New Roman"/>
          <w:sz w:val="24"/>
          <w:szCs w:val="24"/>
        </w:rPr>
        <w:t>As a result PAI of all trees (table 4) was on average about 4 with less variation of Betula (3.0-3.2) and similar for Acer and Tillia (3-4). And even for Larix it was the same (3.4-3.7) despite our expectations; it can be possibly explain again with the higher insertion of the crown.</w:t>
      </w:r>
    </w:p>
    <w:p w14:paraId="20079FDA" w14:textId="0CC2D738" w:rsidR="00305E07" w:rsidRDefault="00AD2F98"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6D92C10" wp14:editId="66560320">
            <wp:extent cx="5943600" cy="4457700"/>
            <wp:effectExtent l="0" t="0" r="0" b="0"/>
            <wp:docPr id="14" name="Рисунок 4" descr="PAI_dynamics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I_dynamics_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8C24F7" w14:textId="143FC8AC" w:rsidR="00BF4985"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9</w:t>
      </w:r>
      <w:r w:rsidR="00777205">
        <w:rPr>
          <w:rFonts w:ascii="Times New Roman" w:eastAsia="Times New Roman" w:hAnsi="Times New Roman" w:cs="Times New Roman"/>
          <w:sz w:val="24"/>
          <w:szCs w:val="24"/>
        </w:rPr>
        <w:t xml:space="preserve">. PAI dynamics during </w:t>
      </w:r>
      <w:r w:rsidR="00777205" w:rsidRPr="00777205">
        <w:rPr>
          <w:rFonts w:ascii="Times New Roman" w:eastAsia="Times New Roman" w:hAnsi="Times New Roman" w:cs="Times New Roman"/>
          <w:sz w:val="24"/>
          <w:szCs w:val="24"/>
        </w:rPr>
        <w:t>investigated period (July-November, 2019)</w:t>
      </w:r>
    </w:p>
    <w:p w14:paraId="7C867D4A" w14:textId="77777777" w:rsidR="00D01F0A" w:rsidRDefault="00D01F0A" w:rsidP="0020192C">
      <w:pPr>
        <w:spacing w:after="0"/>
        <w:ind w:firstLine="720"/>
        <w:jc w:val="both"/>
        <w:rPr>
          <w:rFonts w:ascii="Times New Roman" w:eastAsia="Times New Roman" w:hAnsi="Times New Roman" w:cs="Times New Roman"/>
          <w:sz w:val="24"/>
          <w:szCs w:val="24"/>
        </w:rPr>
      </w:pPr>
    </w:p>
    <w:p w14:paraId="67DD1BD9" w14:textId="279AC673" w:rsidR="00C2351F" w:rsidRDefault="00C2351F" w:rsidP="0020192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Leaf Area Index, calculated from the </w:t>
      </w:r>
      <w:r w:rsidRPr="00100303">
        <w:rPr>
          <w:rFonts w:ascii="Times New Roman" w:eastAsia="Times New Roman" w:hAnsi="Times New Roman" w:cs="Times New Roman"/>
          <w:sz w:val="24"/>
          <w:szCs w:val="24"/>
        </w:rPr>
        <w:t xml:space="preserve">spectrometer </w:t>
      </w:r>
      <w:r w:rsidR="007E456B">
        <w:rPr>
          <w:rFonts w:ascii="Times New Roman" w:eastAsia="Times New Roman" w:hAnsi="Times New Roman" w:cs="Times New Roman"/>
          <w:sz w:val="24"/>
          <w:szCs w:val="24"/>
        </w:rPr>
        <w:t xml:space="preserve">was influenced by the fact that </w:t>
      </w:r>
      <w:r w:rsidRPr="00100303">
        <w:rPr>
          <w:rFonts w:ascii="Times New Roman" w:eastAsia="Times New Roman" w:hAnsi="Times New Roman" w:cs="Times New Roman"/>
          <w:sz w:val="24"/>
          <w:szCs w:val="24"/>
        </w:rPr>
        <w:t xml:space="preserve">the entire </w:t>
      </w:r>
      <w:r>
        <w:rPr>
          <w:rFonts w:ascii="Times New Roman" w:eastAsia="Times New Roman" w:hAnsi="Times New Roman" w:cs="Times New Roman"/>
          <w:sz w:val="24"/>
          <w:szCs w:val="24"/>
        </w:rPr>
        <w:t>canopy</w:t>
      </w:r>
      <w:r w:rsidRPr="00100303">
        <w:rPr>
          <w:rFonts w:ascii="Times New Roman" w:eastAsia="Times New Roman" w:hAnsi="Times New Roman" w:cs="Times New Roman"/>
          <w:sz w:val="24"/>
          <w:szCs w:val="24"/>
        </w:rPr>
        <w:t xml:space="preserve"> in the visible area of the sensor </w:t>
      </w:r>
      <w:r>
        <w:rPr>
          <w:rFonts w:ascii="Times New Roman" w:eastAsia="Times New Roman" w:hAnsi="Times New Roman" w:cs="Times New Roman"/>
          <w:sz w:val="24"/>
          <w:szCs w:val="24"/>
        </w:rPr>
        <w:t>was</w:t>
      </w:r>
      <w:r w:rsidRPr="00100303">
        <w:rPr>
          <w:rFonts w:ascii="Times New Roman" w:eastAsia="Times New Roman" w:hAnsi="Times New Roman" w:cs="Times New Roman"/>
          <w:sz w:val="24"/>
          <w:szCs w:val="24"/>
        </w:rPr>
        <w:t xml:space="preserve"> not captured </w:t>
      </w:r>
      <w:r w:rsidR="007E456B">
        <w:rPr>
          <w:rFonts w:ascii="Times New Roman" w:eastAsia="Times New Roman" w:hAnsi="Times New Roman" w:cs="Times New Roman"/>
          <w:sz w:val="24"/>
          <w:szCs w:val="24"/>
        </w:rPr>
        <w:t xml:space="preserve">as it was situated on the one side of a tree </w:t>
      </w:r>
      <w:r w:rsidR="00802C4E">
        <w:rPr>
          <w:rFonts w:ascii="Times New Roman" w:eastAsia="Times New Roman" w:hAnsi="Times New Roman" w:cs="Times New Roman"/>
          <w:sz w:val="24"/>
          <w:szCs w:val="24"/>
        </w:rPr>
        <w:t>and</w:t>
      </w:r>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affected by close position of the device to the trunk. Thus, it is necessary</w:t>
      </w:r>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Pr="00100303">
        <w:rPr>
          <w:rFonts w:ascii="Times New Roman" w:eastAsia="Times New Roman" w:hAnsi="Times New Roman" w:cs="Times New Roman"/>
          <w:sz w:val="24"/>
          <w:szCs w:val="24"/>
        </w:rPr>
        <w:t xml:space="preserve"> compar</w:t>
      </w:r>
      <w:r>
        <w:rPr>
          <w:rFonts w:ascii="Times New Roman" w:eastAsia="Times New Roman" w:hAnsi="Times New Roman" w:cs="Times New Roman"/>
          <w:sz w:val="24"/>
          <w:szCs w:val="24"/>
        </w:rPr>
        <w:t xml:space="preserve">e </w:t>
      </w:r>
      <w:r w:rsidR="0020192C">
        <w:rPr>
          <w:rFonts w:ascii="Times New Roman" w:eastAsia="Times New Roman" w:hAnsi="Times New Roman" w:cs="Times New Roman"/>
          <w:sz w:val="24"/>
          <w:szCs w:val="24"/>
        </w:rPr>
        <w:t xml:space="preserve">precisely </w:t>
      </w:r>
      <w:r>
        <w:rPr>
          <w:rFonts w:ascii="Times New Roman" w:eastAsia="Times New Roman" w:hAnsi="Times New Roman" w:cs="Times New Roman"/>
          <w:sz w:val="24"/>
          <w:szCs w:val="24"/>
        </w:rPr>
        <w:t xml:space="preserve">with standard technics (e.g. </w:t>
      </w:r>
      <w:r w:rsidRPr="00100303">
        <w:rPr>
          <w:rFonts w:ascii="Times New Roman" w:eastAsia="Times New Roman" w:hAnsi="Times New Roman" w:cs="Times New Roman"/>
          <w:sz w:val="24"/>
          <w:szCs w:val="24"/>
        </w:rPr>
        <w:t>camera</w:t>
      </w:r>
      <w:r>
        <w:rPr>
          <w:rFonts w:ascii="Times New Roman" w:eastAsia="Times New Roman" w:hAnsi="Times New Roman" w:cs="Times New Roman"/>
          <w:sz w:val="24"/>
          <w:szCs w:val="24"/>
        </w:rPr>
        <w:t xml:space="preserve"> with fish-eye lens</w:t>
      </w:r>
      <w:r w:rsidR="0020192C" w:rsidRPr="0020192C">
        <w:t xml:space="preserve"> </w:t>
      </w:r>
      <w:r w:rsidR="0020192C" w:rsidRPr="0020192C">
        <w:rPr>
          <w:rFonts w:ascii="Times New Roman" w:eastAsia="Times New Roman" w:hAnsi="Times New Roman" w:cs="Times New Roman"/>
          <w:sz w:val="24"/>
          <w:szCs w:val="24"/>
        </w:rPr>
        <w:t>and LICOR</w:t>
      </w:r>
      <w:r w:rsidR="0020192C">
        <w:rPr>
          <w:rFonts w:ascii="Times New Roman" w:eastAsia="Times New Roman" w:hAnsi="Times New Roman" w:cs="Times New Roman"/>
          <w:sz w:val="24"/>
          <w:szCs w:val="24"/>
        </w:rPr>
        <w:t>)</w:t>
      </w:r>
      <w:r w:rsidR="0020192C" w:rsidRPr="0020192C">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t xml:space="preserve">which </w:t>
      </w:r>
      <w:r w:rsidR="0020192C" w:rsidRPr="0020192C">
        <w:rPr>
          <w:rFonts w:ascii="Times New Roman" w:eastAsia="Times New Roman" w:hAnsi="Times New Roman" w:cs="Times New Roman"/>
          <w:sz w:val="24"/>
          <w:szCs w:val="24"/>
        </w:rPr>
        <w:t xml:space="preserve">are essential for calibration and validation </w:t>
      </w:r>
      <w:r w:rsidR="0020192C">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{"citationID":"srXDrnDf","properties":{"formattedCitation":"(Bremer et al., 2017; Yan et al., 2019)","plainCitation":"(Bremer et al., 2017; Yan et al., 2019)","noteIndex":0},"citationItems":[{"id":2136,"uris":["http://zotero.org/users/3524663/items/I9BX7C5C"],"uri":["http://zotero.org/users/3524663/items/I9BX7C5C"],"itemData":{"id":2136,"type":"article-journal","abstract":"Canopy density measures such as the Leaf Area Index (LAI) have become standardized mapping products derived from airborne and terrestrial Light Detection And Ranging (aLiDAR and tLiDAR, respectively) data. A speciﬁc application of LiDAR point clouds is their integration into radiative transfer models (RTM) of varying complexity. Using, e.g., ray tracing, this allows ﬂexible simulations of sub-canopy light condition and the simulation of various sensors such as virtual hemispherical images or waveform LiDAR on a virtual forest plot. However, the direct use of LiDAR data in RTMs shows some limitations in the handling of noise, the derivation of surface areas per LiDAR point and the discrimination of solid and porous canopy elements. In order to address these issues, a strategy upgrading tLiDAR and Digital Hemispherical Photographs (DHP) into plausible 3D architectural canopy models is suggested. The presented reconstruction workﬂow creates an almost unbiased virtual 3D representation of branch and leaf surface distributions, minimizing systematic errors due to the object–sensor relationship. The models are calibrated and validated using DHPs. Using the 3D models for simulations, their capabilities for the description of leaf density distributions and the simulation of aLiDAR and DHP signatures are shown. At an experimental test site, the suitability of the models, in order to systematically simulate and evaluate aLiDAR based LAI predictions under various scan settings is proven. This strategy makes it possible to show the importance of laser point sampling density, but also the diversity of scan angles and their quantitative effect onto error margins.","container-title":"Remote Sensing","DOI":"10.3390/rs9030220","ISSN":"2072-4292","issue":"3","language":"en","page":"220","source":"Crossref","title":"Calibration and Validation of a Detailed Architectural Canopy Model Reconstruction for the Simulation of Synthetic Hemispherical Images and Airborne LiDAR Data","volume":"9","author":[{"family":"Bremer","given":"Magnus"},{"family":"Wichmann","given":"Volker"},{"family":"Rutzinger","given":"Martin"}],"issued":{"date-parts":[["2017",2,28]]}}},{"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sidR="0020192C">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(Bremer et al., 2017; Yan et al., 2019)</w:t>
      </w:r>
      <w:r w:rsidR="0020192C">
        <w:rPr>
          <w:rFonts w:ascii="Times New Roman" w:eastAsia="Times New Roman" w:hAnsi="Times New Roman" w:cs="Times New Roman"/>
          <w:sz w:val="24"/>
          <w:szCs w:val="24"/>
        </w:rPr>
        <w:fldChar w:fldCharType="end"/>
      </w:r>
      <w:r w:rsidR="0020192C" w:rsidRPr="0020192C">
        <w:rPr>
          <w:rFonts w:ascii="Times New Roman" w:eastAsia="Times New Roman" w:hAnsi="Times New Roman" w:cs="Times New Roman"/>
          <w:sz w:val="24"/>
          <w:szCs w:val="24"/>
        </w:rPr>
        <w:t>.</w:t>
      </w:r>
      <w:r w:rsidR="0020192C">
        <w:rPr>
          <w:rFonts w:ascii="Times New Roman" w:eastAsia="Times New Roman" w:hAnsi="Times New Roman" w:cs="Times New Roman"/>
          <w:sz w:val="24"/>
          <w:szCs w:val="24"/>
        </w:rPr>
        <w:t xml:space="preserve"> </w:t>
      </w:r>
      <w:r w:rsidR="007E456B">
        <w:rPr>
          <w:rFonts w:ascii="Times New Roman" w:eastAsia="Times New Roman" w:hAnsi="Times New Roman" w:cs="Times New Roman"/>
          <w:sz w:val="24"/>
          <w:szCs w:val="24"/>
        </w:rPr>
        <w:t xml:space="preserve">But the absolute values </w:t>
      </w:r>
      <w:r w:rsidR="00073E32">
        <w:rPr>
          <w:rFonts w:ascii="Times New Roman" w:eastAsia="Times New Roman" w:hAnsi="Times New Roman" w:cs="Times New Roman"/>
          <w:sz w:val="24"/>
          <w:szCs w:val="24"/>
        </w:rPr>
        <w:t xml:space="preserve">(3-4) </w:t>
      </w:r>
      <w:r w:rsidR="007E456B">
        <w:rPr>
          <w:rFonts w:ascii="Times New Roman" w:eastAsia="Times New Roman" w:hAnsi="Times New Roman" w:cs="Times New Roman"/>
          <w:sz w:val="24"/>
          <w:szCs w:val="24"/>
        </w:rPr>
        <w:t xml:space="preserve">are comparable to </w:t>
      </w:r>
      <w:r w:rsidR="00073E32">
        <w:rPr>
          <w:rFonts w:ascii="Times New Roman" w:eastAsia="Times New Roman" w:hAnsi="Times New Roman" w:cs="Times New Roman"/>
          <w:sz w:val="24"/>
          <w:szCs w:val="24"/>
        </w:rPr>
        <w:t>most of the papers</w:t>
      </w:r>
      <w:r w:rsidR="006A565F">
        <w:rPr>
          <w:rFonts w:ascii="Times New Roman" w:eastAsia="Times New Roman" w:hAnsi="Times New Roman" w:cs="Times New Roman"/>
          <w:sz w:val="24"/>
          <w:szCs w:val="24"/>
        </w:rPr>
        <w:t xml:space="preserve"> </w:t>
      </w:r>
      <w:r w:rsidR="006A565F">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{"citationID":"CcK9t24r","properties":{"formattedCitation":"(Neinavaz et al., 2016; Taheriazad et al., 2019; Yan et al., 2019)","plainCitation":"(Neinavaz et al., 2016; Taheriazad et al., 2019; Yan et al., 2019)","noteIndex":0},"citationItems":[{"id":2145,"uris":["http://zotero.org/users/3524663/items/L5Q6LVNK"],"uri":["http://zotero.org/users/3524663/items/L5Q6LVNK"],"itemData":{"id":2145,"type":"article-journal","abstract":"Leaf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sidR="006A565F">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rPr>
        <w:t>(Neinavaz et al., 2016; Taheriazad et al., 2019; Yan et al., 2019)</w:t>
      </w:r>
      <w:r w:rsidR="006A565F">
        <w:rPr>
          <w:rFonts w:ascii="Times New Roman" w:eastAsia="Times New Roman" w:hAnsi="Times New Roman" w:cs="Times New Roman"/>
          <w:sz w:val="24"/>
          <w:szCs w:val="24"/>
        </w:rPr>
        <w:fldChar w:fldCharType="end"/>
      </w:r>
      <w:r w:rsidR="007E456B">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t>While the</w:t>
      </w:r>
      <w:r w:rsidR="0020192C" w:rsidRPr="0020192C">
        <w:rPr>
          <w:rFonts w:ascii="Times New Roman" w:eastAsia="Times New Roman" w:hAnsi="Times New Roman" w:cs="Times New Roman"/>
          <w:sz w:val="24"/>
          <w:szCs w:val="24"/>
        </w:rPr>
        <w:t xml:space="preserve"> strong correlation between LAI and DBH and also between LAI and tree height </w:t>
      </w:r>
      <w:r w:rsidR="0020192C">
        <w:rPr>
          <w:rFonts w:ascii="Times New Roman" w:eastAsia="Times New Roman" w:hAnsi="Times New Roman" w:cs="Times New Roman"/>
          <w:sz w:val="24"/>
          <w:szCs w:val="24"/>
        </w:rPr>
        <w:t xml:space="preserve">was shown </w:t>
      </w:r>
      <w:r w:rsidR="007E456B">
        <w:rPr>
          <w:rFonts w:ascii="Times New Roman" w:eastAsia="Times New Roman" w:hAnsi="Times New Roman" w:cs="Times New Roman"/>
          <w:sz w:val="24"/>
          <w:szCs w:val="24"/>
        </w:rPr>
        <w:t>previously</w:t>
      </w:r>
      <w:r w:rsidR="0020192C">
        <w:rPr>
          <w:rFonts w:ascii="Times New Roman" w:eastAsia="Times New Roman" w:hAnsi="Times New Roman" w:cs="Times New Roman"/>
          <w:sz w:val="24"/>
          <w:szCs w:val="24"/>
        </w:rPr>
        <w:t xml:space="preserve"> </w:t>
      </w:r>
      <w:r w:rsidR="007E456B">
        <w:rPr>
          <w:rFonts w:ascii="Times New Roman" w:eastAsia="Times New Roman" w:hAnsi="Times New Roman" w:cs="Times New Roman"/>
          <w:sz w:val="24"/>
          <w:szCs w:val="24"/>
        </w:rPr>
        <w:t xml:space="preserve">for Canadian </w:t>
      </w:r>
      <w:r w:rsidR="00073E32">
        <w:rPr>
          <w:rFonts w:ascii="Times New Roman" w:eastAsia="Times New Roman" w:hAnsi="Times New Roman" w:cs="Times New Roman"/>
          <w:sz w:val="24"/>
          <w:szCs w:val="24"/>
        </w:rPr>
        <w:t xml:space="preserve">and Bavarian </w:t>
      </w:r>
      <w:r w:rsidR="007E456B">
        <w:rPr>
          <w:rFonts w:ascii="Times New Roman" w:eastAsia="Times New Roman" w:hAnsi="Times New Roman" w:cs="Times New Roman"/>
          <w:sz w:val="24"/>
          <w:szCs w:val="24"/>
        </w:rPr>
        <w:t>boreal forest</w:t>
      </w:r>
      <w:r w:rsidR="00073E32">
        <w:rPr>
          <w:rFonts w:ascii="Times New Roman" w:eastAsia="Times New Roman" w:hAnsi="Times New Roman" w:cs="Times New Roman"/>
          <w:sz w:val="24"/>
          <w:szCs w:val="24"/>
        </w:rPr>
        <w:t>s</w:t>
      </w:r>
      <w:r w:rsidR="007E456B">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fldChar w:fldCharType="begin"/>
      </w:r>
      <w:r w:rsidR="00073E32">
        <w:rPr>
          <w:rFonts w:ascii="Times New Roman" w:eastAsia="Times New Roman" w:hAnsi="Times New Roman" w:cs="Times New Roman"/>
          <w:sz w:val="24"/>
          <w:szCs w:val="24"/>
        </w:rPr>
        <w:instrText xml:space="preserve"> ADDIN ZOTERO_ITEM CSL_CITATION {"citationID":"vv7xdpxi","properties":{"formattedCitation":"(Taheriazad et al., 2019; Zhu et al., 2018)","plainCitation":"(Taheriazad et al., 2019; Zhu et al., 2018)","noteIndex":0},"citationItems":[{"id":2139,"uris":["http://zotero.org/users/3524663/items/QZ8IEKG2"],"uri":["http://zotero.org/users/3524663/items/QZ8IEKG2"],"itemData":{"id":2139,"type":"article-journal","abstract":"Leaf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2142,"uris":["http://zotero.org/users/3524663/items/EXFUGDL2"],"uri":["http://zotero.org/users/3524663/items/EXFUGDL2"],"itemData":{"id":2142,"type":"article-journal","abstract":"Leaf area index (LAI) has frequently been measured in the ﬁeld using traditional optical methods such as digital hemispherical photography (DHP). However, in the DHP retrieved LAI, there is always contribution of woody components due to the diﬃculty in distinguishing woody and foliar materials. In addition, the leaf angle distribution which strongly aﬀects the estimation of LAI is either ignored while using the convergent angle 57.5°, or inversed simultaneously with LAI using multiple directions. Terrestrial laser scanning (TLS) provides a 3-dimensional view of the forest canopy, which we used in this study to improve LAI estimation by directly retrieving leaf angle distribution, and subsequently correcting foliage clumping and woody eﬀects. The leaf angle distribution was retrieved by estimating the angle between the leaf normal vectors and the zenith vectors. The clumping index was obtained by using the gap size distribution method, while the woody contribution was evaluated based on an improved point classiﬁcation between woody and foliar materials. Finally, the gap fraction derived from TLS was converted to eﬀective LAI, and thence to LAI. The study was conducted for 31 forest plots including deciduous, coniferous and mixed plots in Bavarian Forest National Park. The classiﬁcation accuracy was improved by approximately 10% using our method. Results showed that the clumping caused an underestimation of LAI ranging from 1.2% to 48.0%, while woody contribution led to an overestimation from 3.0% to 31.9% compared to the improved LAI. The combined error ranged from −46.2% to 32.6% of the leaf area index (LAI) measurements. The error was largely dependent on forest types. The clumping index of coniferous plots on average was lower than that of deciduous plots, whereas deciduous plots had a higher woody-tototal area ratio. The proposed method provides a more accurate estimate of LAI by eliminating clumping and woody eﬀects, as well as the eﬀect of leaf angle distribution.","container-title":"Agricultural and Forest Meteorology","DOI":"10.1016/j.agrformet.2018.08.026","ISSN":"01681923","language":"en","page":"276-286","source":"Crossref","title":"Improving leaf area index (LAI) estimation by correcting for clumping and woody effects using terrestrial laser scanning","volume":"263","author":[{"family":"Zhu","given":"Xi"},{"family":"Skidmore","given":"Andrew K."},{"family":"Wang","given":"Tiejun"},{"family":"Liu","given":"Jing"},{"family":"Darvishzadeh","given":"Roshanak"},{"family":"Shi","given":"Yifang"},{"family":"Premier","given":"Joe"},{"family":"Heurich","given":"Marco"}],"issued":{"date-parts":[["2018",12]]}}}],"schema":"https://github.com/citation-style-language/schema/raw/master/csl-citation.json"} </w:instrText>
      </w:r>
      <w:r w:rsidR="0020192C">
        <w:rPr>
          <w:rFonts w:ascii="Times New Roman" w:eastAsia="Times New Roman" w:hAnsi="Times New Roman" w:cs="Times New Roman"/>
          <w:sz w:val="24"/>
          <w:szCs w:val="24"/>
        </w:rPr>
        <w:fldChar w:fldCharType="separate"/>
      </w:r>
      <w:r w:rsidR="00073E32" w:rsidRPr="00073E32">
        <w:rPr>
          <w:rFonts w:ascii="Times New Roman" w:hAnsi="Times New Roman" w:cs="Times New Roman"/>
          <w:sz w:val="24"/>
        </w:rPr>
        <w:t>(Taheriazad et al., 2019; Zhu et al., 2018)</w:t>
      </w:r>
      <w:r w:rsidR="0020192C">
        <w:rPr>
          <w:rFonts w:ascii="Times New Roman" w:eastAsia="Times New Roman" w:hAnsi="Times New Roman" w:cs="Times New Roman"/>
          <w:sz w:val="24"/>
          <w:szCs w:val="24"/>
        </w:rPr>
        <w:fldChar w:fldCharType="end"/>
      </w:r>
      <w:r w:rsidR="007E456B">
        <w:rPr>
          <w:rFonts w:ascii="Times New Roman" w:eastAsia="Times New Roman" w:hAnsi="Times New Roman" w:cs="Times New Roman"/>
          <w:sz w:val="24"/>
          <w:szCs w:val="24"/>
        </w:rPr>
        <w:t xml:space="preserve"> our results did not allow us to confirm this, that is possible explained with </w:t>
      </w:r>
      <w:r w:rsidR="00802C4E">
        <w:rPr>
          <w:rFonts w:ascii="Times New Roman" w:eastAsia="Times New Roman" w:hAnsi="Times New Roman" w:cs="Times New Roman"/>
          <w:sz w:val="24"/>
          <w:szCs w:val="24"/>
        </w:rPr>
        <w:t xml:space="preserve">small amount of trees in consideration and urban conditions </w:t>
      </w:r>
      <w:r w:rsidR="00802C4E">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{"citationID":"cO640CXo","properties":{"formattedCitation":"(Klingberg et al., 2017)","plainCitation":"(Klingberg et al., 2017)","noteIndex":0},"citationItems":[{"id":2157,"uris":["http://zotero.org/users/3524663/items/F66CFMVQ"],"uri":["http://zotero.org/users/3524663/items/F66CFMVQ"],"itemData":{"id":2157,"type":"article-journal","abstract":"Leaf area of urban vegetation is an important ecological characteristic, inﬂuencing urban climate through shading and transpiration cooling and air quality through air pollutant deposition. Accurate estimates of leaf area over large areas are fundamental to model such processes. The aim of this study was to explore if an aerial LiDAR dataset acquired to create a high resolution digital terrain model could be used to map eﬀective leaf area index (Le) and to assess the Le variation in a high latitude urban area, here represented by the city of Gothenburg, Sweden. Le was estimated from LiDAR data using a Beer-Lambert law based approach and compared to groundbased measurements with hemispherical photography and the Plant Canopy Analyser LAI-2200. Even though the LiDAR dataset was not optimized for Le mapping, the comparison with hemispherical photography showed good agreement (r2 = 0.72, RMSE = 0.97) for urban parks and woodlands. Leaf area density of single trees, estimated from LiDAR and LAI-2200, did not show as good agreement (r2 = 0.53, RMSE = 0.49). Le in 10 m resolution covering most of Gothenburg municipality ranged from 0 to 14 (0.3% of the values &gt; 7) with an average Le of 3.5 in deciduous forests and 1.2 in urban built-up areas. When Le was averaged over larger scales there was a high correlation with canopy cover (r2 = 0.97 in 1 × 1 km2 scale) implying that at this scale Le is rather homogenous. However, when Le was averaged only over the vegetated parts, diﬀerences in Le became clear. Detailed study of Le in seven urban green areas with diﬀerent amount and type of greenery showed a large variation in Le, ranging from average Le of 0.9 in a residential area to 4.1 in an urban woodland. The use of LiDAR data has the potential to considerably increase information of forest structure in the urban environment.","container-title":"Urban Forestry &amp; Urban Greening","DOI":"10.1016/j.ufug.2017.05.011","ISSN":"16188667","language":"en","page":"31-40","source":"Crossref","title":"Mapping leaf area of urban greenery using aerial LiDAR and ground-based measurements in Gothenburg, Sweden","volume":"26","author":[{"family":"Klingberg","given":"Jenny"},{"family":"Konarska","given":"Janina"},{"family":"Lindberg","given":"Fredrik"},{"family":"Johansson","given":"Lars"},{"family":"Thorsson","given":"Sofia"}],"issued":{"date-parts":[["2017",8]]}}}],"schema":"https://github.com/citation-style-language/schema/raw/master/csl-citation.json"} </w:instrText>
      </w:r>
      <w:r w:rsidR="00802C4E">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(Klingberg et al., 2017)</w:t>
      </w:r>
      <w:r w:rsidR="00802C4E">
        <w:rPr>
          <w:rFonts w:ascii="Times New Roman" w:eastAsia="Times New Roman" w:hAnsi="Times New Roman" w:cs="Times New Roman"/>
          <w:sz w:val="24"/>
          <w:szCs w:val="24"/>
        </w:rPr>
        <w:fldChar w:fldCharType="end"/>
      </w:r>
      <w:r w:rsidR="00802C4E">
        <w:rPr>
          <w:rFonts w:ascii="Times New Roman" w:eastAsia="Times New Roman" w:hAnsi="Times New Roman" w:cs="Times New Roman"/>
          <w:sz w:val="24"/>
          <w:szCs w:val="24"/>
        </w:rPr>
        <w:t xml:space="preserve">. What it also important, that we can estimate both LAI and WAI and their relation through seasonal dynamics, which is important </w:t>
      </w:r>
      <w:r w:rsidR="00565ED8">
        <w:rPr>
          <w:rFonts w:ascii="Times New Roman" w:eastAsia="Times New Roman" w:hAnsi="Times New Roman" w:cs="Times New Roman"/>
          <w:sz w:val="24"/>
          <w:szCs w:val="24"/>
        </w:rPr>
        <w:t>for</w:t>
      </w:r>
      <w:r w:rsidR="00802C4E">
        <w:rPr>
          <w:rFonts w:ascii="Times New Roman" w:eastAsia="Times New Roman" w:hAnsi="Times New Roman" w:cs="Times New Roman"/>
          <w:sz w:val="24"/>
          <w:szCs w:val="24"/>
        </w:rPr>
        <w:t xml:space="preserve"> plant physiological processes </w:t>
      </w:r>
      <w:r w:rsidR="00565ED8">
        <w:rPr>
          <w:rFonts w:ascii="Times New Roman" w:eastAsia="Times New Roman" w:hAnsi="Times New Roman" w:cs="Times New Roman"/>
          <w:sz w:val="24"/>
          <w:szCs w:val="24"/>
        </w:rPr>
        <w:t xml:space="preserve">and estimations based on it </w:t>
      </w:r>
      <w:r w:rsidR="00802C4E">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{"citationID":"hW8SKCAw","properties":{"formattedCitation":"(R. Wang et al., 2019)","plainCitation":"(R. Wang et al., 2019)","noteIndex":0},"citationItems":[{"id":2160,"uris":["http://zotero.org/users/3524663/items/5JD48473"],"uri":["http://zotero.org/users/3524663/items/5JD48473"],"itemData":{"id":2160,"type":"article-journal","abstract":"Leaf area index (LAI), defined as one half the total leaf area per unit ground area, and Vcmax, representing the maximal carboxylation rate of leaves, are two most significant parameters used in most Terrestrial Biosphere Models (TBMs). The ability of TBMs to simulate gross primary productivity (GPP) and evapotranspiration (ET) for evergreen needle-leave forests (ENF) can be significantly hampered by uncertainties in LAI and Vcmax. Remotely sensed (RS) LAI for ENF is generally underestimated in winter, early spring and late autumn. Although constant Vcmax throughout the growing season is often used in TBMs for GPP and ET modeling, it could vary significantly under leaf aging and stressed conditions. There were recent studies that apply seasonal leaf chlorophyll constraints on GPP modeling for croplands and deciduous forests, but little attention is given to the influence of the seasonality of either LAI or Vcmax on GPP or ET estimations for the ENF biome. In this study, we pay special attention to this biome, with the purpose of investigating if the representations of seasonal LAI and Vmax variations are essential in TBMs. To serve this purpose, the University of Toronto LAI product Version 2 was corrected for its seasonal variation using leaf lifespan and in-situ measurements at eight ENF sites in Canada. Seasonal Vcmax variation was derived from the MERIS Terrestrial Chlorophyll Index (MTCI) through downscaling it to the leaf level using a scheme with a general vertical nitrogen distribution within the canopy. Leaf chlorophyll content (LCC) is thus derived from MTCI and converted to Vcmax using empirical equations. Four model cases with and without considerations of the seasonal LAI and Vcmax variations were tested and compared. Validation against eddy covariance measurements indicates that the case with both LAI and Vcmax variations produced the highest R2, lowest root mean square error (RMSE) and lowest mean absolute error (MAE) for both GPP and ET simulations, and thus outperforms all other cases without considering the variations or with consideration of one of the variations only. In this best case, the simulated daily GPP yields R2 of 0.91, RMSE of 0.91 g C m−2 and MAE of 0.65 g C m−2, while the simulated daily ET yields R2 of 0.8, RMSE of 0.52 mm and MAE of 0.34 mm. Most improvements were found in spring and autumn. Not only the correlations between the seasonal trajectories of model simulation and observation were improved, but also the annual total GPP and ET were more accurately estimated. The smallest mean absolute relative bias to eddy covariance measurements is 9% for GPP and 15% for ET, both were found in the best case. Moreover, improvements in GPP were more pronounced than in ET. Our results highlight the significance of considering both seasonal structural and physiological characteristics of leaves in TBMs. Considering the important role that evergreen coniferous forests play in global terrestrial ecosystems, global simulations of GPP and ET in space and time can benefit from the proper representation of seasonal variations in canopy structure and leaf physiology as represented by LAI and Vcmax, respectively.","container-title":"Agricultural and Forest Meteorology","DOI":"10.1016/j.agrformet.2019.107708","ISSN":"01681923","language":"en","page":"107708","source":"Crossref","title":"Seasonality of leaf area index and photosynthetic capacity for better estimation of carbon and water fluxes in evergreen conifer forests","volume":"279","author":[{"family":"Wang","given":"Rong"},{"family":"Chen","given":"Jing M."},{"family":"Luo","given":"Xiangzhong"},{"family":"Black","given":"Andy"},{"family":"Arain","given":"Altaf"}],"issued":{"date-parts":[["2019",12]]}}}],"schema":"https://github.com/citation-style-language/schema/raw/master/csl-citation.json"} </w:instrText>
      </w:r>
      <w:r w:rsidR="00802C4E">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(R. Wang et al., 2019)</w:t>
      </w:r>
      <w:r w:rsidR="00802C4E">
        <w:rPr>
          <w:rFonts w:ascii="Times New Roman" w:eastAsia="Times New Roman" w:hAnsi="Times New Roman" w:cs="Times New Roman"/>
          <w:sz w:val="24"/>
          <w:szCs w:val="24"/>
        </w:rPr>
        <w:fldChar w:fldCharType="end"/>
      </w:r>
      <w:r w:rsidR="00565ED8">
        <w:rPr>
          <w:rFonts w:ascii="Times New Roman" w:eastAsia="Times New Roman" w:hAnsi="Times New Roman" w:cs="Times New Roman"/>
          <w:sz w:val="24"/>
          <w:szCs w:val="24"/>
        </w:rPr>
        <w:t>.</w:t>
      </w:r>
    </w:p>
    <w:p w14:paraId="4E816E8D" w14:textId="77777777" w:rsidR="00D01F0A" w:rsidRDefault="00D01F0A" w:rsidP="0020192C">
      <w:pPr>
        <w:spacing w:after="0"/>
        <w:ind w:firstLine="720"/>
        <w:jc w:val="both"/>
        <w:rPr>
          <w:rFonts w:ascii="Times New Roman" w:eastAsia="Times New Roman" w:hAnsi="Times New Roman" w:cs="Times New Roman"/>
          <w:sz w:val="24"/>
          <w:szCs w:val="24"/>
        </w:rPr>
      </w:pPr>
    </w:p>
    <w:p w14:paraId="3F252C1C" w14:textId="5B14BE95" w:rsidR="00D244A4" w:rsidRPr="00A72E93" w:rsidRDefault="00015FD1" w:rsidP="009C3D46">
      <w:pPr>
        <w:pStyle w:val="a5"/>
        <w:numPr>
          <w:ilvl w:val="1"/>
          <w:numId w:val="8"/>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44A4" w:rsidRPr="00A72E93">
        <w:rPr>
          <w:rFonts w:ascii="Times New Roman" w:eastAsia="Times New Roman" w:hAnsi="Times New Roman" w:cs="Times New Roman"/>
          <w:sz w:val="24"/>
          <w:szCs w:val="24"/>
        </w:rPr>
        <w:t>Particulate adsorption</w:t>
      </w:r>
    </w:p>
    <w:p w14:paraId="6196211D" w14:textId="619C23FA" w:rsidR="00FD64A8" w:rsidRDefault="00073E26"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77205">
        <w:rPr>
          <w:rFonts w:ascii="Times New Roman" w:eastAsia="Times New Roman" w:hAnsi="Times New Roman" w:cs="Times New Roman"/>
          <w:sz w:val="24"/>
          <w:szCs w:val="24"/>
        </w:rPr>
        <w:t xml:space="preserve">articulate adsorption </w:t>
      </w:r>
      <w:r>
        <w:rPr>
          <w:rFonts w:ascii="Times New Roman" w:eastAsia="Times New Roman" w:hAnsi="Times New Roman" w:cs="Times New Roman"/>
          <w:sz w:val="24"/>
          <w:szCs w:val="24"/>
        </w:rPr>
        <w:t xml:space="preserve">is </w:t>
      </w:r>
      <w:r w:rsidR="00777205">
        <w:rPr>
          <w:rFonts w:ascii="Times New Roman" w:eastAsia="Times New Roman" w:hAnsi="Times New Roman" w:cs="Times New Roman"/>
          <w:sz w:val="24"/>
          <w:szCs w:val="24"/>
        </w:rPr>
        <w:t>influenced by two main parameters – PAI and particulate concentration in air</w:t>
      </w:r>
      <w:r>
        <w:rPr>
          <w:rFonts w:ascii="Times New Roman" w:eastAsia="Times New Roman" w:hAnsi="Times New Roman" w:cs="Times New Roman"/>
          <w:sz w:val="24"/>
          <w:szCs w:val="24"/>
        </w:rPr>
        <w:t>, according to the m</w:t>
      </w:r>
      <w:r w:rsidRPr="00FD64A8">
        <w:rPr>
          <w:rFonts w:ascii="Times New Roman" w:eastAsia="Times New Roman" w:hAnsi="Times New Roman" w:cs="Times New Roman"/>
          <w:sz w:val="24"/>
          <w:szCs w:val="24"/>
        </w:rPr>
        <w:t>odel described in Methods.</w:t>
      </w:r>
      <w:r w:rsidR="00777205" w:rsidRPr="00FD64A8">
        <w:rPr>
          <w:rFonts w:ascii="Times New Roman" w:eastAsia="Times New Roman" w:hAnsi="Times New Roman" w:cs="Times New Roman"/>
          <w:sz w:val="24"/>
          <w:szCs w:val="24"/>
        </w:rPr>
        <w:t xml:space="preserve"> </w:t>
      </w:r>
      <w:r w:rsidRPr="00FD64A8">
        <w:rPr>
          <w:rFonts w:ascii="Times New Roman" w:eastAsia="Times New Roman" w:hAnsi="Times New Roman" w:cs="Times New Roman"/>
          <w:sz w:val="24"/>
          <w:szCs w:val="24"/>
        </w:rPr>
        <w:t xml:space="preserve">The </w:t>
      </w:r>
      <w:r w:rsidR="002242E2" w:rsidRPr="00FD64A8">
        <w:rPr>
          <w:rFonts w:ascii="Times New Roman" w:eastAsia="Times New Roman" w:hAnsi="Times New Roman" w:cs="Times New Roman"/>
          <w:sz w:val="24"/>
          <w:szCs w:val="24"/>
        </w:rPr>
        <w:t xml:space="preserve">absorption </w:t>
      </w:r>
      <w:r w:rsidRPr="00FD64A8">
        <w:rPr>
          <w:rFonts w:ascii="Times New Roman" w:eastAsia="Times New Roman" w:hAnsi="Times New Roman" w:cs="Times New Roman"/>
          <w:sz w:val="24"/>
          <w:szCs w:val="24"/>
        </w:rPr>
        <w:t>dynamic</w:t>
      </w:r>
      <w:r w:rsidR="00FD64A8">
        <w:rPr>
          <w:rFonts w:ascii="Times New Roman" w:eastAsia="Times New Roman" w:hAnsi="Times New Roman" w:cs="Times New Roman"/>
          <w:sz w:val="24"/>
          <w:szCs w:val="24"/>
        </w:rPr>
        <w:t xml:space="preserve"> during investigated period</w:t>
      </w:r>
      <w:r w:rsidRPr="00FD64A8">
        <w:rPr>
          <w:rFonts w:ascii="Times New Roman" w:eastAsia="Times New Roman" w:hAnsi="Times New Roman" w:cs="Times New Roman"/>
          <w:sz w:val="24"/>
          <w:szCs w:val="24"/>
        </w:rPr>
        <w:t xml:space="preserve"> mostly </w:t>
      </w:r>
      <w:r w:rsidR="004E7DB3">
        <w:rPr>
          <w:rFonts w:ascii="Times New Roman" w:eastAsia="Times New Roman" w:hAnsi="Times New Roman" w:cs="Times New Roman"/>
          <w:sz w:val="24"/>
          <w:szCs w:val="24"/>
        </w:rPr>
        <w:t>reflected</w:t>
      </w:r>
      <w:r w:rsidR="002242E2" w:rsidRPr="00FD64A8">
        <w:rPr>
          <w:rFonts w:ascii="Times New Roman" w:eastAsia="Times New Roman" w:hAnsi="Times New Roman" w:cs="Times New Roman"/>
          <w:sz w:val="24"/>
          <w:szCs w:val="24"/>
        </w:rPr>
        <w:t xml:space="preserve"> the changes </w:t>
      </w:r>
      <w:r w:rsidR="00FD64A8" w:rsidRPr="00FD64A8">
        <w:rPr>
          <w:rFonts w:ascii="Times New Roman" w:eastAsia="Times New Roman" w:hAnsi="Times New Roman" w:cs="Times New Roman"/>
          <w:sz w:val="24"/>
          <w:szCs w:val="24"/>
        </w:rPr>
        <w:t>in the</w:t>
      </w:r>
      <w:r w:rsidR="002242E2" w:rsidRPr="00FD64A8">
        <w:rPr>
          <w:rFonts w:ascii="Times New Roman" w:eastAsia="Times New Roman" w:hAnsi="Times New Roman" w:cs="Times New Roman"/>
          <w:sz w:val="24"/>
          <w:szCs w:val="24"/>
        </w:rPr>
        <w:t xml:space="preserve"> air </w:t>
      </w:r>
      <w:r w:rsidR="00FD64A8" w:rsidRPr="00FD64A8">
        <w:rPr>
          <w:rFonts w:ascii="Times New Roman" w:eastAsia="Times New Roman" w:hAnsi="Times New Roman" w:cs="Times New Roman"/>
          <w:sz w:val="24"/>
          <w:szCs w:val="24"/>
        </w:rPr>
        <w:t xml:space="preserve">pollution level by </w:t>
      </w:r>
      <w:r w:rsidR="002242E2" w:rsidRPr="00FD64A8">
        <w:rPr>
          <w:rFonts w:ascii="Times New Roman" w:eastAsia="Times New Roman" w:hAnsi="Times New Roman" w:cs="Times New Roman"/>
          <w:sz w:val="24"/>
          <w:szCs w:val="24"/>
        </w:rPr>
        <w:t>particulate concentration</w:t>
      </w:r>
      <w:r w:rsidR="00FD64A8" w:rsidRPr="00FD64A8">
        <w:rPr>
          <w:rFonts w:ascii="Times New Roman" w:eastAsia="Times New Roman" w:hAnsi="Times New Roman" w:cs="Times New Roman"/>
          <w:sz w:val="24"/>
          <w:szCs w:val="24"/>
        </w:rPr>
        <w:t>,</w:t>
      </w:r>
      <w:r w:rsidR="002242E2" w:rsidRPr="00FD64A8">
        <w:rPr>
          <w:rFonts w:ascii="Times New Roman" w:eastAsia="Times New Roman" w:hAnsi="Times New Roman" w:cs="Times New Roman"/>
          <w:sz w:val="24"/>
          <w:szCs w:val="24"/>
        </w:rPr>
        <w:t xml:space="preserve"> which shows peaks in </w:t>
      </w:r>
      <w:r w:rsidR="00FD64A8" w:rsidRPr="00FD64A8">
        <w:rPr>
          <w:rFonts w:ascii="Times New Roman" w:eastAsia="Times New Roman" w:hAnsi="Times New Roman" w:cs="Times New Roman"/>
          <w:sz w:val="24"/>
          <w:szCs w:val="24"/>
        </w:rPr>
        <w:t>the end of July and beginning of August, then in September and late November. While the reasons of this pollution dynamics were not in our focus, we can only say that the average absorption rates for all trees look similar and adsorption was on about 3</w:t>
      </w:r>
      <w:r w:rsidR="00802884">
        <w:rPr>
          <w:rFonts w:ascii="Times New Roman" w:eastAsia="Times New Roman" w:hAnsi="Times New Roman" w:cs="Times New Roman"/>
          <w:sz w:val="24"/>
          <w:szCs w:val="24"/>
        </w:rPr>
        <w:t>0</w:t>
      </w:r>
      <w:r w:rsidR="00FD64A8" w:rsidRPr="00FD64A8">
        <w:rPr>
          <w:rFonts w:ascii="Times New Roman" w:eastAsia="Times New Roman" w:hAnsi="Times New Roman" w:cs="Times New Roman"/>
          <w:sz w:val="24"/>
          <w:szCs w:val="24"/>
        </w:rPr>
        <w:t xml:space="preserve"> grams per day </w:t>
      </w:r>
      <w:r w:rsidR="00802884">
        <w:rPr>
          <w:rFonts w:ascii="Times New Roman" w:eastAsia="Times New Roman" w:hAnsi="Times New Roman" w:cs="Times New Roman"/>
          <w:sz w:val="24"/>
          <w:szCs w:val="24"/>
        </w:rPr>
        <w:t xml:space="preserve">per tree </w:t>
      </w:r>
      <w:r w:rsidR="002F32B4">
        <w:rPr>
          <w:rFonts w:ascii="Times New Roman" w:eastAsia="Times New Roman" w:hAnsi="Times New Roman" w:cs="Times New Roman"/>
          <w:sz w:val="24"/>
          <w:szCs w:val="24"/>
        </w:rPr>
        <w:t>(fig.</w:t>
      </w:r>
      <w:r w:rsidR="00FD64A8" w:rsidRPr="00FD64A8">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10</w:t>
      </w:r>
      <w:r w:rsidR="00FD64A8" w:rsidRPr="00FD64A8">
        <w:rPr>
          <w:rFonts w:ascii="Times New Roman" w:eastAsia="Times New Roman" w:hAnsi="Times New Roman" w:cs="Times New Roman"/>
          <w:sz w:val="24"/>
          <w:szCs w:val="24"/>
        </w:rPr>
        <w:t>).</w:t>
      </w:r>
    </w:p>
    <w:p w14:paraId="214DD58D" w14:textId="6C6FA6F1" w:rsidR="00073E26" w:rsidRDefault="00AD2F98" w:rsidP="00015FD1">
      <w:pPr>
        <w:spacing w:after="0"/>
        <w:jc w:val="both"/>
        <w:rPr>
          <w:rFonts w:ascii="Times New Roman" w:eastAsia="Times New Roman" w:hAnsi="Times New Roman" w:cs="Times New Roman"/>
          <w:sz w:val="24"/>
          <w:szCs w:val="24"/>
        </w:rPr>
      </w:pPr>
      <w:commentRangeStart w:id="13"/>
      <w:r>
        <w:rPr>
          <w:rFonts w:ascii="Times New Roman" w:eastAsia="Times New Roman" w:hAnsi="Times New Roman" w:cs="Times New Roman"/>
          <w:noProof/>
          <w:sz w:val="24"/>
          <w:szCs w:val="24"/>
          <w:lang w:val="ru-RU"/>
        </w:rPr>
        <w:drawing>
          <wp:inline distT="0" distB="0" distL="0" distR="0" wp14:anchorId="68648705" wp14:editId="292430C4">
            <wp:extent cx="5943600" cy="4457700"/>
            <wp:effectExtent l="0" t="0" r="0" b="0"/>
            <wp:docPr id="13" name="Рисунок 5" descr="Pm10_dynamics_per_tree_g_vs_PM10_concetn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10_dynamics_per_tree_g_vs_PM10_concetntr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commentRangeEnd w:id="13"/>
      <w:r w:rsidR="00A14704">
        <w:rPr>
          <w:rStyle w:val="a7"/>
        </w:rPr>
        <w:commentReference w:id="13"/>
      </w:r>
    </w:p>
    <w:p w14:paraId="054F2E4C" w14:textId="3ACA52B2" w:rsidR="00073E26" w:rsidRDefault="00015FD1"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2F32B4">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8C793F">
        <w:rPr>
          <w:rFonts w:ascii="Times New Roman" w:eastAsia="Times New Roman" w:hAnsi="Times New Roman" w:cs="Times New Roman"/>
          <w:sz w:val="24"/>
          <w:szCs w:val="24"/>
        </w:rPr>
        <w:t xml:space="preserve">Dynamics of atmospheric </w:t>
      </w:r>
      <w:r w:rsidR="008C793F" w:rsidRPr="008C793F">
        <w:rPr>
          <w:rFonts w:ascii="Times New Roman" w:eastAsia="Times New Roman" w:hAnsi="Times New Roman" w:cs="Times New Roman"/>
          <w:sz w:val="24"/>
          <w:szCs w:val="24"/>
        </w:rPr>
        <w:t>particulate matter</w:t>
      </w:r>
      <w:r w:rsidR="00B739EB">
        <w:rPr>
          <w:rFonts w:ascii="Times New Roman" w:eastAsia="Times New Roman" w:hAnsi="Times New Roman" w:cs="Times New Roman"/>
          <w:sz w:val="24"/>
          <w:szCs w:val="24"/>
        </w:rPr>
        <w:t xml:space="preserve">  with diameter less than </w:t>
      </w:r>
      <w:r w:rsidR="00B739EB" w:rsidRPr="00B739EB">
        <w:rPr>
          <w:rFonts w:ascii="Times New Roman" w:eastAsia="Times New Roman" w:hAnsi="Times New Roman" w:cs="Times New Roman"/>
          <w:sz w:val="24"/>
          <w:szCs w:val="24"/>
        </w:rPr>
        <w:t>10 micrometers</w:t>
      </w:r>
      <w:r w:rsidR="00B739EB">
        <w:rPr>
          <w:rFonts w:ascii="Times New Roman" w:eastAsia="Times New Roman" w:hAnsi="Times New Roman" w:cs="Times New Roman"/>
          <w:sz w:val="24"/>
          <w:szCs w:val="24"/>
        </w:rPr>
        <w:t>(PM10)</w:t>
      </w:r>
      <w:r w:rsidR="00B739EB" w:rsidRPr="00B739EB">
        <w:rPr>
          <w:rFonts w:ascii="Times New Roman" w:eastAsia="Times New Roman" w:hAnsi="Times New Roman" w:cs="Times New Roman"/>
          <w:sz w:val="24"/>
          <w:szCs w:val="24"/>
        </w:rPr>
        <w:t xml:space="preserve"> </w:t>
      </w:r>
      <w:r w:rsidR="00B739EB">
        <w:rPr>
          <w:rFonts w:ascii="Times New Roman" w:eastAsia="Times New Roman" w:hAnsi="Times New Roman" w:cs="Times New Roman"/>
          <w:sz w:val="24"/>
          <w:szCs w:val="24"/>
        </w:rPr>
        <w:t xml:space="preserve">concentration in air (dashed line) and amount of PM10 absorbed by investigated trees daily </w:t>
      </w:r>
    </w:p>
    <w:p w14:paraId="101A0CE2" w14:textId="760E0817" w:rsidR="005A64CA" w:rsidRDefault="005A64CA"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least, resulting the whole season the average mass of particles adsorbed was around </w:t>
      </w:r>
      <w:r w:rsidR="00802884">
        <w:rPr>
          <w:rFonts w:ascii="Times New Roman" w:eastAsia="Times New Roman" w:hAnsi="Times New Roman" w:cs="Times New Roman"/>
          <w:sz w:val="24"/>
          <w:szCs w:val="24"/>
        </w:rPr>
        <w:t>7k</w:t>
      </w:r>
      <w:r>
        <w:rPr>
          <w:rFonts w:ascii="Times New Roman" w:eastAsia="Times New Roman" w:hAnsi="Times New Roman" w:cs="Times New Roman"/>
          <w:sz w:val="24"/>
          <w:szCs w:val="24"/>
        </w:rPr>
        <w:t>g for Acer, Larix</w:t>
      </w:r>
      <w:r w:rsidR="00802884">
        <w:rPr>
          <w:rFonts w:ascii="Times New Roman" w:eastAsia="Times New Roman" w:hAnsi="Times New Roman" w:cs="Times New Roman"/>
          <w:sz w:val="24"/>
          <w:szCs w:val="24"/>
        </w:rPr>
        <w:t>, 4kg for</w:t>
      </w:r>
      <w:r>
        <w:rPr>
          <w:rFonts w:ascii="Times New Roman" w:eastAsia="Times New Roman" w:hAnsi="Times New Roman" w:cs="Times New Roman"/>
          <w:sz w:val="24"/>
          <w:szCs w:val="24"/>
        </w:rPr>
        <w:t xml:space="preserve"> Tillia, and around </w:t>
      </w:r>
      <w:r w:rsidR="00802884">
        <w:rPr>
          <w:rFonts w:ascii="Times New Roman" w:eastAsia="Times New Roman" w:hAnsi="Times New Roman" w:cs="Times New Roman"/>
          <w:sz w:val="24"/>
          <w:szCs w:val="24"/>
        </w:rPr>
        <w:t>1,3k</w:t>
      </w:r>
      <w:r>
        <w:rPr>
          <w:rFonts w:ascii="Times New Roman" w:eastAsia="Times New Roman" w:hAnsi="Times New Roman" w:cs="Times New Roman"/>
          <w:sz w:val="24"/>
          <w:szCs w:val="24"/>
        </w:rPr>
        <w:t>g for Betula (</w:t>
      </w:r>
      <w:r w:rsidR="00015FD1">
        <w:rPr>
          <w:rFonts w:ascii="Times New Roman" w:eastAsia="Times New Roman" w:hAnsi="Times New Roman" w:cs="Times New Roman"/>
          <w:sz w:val="24"/>
          <w:szCs w:val="24"/>
        </w:rPr>
        <w:t>f</w:t>
      </w:r>
      <w:r w:rsidR="00207112">
        <w:rPr>
          <w:rFonts w:ascii="Times New Roman" w:eastAsia="Times New Roman" w:hAnsi="Times New Roman" w:cs="Times New Roman"/>
          <w:sz w:val="24"/>
          <w:szCs w:val="24"/>
        </w:rPr>
        <w:t>ig</w:t>
      </w:r>
      <w:r w:rsidR="00015FD1">
        <w:rPr>
          <w:rFonts w:ascii="Times New Roman" w:eastAsia="Times New Roman" w:hAnsi="Times New Roman" w:cs="Times New Roman"/>
          <w:sz w:val="24"/>
          <w:szCs w:val="24"/>
        </w:rPr>
        <w:t>.1</w:t>
      </w:r>
      <w:r w:rsidR="002F32B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4E7DB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{"citationID":"58VgLjWC","properties":{"formattedCitation":"(S\\uc0\\u230{}b\\uc0\\u248{} et al. 2012)","plainCitation":"(Sæbø et al. 2012)","dontUpdate":true,"noteIndex":0},"citationItems":[{"id":2100,"uris":["http://zotero.org/users/3524663/items/WAEYA9GD"],"uri":["http://zotero.org/users/3524663/items/WAEYA9GD"],"itemData":{"id":2100,"type":"article-journal","abstract":"Particulate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4E7DB3">
        <w:rPr>
          <w:rFonts w:ascii="Times New Roman" w:eastAsia="Times New Roman" w:hAnsi="Times New Roman" w:cs="Times New Roman"/>
          <w:sz w:val="24"/>
          <w:szCs w:val="24"/>
        </w:rPr>
        <w:fldChar w:fldCharType="separate"/>
      </w:r>
      <w:r w:rsidR="004E7DB3" w:rsidRPr="004E7DB3">
        <w:rPr>
          <w:rFonts w:ascii="Times New Roman" w:hAnsi="Times New Roman" w:cs="Times New Roman"/>
          <w:sz w:val="24"/>
          <w:szCs w:val="24"/>
        </w:rPr>
        <w:t xml:space="preserve">Sæbø et al. </w:t>
      </w:r>
      <w:r w:rsidR="004E7DB3">
        <w:rPr>
          <w:rFonts w:ascii="Times New Roman" w:hAnsi="Times New Roman" w:cs="Times New Roman"/>
          <w:sz w:val="24"/>
          <w:szCs w:val="24"/>
        </w:rPr>
        <w:t>(</w:t>
      </w:r>
      <w:r w:rsidR="004E7DB3" w:rsidRPr="004E7DB3">
        <w:rPr>
          <w:rFonts w:ascii="Times New Roman" w:hAnsi="Times New Roman" w:cs="Times New Roman"/>
          <w:sz w:val="24"/>
          <w:szCs w:val="24"/>
        </w:rPr>
        <w:t>2012)</w:t>
      </w:r>
      <w:r w:rsidR="004E7DB3">
        <w:rPr>
          <w:rFonts w:ascii="Times New Roman" w:eastAsia="Times New Roman" w:hAnsi="Times New Roman" w:cs="Times New Roman"/>
          <w:sz w:val="24"/>
          <w:szCs w:val="24"/>
        </w:rPr>
        <w:fldChar w:fldCharType="end"/>
      </w:r>
      <w:r w:rsidR="004E7DB3">
        <w:rPr>
          <w:rFonts w:ascii="Times New Roman" w:eastAsia="Times New Roman" w:hAnsi="Times New Roman" w:cs="Times New Roman"/>
          <w:sz w:val="24"/>
          <w:szCs w:val="24"/>
        </w:rPr>
        <w:t xml:space="preserve"> showed that Betula improves air quality by particulate adsorption much better than Acer and Tillia, that can be explained </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in our case</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just by the size of a tree</w:t>
      </w:r>
      <w:r w:rsidR="0037143C">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It is well known that h</w:t>
      </w:r>
      <w:r w:rsidR="0037143C" w:rsidRPr="0037143C">
        <w:rPr>
          <w:rFonts w:ascii="Times New Roman" w:eastAsia="Times New Roman" w:hAnsi="Times New Roman" w:cs="Times New Roman"/>
          <w:sz w:val="24"/>
          <w:szCs w:val="24"/>
        </w:rPr>
        <w:t>ealthy large trees remove about 60 times more pollution</w:t>
      </w:r>
      <w:r w:rsidR="0037143C">
        <w:rPr>
          <w:rFonts w:ascii="Times New Roman" w:eastAsia="Times New Roman" w:hAnsi="Times New Roman" w:cs="Times New Roman"/>
          <w:sz w:val="24"/>
          <w:szCs w:val="24"/>
        </w:rPr>
        <w:t xml:space="preserve"> </w:t>
      </w:r>
      <w:r w:rsidR="0037143C" w:rsidRPr="0037143C">
        <w:rPr>
          <w:rFonts w:ascii="Times New Roman" w:eastAsia="Times New Roman" w:hAnsi="Times New Roman" w:cs="Times New Roman"/>
          <w:sz w:val="24"/>
          <w:szCs w:val="24"/>
        </w:rPr>
        <w:t xml:space="preserve">annually than healthy small trees </w:t>
      </w:r>
      <w:r w:rsidR="00995940">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{"citationID":"Ybni1m3B","properties":{"formattedCitation":"(Nowak et al., 2006)","plainCitation":"(Nowak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995940">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w:t>
      </w:r>
      <w:r w:rsidR="00995940">
        <w:rPr>
          <w:rFonts w:ascii="Times New Roman" w:eastAsia="Times New Roman" w:hAnsi="Times New Roman" w:cs="Times New Roman"/>
          <w:sz w:val="24"/>
          <w:szCs w:val="24"/>
        </w:rPr>
        <w:fldChar w:fldCharType="end"/>
      </w:r>
      <w:r w:rsidR="0037143C" w:rsidRPr="0037143C">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 xml:space="preserve">And leaf wax or leaf hair density and topography also influenced much </w:t>
      </w:r>
      <w:r w:rsidR="0037143C">
        <w:rPr>
          <w:rFonts w:ascii="Times New Roman" w:eastAsia="Times New Roman" w:hAnsi="Times New Roman" w:cs="Times New Roman"/>
          <w:sz w:val="24"/>
          <w:szCs w:val="24"/>
        </w:rPr>
        <w:fldChar w:fldCharType="begin"/>
      </w:r>
      <w:r w:rsidR="00D647F0">
        <w:rPr>
          <w:rFonts w:ascii="Times New Roman" w:eastAsia="Times New Roman" w:hAnsi="Times New Roman" w:cs="Times New Roman"/>
          <w:sz w:val="24"/>
          <w:szCs w:val="24"/>
        </w:rPr>
        <w:instrText xml:space="preserve"> ADDIN ZOTERO_ITEM CSL_CITATION {"citationID":"cW7USCW9","properties":{"formattedCitation":"(Muhammad et al., 2019; S\\uc0\\u230{}b\\uc0\\u248{} et al., 2012)","plainCitation":"(Muhammad et al., 2019; Sæbø et al., 2012)","noteIndex":0},"citationItems":[{"id":2133,"uris":["http://zotero.org/users/3524663/items/3R8Q5QI7"],"uri":["http://zotero.org/users/3524663/items/3R8Q5QI7"],"itemData":{"id":2133,"type":"article-journal","abstract":"Urban green spaces function as biological filters in reducing atmospheric particles. Yet there is a profound requisite to identify the most effective plant species by their leaf traits that can enhance particle capture and improve ambient air quality. In this study, we investigated leaves of 96 perennial urban plant species consisting of 43 deciduous broadleaf trees, 32 deciduous broadleaf shrubs, 14 deciduous and evergreen needle/scale-like, 5 evergreen broadleaves, and 2 climber species for their differences in net particle accumulation. Leaf saturation isothermal remanent magnetization (SIRM), a proxy for traffic and industry induced particle accumulation, along with morphological and anatomical leaf traits were analyzed in a common garden experiment in June and September 2016. Leaf SIRM varied significantly between plant species. The most effective net particle accumulating plant species with a median value of 23.0 μA were Buddleja davidii, Viburnum opulus, Carpinus betulus, Quercus ilex, Viburnum lantana, Rosa rugosa, Sorbus aria, Aesculus hippocastanum, Pseudotsuga menziesii, Acer campestre. The least effective net particle accumulating plant species with a median value of 10.4 μA were Populus alba, Alnus glutinosa, Larix kaempferi, Larix decidua, Plantanus x acerilifolia, Acer pseudoplatanus, Robinia pseudoacacia, Quercus palustris, Rosa canina, Liquidambar styraciflua. The “variable importance” in net particle accumulation for the investigated plant species was achieved using ®randomForest. The presence of leaf trichomes and specific leaf area were identified as important leaf traits for categorization of the selected plant species in low, medium, and high net particle accumulators. The extensive analysis of plant species at leaf-level with distinct micro-morphology contributes to a better understanding of plant species behavior in net particle capture and their contribution in reducing atmospheric particulate matter. Furthermore, this study has practical implications for policymakers in making informed choices when planning urban green infrastructures. Lastly, our study can become a basis to validate atmospheric deposition model using species-specific information.","container-title":"Atmospheric Environment","DOI":"10.1016/j.atmosenv.2019.01.015","ISSN":"13522310","language":"en","page":"328-344","source":"Crossref","title":"Atmospheric net particle accumulation on 96 plant species with contrasting morphological and anatomical leaf characteristics in a common garden experiment","volume":"202","author":[{"family":"Muhammad","given":"S."},{"family":"Wuyts","given":"K."},{"family":"Samson","given":"R."}],"issued":{"date-parts":[["2019",4]]}}},{"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37143C">
        <w:rPr>
          <w:rFonts w:ascii="Times New Roman" w:eastAsia="Times New Roman" w:hAnsi="Times New Roman" w:cs="Times New Roman"/>
          <w:sz w:val="24"/>
          <w:szCs w:val="24"/>
        </w:rPr>
        <w:fldChar w:fldCharType="separate"/>
      </w:r>
      <w:r w:rsidR="00D647F0" w:rsidRPr="00D647F0">
        <w:rPr>
          <w:rFonts w:ascii="Times New Roman" w:hAnsi="Times New Roman" w:cs="Times New Roman"/>
          <w:sz w:val="24"/>
          <w:szCs w:val="24"/>
        </w:rPr>
        <w:t>(Muhammad et al., 2019; Sæbø et al., 2012)</w:t>
      </w:r>
      <w:r w:rsidR="0037143C">
        <w:rPr>
          <w:rFonts w:ascii="Times New Roman" w:eastAsia="Times New Roman" w:hAnsi="Times New Roman" w:cs="Times New Roman"/>
          <w:sz w:val="24"/>
          <w:szCs w:val="24"/>
        </w:rPr>
        <w:fldChar w:fldCharType="end"/>
      </w:r>
      <w:r w:rsidR="0037143C">
        <w:rPr>
          <w:rFonts w:ascii="Times New Roman" w:eastAsia="Times New Roman" w:hAnsi="Times New Roman" w:cs="Times New Roman"/>
          <w:sz w:val="24"/>
          <w:szCs w:val="24"/>
        </w:rPr>
        <w:t>, but we do not take it into account, while our</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calculation was</w:t>
      </w:r>
      <w:r w:rsidR="004E7DB3">
        <w:rPr>
          <w:rFonts w:ascii="Times New Roman" w:eastAsia="Times New Roman" w:hAnsi="Times New Roman" w:cs="Times New Roman"/>
          <w:sz w:val="24"/>
          <w:szCs w:val="24"/>
        </w:rPr>
        <w:t xml:space="preserve"> based on LAI. </w:t>
      </w:r>
      <w:r w:rsidR="006940CE">
        <w:rPr>
          <w:rFonts w:ascii="Times New Roman" w:eastAsia="Times New Roman" w:hAnsi="Times New Roman" w:cs="Times New Roman"/>
          <w:sz w:val="24"/>
          <w:szCs w:val="24"/>
        </w:rPr>
        <w:t xml:space="preserve">But the total adsorption by tree </w:t>
      </w:r>
      <w:r w:rsidR="005757E8">
        <w:rPr>
          <w:rFonts w:ascii="Times New Roman" w:eastAsia="Times New Roman" w:hAnsi="Times New Roman" w:cs="Times New Roman"/>
          <w:sz w:val="24"/>
          <w:szCs w:val="24"/>
        </w:rPr>
        <w:t>seems comparable with several works with the average 1-</w:t>
      </w:r>
      <w:r w:rsidR="00802884">
        <w:rPr>
          <w:rFonts w:ascii="Times New Roman" w:eastAsia="Times New Roman" w:hAnsi="Times New Roman" w:cs="Times New Roman"/>
          <w:sz w:val="24"/>
          <w:szCs w:val="24"/>
        </w:rPr>
        <w:t>5</w:t>
      </w:r>
      <w:r w:rsidR="005757E8">
        <w:rPr>
          <w:rFonts w:ascii="Times New Roman" w:eastAsia="Times New Roman" w:hAnsi="Times New Roman" w:cs="Times New Roman"/>
          <w:sz w:val="24"/>
          <w:szCs w:val="24"/>
        </w:rPr>
        <w:t xml:space="preserve"> g m</w:t>
      </w:r>
      <w:r w:rsidR="005757E8" w:rsidRPr="005757E8">
        <w:rPr>
          <w:rFonts w:ascii="Times New Roman" w:eastAsia="Times New Roman" w:hAnsi="Times New Roman" w:cs="Times New Roman"/>
          <w:sz w:val="24"/>
          <w:szCs w:val="24"/>
          <w:vertAlign w:val="superscript"/>
        </w:rPr>
        <w:t>-2</w:t>
      </w:r>
      <w:r w:rsidR="005757E8">
        <w:rPr>
          <w:rFonts w:ascii="Times New Roman" w:eastAsia="Times New Roman" w:hAnsi="Times New Roman" w:cs="Times New Roman"/>
          <w:sz w:val="24"/>
          <w:szCs w:val="24"/>
        </w:rPr>
        <w:t xml:space="preserve"> rates of adsorption in different cities </w:t>
      </w:r>
      <w:r w:rsidR="005757E8">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{"citationID":"GQqy7TCC","properties":{"formattedCitation":"(Bottalico et al., 2016; Nowak et al., 2018; Selmi et al., 2016)","plainCitation":"(Bottalico et al., 2016; Nowak et al., 2018; Selmi et al., 2016)","noteIndex":0},"citationItems":[{"id":1843,"uris":["http://zotero.org/users/3524663/items/3JMJM2VR"],"uri":["http://zotero.org/users/3524663/items/3JMJM2VR"],"itemData":{"id":1843,"type":"article-journal","abstract":"We investigated the potential performance of air pollution removal by the green infrastructures and urban forests in the city of Florence, central Italy, with a focus on the two most detrimental pollutants for human health: particulate (PM10) and ozone (O3). The spatial distribution of green infrastructures was mapped using remote sensing data. A spatial modeling approach using vegetation indices, Leaf Area Index, and local pollution concentration data was applied to estimate PM10 and O3 removal. The results are discussed to highlight the role and potential of green infrastructures and urban forests in improving air quality in Southern European cities.","container-title":"Agriculture and Agricultural Science Procedia","DOI":"10.1016/j.aaspro.2016.02.099","ISSN":"22107843","language":"en","page":"243-251","source":"Crossref","title":"Air Pollution Removal by Green Infrastructures and Urban Forests in the City of Florence","volume":"8","author":[{"family":"Bottalico","given":"Francesca"},{"family":"Chirici","given":"Gherardo"},{"family":"Giannetti","given":"Francesca"},{"family":"De Marco","given":"Alessandra"},{"family":"Nocentini","given":"Susanna"},{"family":"Paoletti","given":"Elena"},{"family":"Salbitano","given":"Fabio"},{"family":"Sanesi","given":"Giovanni"},{"family":"Serenelli","given":"Chiara"},{"family":"Travaglini","given":"Davide"}],"issued":{"date-parts":[["2016"]]}}},{"id":1844,"uris":["http://zotero.org/users/3524663/items/GQWSKRAB"],"uri":["http://zotero.org/users/3524663/items/GQWSKRAB"],"itemData":{"id":1844,"type":"article-journal","abstract":"This study integrates i-Tree Eco model in order to estimate air pollution removal by urban trees in Strasbourg city, France. Applied for the ﬁrst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signiﬁcant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etc.","container-title":"Urban Forestry &amp; Urban Greening","DOI":"10.1016/j.ufug.2016.04.010","ISSN":"16188667","language":"en","page":"192-201","source":"Crossref","title":"Air pollution removal by trees in public green spaces in Strasbourg city, France","volume":"17","author":[{"family":"Selmi","given":"Wissal"},{"family":"Weber","given":"Christiane"},{"family":"Rivière","given":"Emmanuel"},{"family":"Blond","given":"Nadège"},{"family":"Mehdi","given":"Lotfi"},{"family":"Nowak","given":"David"}],"issued":{"date-parts":[["2016",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5757E8">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(Bottalico et al., 2016; Nowak et al., 2018; Selmi et al., 2016)</w:t>
      </w:r>
      <w:r w:rsidR="005757E8">
        <w:rPr>
          <w:rFonts w:ascii="Times New Roman" w:eastAsia="Times New Roman" w:hAnsi="Times New Roman" w:cs="Times New Roman"/>
          <w:sz w:val="24"/>
          <w:szCs w:val="24"/>
        </w:rPr>
        <w:fldChar w:fldCharType="end"/>
      </w:r>
      <w:r w:rsidR="005757E8">
        <w:rPr>
          <w:rFonts w:ascii="Times New Roman" w:eastAsia="Times New Roman" w:hAnsi="Times New Roman" w:cs="Times New Roman"/>
          <w:sz w:val="24"/>
          <w:szCs w:val="24"/>
        </w:rPr>
        <w:t xml:space="preserve">, which resulted in </w:t>
      </w:r>
      <w:r w:rsidR="00802884">
        <w:rPr>
          <w:rFonts w:ascii="Times New Roman" w:eastAsia="Times New Roman" w:hAnsi="Times New Roman" w:cs="Times New Roman"/>
          <w:sz w:val="24"/>
          <w:szCs w:val="24"/>
        </w:rPr>
        <w:t>3</w:t>
      </w:r>
      <w:r w:rsidR="005757E8">
        <w:rPr>
          <w:rFonts w:ascii="Times New Roman" w:eastAsia="Times New Roman" w:hAnsi="Times New Roman" w:cs="Times New Roman"/>
          <w:sz w:val="24"/>
          <w:szCs w:val="24"/>
        </w:rPr>
        <w:t>0-</w:t>
      </w:r>
      <w:r w:rsidR="00802884">
        <w:rPr>
          <w:rFonts w:ascii="Times New Roman" w:eastAsia="Times New Roman" w:hAnsi="Times New Roman" w:cs="Times New Roman"/>
          <w:sz w:val="24"/>
          <w:szCs w:val="24"/>
        </w:rPr>
        <w:t>2</w:t>
      </w:r>
      <w:r w:rsidR="005757E8">
        <w:rPr>
          <w:rFonts w:ascii="Times New Roman" w:eastAsia="Times New Roman" w:hAnsi="Times New Roman" w:cs="Times New Roman"/>
          <w:sz w:val="24"/>
          <w:szCs w:val="24"/>
        </w:rPr>
        <w:t xml:space="preserve">00g </w:t>
      </w:r>
      <w:r w:rsidR="00802884">
        <w:rPr>
          <w:rFonts w:ascii="Times New Roman" w:eastAsia="Times New Roman" w:hAnsi="Times New Roman" w:cs="Times New Roman"/>
          <w:sz w:val="24"/>
          <w:szCs w:val="24"/>
        </w:rPr>
        <w:t xml:space="preserve">daily </w:t>
      </w:r>
      <w:r w:rsidR="005757E8">
        <w:rPr>
          <w:rFonts w:ascii="Times New Roman" w:eastAsia="Times New Roman" w:hAnsi="Times New Roman" w:cs="Times New Roman"/>
          <w:sz w:val="24"/>
          <w:szCs w:val="24"/>
        </w:rPr>
        <w:t xml:space="preserve">per tree. </w:t>
      </w:r>
      <w:r w:rsidR="0037143C">
        <w:rPr>
          <w:rFonts w:ascii="Times New Roman" w:eastAsia="Times New Roman" w:hAnsi="Times New Roman" w:cs="Times New Roman"/>
          <w:sz w:val="24"/>
          <w:szCs w:val="24"/>
        </w:rPr>
        <w:t xml:space="preserve">Thus, </w:t>
      </w:r>
      <w:r w:rsidR="005757E8">
        <w:rPr>
          <w:rFonts w:ascii="Times New Roman" w:eastAsia="Times New Roman" w:hAnsi="Times New Roman" w:cs="Times New Roman"/>
          <w:sz w:val="24"/>
          <w:szCs w:val="24"/>
        </w:rPr>
        <w:t>our results</w:t>
      </w:r>
      <w:r w:rsidR="0037143C">
        <w:rPr>
          <w:rFonts w:ascii="Times New Roman" w:eastAsia="Times New Roman" w:hAnsi="Times New Roman" w:cs="Times New Roman"/>
          <w:sz w:val="24"/>
          <w:szCs w:val="24"/>
        </w:rPr>
        <w:t xml:space="preserve"> from Moscow</w:t>
      </w:r>
      <w:r w:rsidR="005757E8">
        <w:rPr>
          <w:rFonts w:ascii="Times New Roman" w:eastAsia="Times New Roman" w:hAnsi="Times New Roman" w:cs="Times New Roman"/>
          <w:sz w:val="24"/>
          <w:szCs w:val="24"/>
        </w:rPr>
        <w:t xml:space="preserve"> center</w:t>
      </w:r>
      <w:r w:rsidR="00356E2D">
        <w:rPr>
          <w:rFonts w:ascii="Times New Roman" w:eastAsia="Times New Roman" w:hAnsi="Times New Roman" w:cs="Times New Roman"/>
          <w:sz w:val="24"/>
          <w:szCs w:val="24"/>
        </w:rPr>
        <w:t xml:space="preserve"> with very high traffic look comparable.</w:t>
      </w:r>
    </w:p>
    <w:p w14:paraId="526D045B" w14:textId="38542AA7" w:rsidR="005A64CA" w:rsidRDefault="00AD2F98" w:rsidP="00335AF7">
      <w:pPr>
        <w:spacing w:after="0"/>
        <w:rPr>
          <w:rFonts w:ascii="Times New Roman" w:eastAsia="Times New Roman" w:hAnsi="Times New Roman" w:cs="Times New Roman"/>
          <w:sz w:val="24"/>
          <w:szCs w:val="24"/>
        </w:rPr>
      </w:pPr>
      <w:commentRangeStart w:id="14"/>
      <w:r>
        <w:rPr>
          <w:rFonts w:ascii="Times New Roman" w:eastAsia="Times New Roman" w:hAnsi="Times New Roman" w:cs="Times New Roman"/>
          <w:noProof/>
          <w:sz w:val="24"/>
          <w:szCs w:val="24"/>
          <w:lang w:val="ru-RU"/>
        </w:rPr>
        <w:lastRenderedPageBreak/>
        <w:drawing>
          <wp:inline distT="0" distB="0" distL="0" distR="0" wp14:anchorId="1605D6B7" wp14:editId="2C043439">
            <wp:extent cx="5943600" cy="4457700"/>
            <wp:effectExtent l="0" t="0" r="0" b="0"/>
            <wp:docPr id="12" name="Рисунок 6" descr="Pm10_accumulation_per_tree_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m10_accumulation_per_tree_ran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commentRangeEnd w:id="14"/>
      <w:r w:rsidR="00A14704">
        <w:rPr>
          <w:rStyle w:val="a7"/>
        </w:rPr>
        <w:commentReference w:id="14"/>
      </w:r>
    </w:p>
    <w:p w14:paraId="3B4CF11F" w14:textId="4063E12B" w:rsidR="005A64CA" w:rsidRDefault="00207112"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1</w:t>
      </w:r>
      <w:r w:rsidR="002F32B4">
        <w:rPr>
          <w:rFonts w:ascii="Times New Roman" w:eastAsia="Times New Roman" w:hAnsi="Times New Roman" w:cs="Times New Roman"/>
          <w:sz w:val="24"/>
          <w:szCs w:val="24"/>
        </w:rPr>
        <w:t>1</w:t>
      </w:r>
      <w:r w:rsidR="005A64CA">
        <w:rPr>
          <w:rFonts w:ascii="Times New Roman" w:eastAsia="Times New Roman" w:hAnsi="Times New Roman" w:cs="Times New Roman"/>
          <w:sz w:val="24"/>
          <w:szCs w:val="24"/>
        </w:rPr>
        <w:t xml:space="preserve">.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2E086122" w14:textId="77777777" w:rsidR="00073E26" w:rsidRDefault="00073E26" w:rsidP="005A64CA">
      <w:pPr>
        <w:spacing w:after="0"/>
        <w:ind w:firstLine="720"/>
        <w:rPr>
          <w:rFonts w:ascii="Times New Roman" w:eastAsia="Times New Roman" w:hAnsi="Times New Roman" w:cs="Times New Roman"/>
          <w:sz w:val="24"/>
          <w:szCs w:val="24"/>
        </w:rPr>
      </w:pPr>
    </w:p>
    <w:p w14:paraId="11CB18D7" w14:textId="5724C812" w:rsidR="00972A3F" w:rsidRDefault="00015FD1" w:rsidP="009C3D46">
      <w:pPr>
        <w:pStyle w:val="a5"/>
        <w:numPr>
          <w:ilvl w:val="1"/>
          <w:numId w:val="8"/>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 Main Ecosystem Services, provided by i</w:t>
      </w:r>
      <w:r w:rsidR="005D30E5">
        <w:rPr>
          <w:rFonts w:ascii="Times New Roman" w:eastAsia="Times New Roman" w:hAnsi="Times New Roman" w:cs="Times New Roman"/>
          <w:bCs/>
          <w:color w:val="000000"/>
          <w:sz w:val="24"/>
          <w:szCs w:val="20"/>
        </w:rPr>
        <w:t>ndividual trees.</w:t>
      </w:r>
    </w:p>
    <w:p w14:paraId="067C363B" w14:textId="77BC9E9F" w:rsidR="002242E2" w:rsidRDefault="006F75E1" w:rsidP="005D30E5">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According </w:t>
      </w:r>
      <w:r w:rsidR="002242E2">
        <w:rPr>
          <w:rFonts w:ascii="Times New Roman" w:eastAsia="Times New Roman" w:hAnsi="Times New Roman" w:cs="Times New Roman"/>
          <w:bCs/>
          <w:color w:val="000000"/>
          <w:sz w:val="24"/>
          <w:szCs w:val="20"/>
        </w:rPr>
        <w:t xml:space="preserve">to </w:t>
      </w:r>
      <w:r>
        <w:rPr>
          <w:rFonts w:ascii="Times New Roman" w:eastAsia="Times New Roman" w:hAnsi="Times New Roman" w:cs="Times New Roman"/>
          <w:bCs/>
          <w:color w:val="000000"/>
          <w:sz w:val="24"/>
          <w:szCs w:val="20"/>
        </w:rPr>
        <w:t xml:space="preserve">our findings </w:t>
      </w:r>
      <w:r w:rsidR="002242E2">
        <w:rPr>
          <w:rFonts w:ascii="Times New Roman" w:eastAsia="Times New Roman" w:hAnsi="Times New Roman" w:cs="Times New Roman"/>
          <w:bCs/>
          <w:color w:val="000000"/>
          <w:sz w:val="24"/>
          <w:szCs w:val="20"/>
        </w:rPr>
        <w:t xml:space="preserve">the tree average was </w:t>
      </w:r>
      <w:r w:rsidR="00331846">
        <w:rPr>
          <w:rFonts w:ascii="Times New Roman" w:eastAsia="Times New Roman" w:hAnsi="Times New Roman" w:cs="Times New Roman"/>
          <w:bCs/>
          <w:color w:val="000000"/>
          <w:sz w:val="24"/>
          <w:szCs w:val="20"/>
          <w:highlight w:val="yellow"/>
        </w:rPr>
        <w:t>1</w:t>
      </w:r>
      <w:r w:rsidR="00331846" w:rsidRPr="00331846">
        <w:rPr>
          <w:rFonts w:ascii="Times New Roman" w:eastAsia="Times New Roman" w:hAnsi="Times New Roman" w:cs="Times New Roman"/>
          <w:bCs/>
          <w:color w:val="000000"/>
          <w:sz w:val="24"/>
          <w:szCs w:val="20"/>
          <w:highlight w:val="yellow"/>
        </w:rPr>
        <w:t>1</w:t>
      </w:r>
      <w:r w:rsidRPr="007E4F73">
        <w:rPr>
          <w:rFonts w:ascii="Times New Roman" w:eastAsia="Times New Roman" w:hAnsi="Times New Roman" w:cs="Times New Roman"/>
          <w:bCs/>
          <w:color w:val="000000"/>
          <w:sz w:val="24"/>
          <w:szCs w:val="20"/>
          <w:highlight w:val="yellow"/>
        </w:rPr>
        <w:t>.</w:t>
      </w:r>
      <w:r w:rsidR="00331846" w:rsidRPr="00331846">
        <w:rPr>
          <w:rFonts w:ascii="Times New Roman" w:eastAsia="Times New Roman" w:hAnsi="Times New Roman" w:cs="Times New Roman"/>
          <w:bCs/>
          <w:color w:val="000000"/>
          <w:sz w:val="24"/>
          <w:szCs w:val="20"/>
          <w:highlight w:val="yellow"/>
        </w:rPr>
        <w:t>7</w:t>
      </w:r>
      <w:r w:rsidRPr="007E4F73">
        <w:rPr>
          <w:rFonts w:ascii="Times New Roman" w:eastAsia="Times New Roman" w:hAnsi="Times New Roman" w:cs="Times New Roman"/>
          <w:bCs/>
          <w:color w:val="000000"/>
          <w:sz w:val="24"/>
          <w:szCs w:val="20"/>
          <w:highlight w:val="yellow"/>
        </w:rPr>
        <w:t xml:space="preserve"> </w:t>
      </w:r>
      <w:r w:rsidR="002242E2" w:rsidRPr="007E4F73">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rPr>
        <w:t> </w:t>
      </w:r>
      <w:r w:rsidR="00331846" w:rsidRPr="00331846">
        <w:rPr>
          <w:rFonts w:ascii="Times New Roman" w:eastAsia="Times New Roman" w:hAnsi="Times New Roman" w:cs="Times New Roman"/>
          <w:bCs/>
          <w:color w:val="000000"/>
          <w:sz w:val="24"/>
          <w:szCs w:val="20"/>
        </w:rPr>
        <w:t>6.8</w:t>
      </w:r>
      <w:r w:rsidR="002242E2">
        <w:rPr>
          <w:rFonts w:ascii="Times New Roman" w:eastAsia="Times New Roman" w:hAnsi="Times New Roman" w:cs="Times New Roman"/>
          <w:bCs/>
          <w:color w:val="000000"/>
          <w:sz w:val="24"/>
          <w:szCs w:val="20"/>
        </w:rPr>
        <w:t>)</w:t>
      </w:r>
      <w:r>
        <w:rPr>
          <w:rFonts w:ascii="Times New Roman" w:eastAsia="Times New Roman" w:hAnsi="Times New Roman" w:cs="Times New Roman"/>
          <w:bCs/>
          <w:color w:val="000000"/>
          <w:sz w:val="24"/>
          <w:szCs w:val="20"/>
        </w:rPr>
        <w:t xml:space="preserve"> </w:t>
      </w:r>
      <w:r w:rsidR="00331846" w:rsidRPr="007E4F73">
        <w:rPr>
          <w:rFonts w:ascii="Times New Roman" w:eastAsia="Times New Roman" w:hAnsi="Times New Roman" w:cs="Times New Roman"/>
          <w:bCs/>
          <w:color w:val="000000"/>
          <w:sz w:val="24"/>
          <w:szCs w:val="20"/>
          <w:highlight w:val="yellow"/>
        </w:rPr>
        <w:t xml:space="preserve">kg </w:t>
      </w:r>
      <w:r>
        <w:rPr>
          <w:rFonts w:ascii="Times New Roman" w:eastAsia="Times New Roman" w:hAnsi="Times New Roman" w:cs="Times New Roman"/>
          <w:bCs/>
          <w:color w:val="000000"/>
          <w:sz w:val="24"/>
          <w:szCs w:val="20"/>
        </w:rPr>
        <w:t>of Carbon stored</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160 (+</w:t>
      </w:r>
      <w:r w:rsidR="00331846" w:rsidRPr="00331846">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 </w:t>
      </w:r>
      <w:r w:rsidR="00331846" w:rsidRPr="00331846">
        <w:rPr>
          <w:rFonts w:ascii="Times New Roman" w:eastAsia="Times New Roman" w:hAnsi="Times New Roman" w:cs="Times New Roman"/>
          <w:bCs/>
          <w:color w:val="000000"/>
          <w:sz w:val="24"/>
          <w:szCs w:val="20"/>
          <w:highlight w:val="yellow"/>
        </w:rPr>
        <w:t>82)</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m</w:t>
      </w:r>
      <w:r w:rsidRPr="005D30E5">
        <w:rPr>
          <w:rFonts w:ascii="Times New Roman" w:eastAsia="Times New Roman" w:hAnsi="Times New Roman" w:cs="Times New Roman"/>
          <w:bCs/>
          <w:color w:val="000000"/>
          <w:sz w:val="24"/>
          <w:szCs w:val="20"/>
          <w:highlight w:val="yellow"/>
        </w:rPr>
        <w:t xml:space="preserve">m </w:t>
      </w:r>
      <w:r>
        <w:rPr>
          <w:rFonts w:ascii="Times New Roman" w:eastAsia="Times New Roman" w:hAnsi="Times New Roman" w:cs="Times New Roman"/>
          <w:bCs/>
          <w:color w:val="000000"/>
          <w:sz w:val="24"/>
          <w:szCs w:val="20"/>
        </w:rPr>
        <w:t>of water transpired</w:t>
      </w:r>
      <w:r w:rsidRPr="005D30E5">
        <w:rPr>
          <w:rFonts w:ascii="Times New Roman" w:eastAsia="Times New Roman" w:hAnsi="Times New Roman" w:cs="Times New Roman"/>
          <w:bCs/>
          <w:color w:val="000000"/>
          <w:sz w:val="24"/>
          <w:szCs w:val="20"/>
          <w:highlight w:val="yellow"/>
        </w:rPr>
        <w:t xml:space="preserve">, </w:t>
      </w:r>
      <w:r w:rsidR="002F32B4">
        <w:rPr>
          <w:rFonts w:ascii="Times New Roman" w:eastAsia="Times New Roman" w:hAnsi="Times New Roman" w:cs="Times New Roman"/>
          <w:bCs/>
          <w:color w:val="000000"/>
          <w:sz w:val="24"/>
          <w:szCs w:val="20"/>
          <w:highlight w:val="yellow"/>
        </w:rPr>
        <w:t>1562</w:t>
      </w:r>
      <w:r w:rsidRPr="005D30E5">
        <w:rPr>
          <w:rFonts w:ascii="Times New Roman" w:eastAsia="Times New Roman" w:hAnsi="Times New Roman" w:cs="Times New Roman"/>
          <w:bCs/>
          <w:color w:val="000000"/>
          <w:sz w:val="24"/>
          <w:szCs w:val="20"/>
          <w:highlight w:val="yellow"/>
        </w:rPr>
        <w:t>.</w:t>
      </w:r>
      <w:r w:rsidR="002F32B4">
        <w:rPr>
          <w:rFonts w:ascii="Times New Roman" w:eastAsia="Times New Roman" w:hAnsi="Times New Roman" w:cs="Times New Roman"/>
          <w:bCs/>
          <w:color w:val="000000"/>
          <w:sz w:val="24"/>
          <w:szCs w:val="20"/>
          <w:highlight w:val="yellow"/>
        </w:rPr>
        <w:t>08</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 </w:t>
      </w:r>
      <w:r w:rsidR="002F32B4">
        <w:rPr>
          <w:rFonts w:ascii="Times New Roman" w:eastAsia="Times New Roman" w:hAnsi="Times New Roman" w:cs="Times New Roman"/>
          <w:bCs/>
          <w:color w:val="000000"/>
          <w:sz w:val="24"/>
          <w:szCs w:val="20"/>
          <w:highlight w:val="yellow"/>
        </w:rPr>
        <w:t>820</w:t>
      </w:r>
      <w:r w:rsidR="00331846">
        <w:rPr>
          <w:rFonts w:ascii="Times New Roman" w:eastAsia="Times New Roman" w:hAnsi="Times New Roman" w:cs="Times New Roman"/>
          <w:bCs/>
          <w:color w:val="000000"/>
          <w:sz w:val="24"/>
          <w:szCs w:val="20"/>
          <w:highlight w:val="yellow"/>
        </w:rPr>
        <w:t xml:space="preserve">.4) </w:t>
      </w:r>
      <w:r w:rsidRPr="005D30E5">
        <w:rPr>
          <w:rFonts w:ascii="Times New Roman" w:eastAsia="Times New Roman" w:hAnsi="Times New Roman" w:cs="Times New Roman"/>
          <w:bCs/>
          <w:color w:val="000000"/>
          <w:sz w:val="24"/>
          <w:szCs w:val="20"/>
          <w:highlight w:val="yellow"/>
        </w:rPr>
        <w:t xml:space="preserve">kWh </w:t>
      </w:r>
      <w:r>
        <w:rPr>
          <w:rFonts w:ascii="Times New Roman" w:eastAsia="Times New Roman" w:hAnsi="Times New Roman" w:cs="Times New Roman"/>
          <w:bCs/>
          <w:color w:val="000000"/>
          <w:sz w:val="24"/>
          <w:szCs w:val="20"/>
        </w:rPr>
        <w:t xml:space="preserve">spent for microclimate regulation and </w:t>
      </w:r>
      <w:r w:rsidR="00802884" w:rsidRPr="00802884">
        <w:rPr>
          <w:rFonts w:ascii="Times New Roman" w:eastAsia="Times New Roman" w:hAnsi="Times New Roman" w:cs="Times New Roman"/>
          <w:bCs/>
          <w:color w:val="000000"/>
          <w:sz w:val="24"/>
          <w:szCs w:val="20"/>
          <w:highlight w:val="yellow"/>
        </w:rPr>
        <w:t>5309</w:t>
      </w:r>
      <w:r w:rsidRPr="005D30E5">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27 (+- </w:t>
      </w:r>
      <w:r w:rsidR="00802884" w:rsidRPr="00802884">
        <w:rPr>
          <w:rFonts w:ascii="Times New Roman" w:eastAsia="Times New Roman" w:hAnsi="Times New Roman" w:cs="Times New Roman"/>
          <w:bCs/>
          <w:color w:val="000000"/>
          <w:sz w:val="24"/>
          <w:szCs w:val="20"/>
          <w:highlight w:val="yellow"/>
        </w:rPr>
        <w:t>3235.44)</w:t>
      </w:r>
      <w:r w:rsidRPr="005D30E5">
        <w:rPr>
          <w:rFonts w:ascii="Times New Roman" w:eastAsia="Times New Roman" w:hAnsi="Times New Roman" w:cs="Times New Roman"/>
          <w:bCs/>
          <w:color w:val="000000"/>
          <w:sz w:val="24"/>
          <w:szCs w:val="20"/>
          <w:highlight w:val="yellow"/>
        </w:rPr>
        <w:t xml:space="preserve"> g </w:t>
      </w:r>
      <w:r>
        <w:rPr>
          <w:rFonts w:ascii="Times New Roman" w:eastAsia="Times New Roman" w:hAnsi="Times New Roman" w:cs="Times New Roman"/>
          <w:bCs/>
          <w:color w:val="000000"/>
          <w:sz w:val="24"/>
          <w:szCs w:val="20"/>
        </w:rPr>
        <w:t xml:space="preserve">of PM10 adsorbed by average tree per </w:t>
      </w:r>
      <w:r w:rsidRPr="008659E7">
        <w:rPr>
          <w:rFonts w:ascii="Times New Roman" w:eastAsia="Times New Roman" w:hAnsi="Times New Roman" w:cs="Times New Roman"/>
          <w:bCs/>
          <w:color w:val="000000"/>
          <w:sz w:val="24"/>
          <w:szCs w:val="20"/>
        </w:rPr>
        <w:t>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r>
        <w:rPr>
          <w:rFonts w:ascii="Times New Roman" w:eastAsia="Times New Roman" w:hAnsi="Times New Roman" w:cs="Times New Roman"/>
          <w:bCs/>
          <w:color w:val="000000"/>
          <w:sz w:val="24"/>
          <w:szCs w:val="20"/>
        </w:rPr>
        <w:t xml:space="preserve">). </w:t>
      </w:r>
      <w:r w:rsidR="002242E2">
        <w:rPr>
          <w:rFonts w:ascii="Times New Roman" w:eastAsia="Times New Roman" w:hAnsi="Times New Roman" w:cs="Times New Roman"/>
          <w:bCs/>
          <w:color w:val="000000"/>
          <w:sz w:val="24"/>
          <w:szCs w:val="20"/>
        </w:rPr>
        <w:t>These results</w:t>
      </w:r>
      <w:r w:rsidR="005A64CA">
        <w:rPr>
          <w:rFonts w:ascii="Times New Roman" w:eastAsia="Times New Roman" w:hAnsi="Times New Roman" w:cs="Times New Roman"/>
          <w:bCs/>
          <w:color w:val="000000"/>
          <w:sz w:val="24"/>
          <w:szCs w:val="20"/>
        </w:rPr>
        <w:t xml:space="preserve"> </w:t>
      </w:r>
      <w:r w:rsidR="002242E2">
        <w:rPr>
          <w:rFonts w:ascii="Times New Roman" w:eastAsia="Times New Roman" w:hAnsi="Times New Roman" w:cs="Times New Roman"/>
          <w:bCs/>
          <w:color w:val="000000"/>
          <w:sz w:val="24"/>
          <w:szCs w:val="20"/>
        </w:rPr>
        <w:t xml:space="preserve">however </w:t>
      </w:r>
      <w:r w:rsidR="005A64CA">
        <w:rPr>
          <w:rFonts w:ascii="Times New Roman" w:eastAsia="Times New Roman" w:hAnsi="Times New Roman" w:cs="Times New Roman"/>
          <w:bCs/>
          <w:color w:val="000000"/>
          <w:sz w:val="24"/>
          <w:szCs w:val="20"/>
        </w:rPr>
        <w:t xml:space="preserve">show </w:t>
      </w:r>
      <w:r w:rsidR="002242E2">
        <w:rPr>
          <w:rFonts w:ascii="Times New Roman" w:eastAsia="Times New Roman" w:hAnsi="Times New Roman" w:cs="Times New Roman"/>
          <w:bCs/>
          <w:color w:val="000000"/>
          <w:sz w:val="24"/>
          <w:szCs w:val="20"/>
        </w:rPr>
        <w:t>a quite large variability at individual level</w:t>
      </w:r>
      <w:r w:rsidR="00EC7201">
        <w:rPr>
          <w:rFonts w:ascii="Times New Roman" w:eastAsia="Times New Roman" w:hAnsi="Times New Roman" w:cs="Times New Roman"/>
          <w:bCs/>
          <w:color w:val="000000"/>
          <w:sz w:val="24"/>
          <w:szCs w:val="20"/>
        </w:rPr>
        <w:t>, thus</w:t>
      </w:r>
      <w:r w:rsidR="00EC7201" w:rsidRPr="00EC7201">
        <w:rPr>
          <w:rFonts w:ascii="Times New Roman" w:eastAsia="Times New Roman" w:hAnsi="Times New Roman" w:cs="Times New Roman"/>
          <w:bCs/>
          <w:color w:val="000000"/>
          <w:sz w:val="24"/>
          <w:szCs w:val="20"/>
        </w:rPr>
        <w:t xml:space="preserve"> </w:t>
      </w:r>
      <w:r w:rsidR="00EC7201">
        <w:rPr>
          <w:rFonts w:ascii="Times New Roman" w:eastAsia="Times New Roman" w:hAnsi="Times New Roman" w:cs="Times New Roman"/>
          <w:bCs/>
          <w:color w:val="000000"/>
          <w:sz w:val="24"/>
          <w:szCs w:val="20"/>
        </w:rPr>
        <w:t>we present a summary of data per species and different ecosystem indicators</w:t>
      </w:r>
      <w:r w:rsidR="00EC7201" w:rsidRPr="00EC7201">
        <w:rPr>
          <w:rFonts w:ascii="Times New Roman" w:eastAsia="Times New Roman" w:hAnsi="Times New Roman" w:cs="Times New Roman"/>
          <w:bCs/>
          <w:color w:val="000000"/>
          <w:sz w:val="24"/>
          <w:szCs w:val="20"/>
        </w:rPr>
        <w:t xml:space="preserve"> </w:t>
      </w:r>
      <w:r w:rsidR="00EC7201">
        <w:rPr>
          <w:rFonts w:ascii="Times New Roman" w:eastAsia="Times New Roman" w:hAnsi="Times New Roman" w:cs="Times New Roman"/>
          <w:bCs/>
          <w:color w:val="000000"/>
          <w:sz w:val="24"/>
          <w:szCs w:val="20"/>
        </w:rPr>
        <w:t>in table 4.</w:t>
      </w:r>
    </w:p>
    <w:p w14:paraId="663F8A53" w14:textId="1CE8BFFD" w:rsidR="00D01F0A" w:rsidRPr="004F37A9" w:rsidRDefault="00E0539B" w:rsidP="00D01F0A">
      <w:pPr>
        <w:jc w:val="right"/>
        <w:rPr>
          <w:rFonts w:ascii="Times New Roman" w:eastAsia="Times New Roman" w:hAnsi="Times New Roman" w:cs="Times New Roman"/>
          <w:noProof/>
          <w:sz w:val="24"/>
          <w:szCs w:val="24"/>
        </w:rPr>
      </w:pPr>
      <w:r w:rsidRPr="00BF4985">
        <w:rPr>
          <w:rFonts w:ascii="Times New Roman" w:eastAsia="Times New Roman" w:hAnsi="Times New Roman" w:cs="Times New Roman"/>
          <w:bCs/>
          <w:color w:val="000000"/>
          <w:sz w:val="24"/>
          <w:szCs w:val="20"/>
        </w:rPr>
        <w:t xml:space="preserve">Table 4. </w:t>
      </w:r>
      <w:r w:rsidR="00D01F0A" w:rsidRPr="004F37A9">
        <w:rPr>
          <w:rFonts w:ascii="Times New Roman" w:eastAsia="Times New Roman" w:hAnsi="Times New Roman" w:cs="Times New Roman"/>
          <w:bCs/>
          <w:color w:val="000000"/>
          <w:sz w:val="24"/>
          <w:szCs w:val="24"/>
        </w:rPr>
        <w:t xml:space="preserve">Summative of ecosystem services produced by each tree </w:t>
      </w:r>
      <w:r w:rsidR="00D01F0A">
        <w:rPr>
          <w:rFonts w:ascii="Times New Roman" w:eastAsia="Times New Roman" w:hAnsi="Times New Roman" w:cs="Times New Roman"/>
          <w:bCs/>
          <w:color w:val="000000"/>
          <w:sz w:val="24"/>
          <w:szCs w:val="24"/>
        </w:rPr>
        <w:t xml:space="preserve">along with their characteristics </w:t>
      </w:r>
      <w:r w:rsidR="00D01F0A" w:rsidRPr="004F37A9">
        <w:rPr>
          <w:rFonts w:ascii="Times New Roman" w:eastAsia="Times New Roman" w:hAnsi="Times New Roman" w:cs="Times New Roman"/>
          <w:bCs/>
          <w:color w:val="000000"/>
          <w:sz w:val="24"/>
          <w:szCs w:val="24"/>
        </w:rPr>
        <w:t>per investigated period (July-November,</w:t>
      </w:r>
      <w:r w:rsidR="00D01F0A">
        <w:rPr>
          <w:rFonts w:ascii="Times New Roman" w:eastAsia="Times New Roman" w:hAnsi="Times New Roman" w:cs="Times New Roman"/>
          <w:bCs/>
          <w:color w:val="000000"/>
          <w:sz w:val="24"/>
          <w:szCs w:val="24"/>
        </w:rPr>
        <w:t xml:space="preserve"> </w:t>
      </w:r>
      <w:r w:rsidR="00D01F0A" w:rsidRPr="004F37A9">
        <w:rPr>
          <w:rFonts w:ascii="Times New Roman" w:eastAsia="Times New Roman" w:hAnsi="Times New Roman" w:cs="Times New Roman"/>
          <w:bCs/>
          <w:color w:val="000000"/>
          <w:sz w:val="24"/>
          <w:szCs w:val="24"/>
        </w:rPr>
        <w:t>2019)</w:t>
      </w:r>
    </w:p>
    <w:tbl>
      <w:tblPr>
        <w:tblW w:w="51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1"/>
        <w:gridCol w:w="486"/>
        <w:gridCol w:w="569"/>
        <w:gridCol w:w="531"/>
        <w:gridCol w:w="705"/>
        <w:gridCol w:w="728"/>
        <w:gridCol w:w="794"/>
        <w:gridCol w:w="647"/>
        <w:gridCol w:w="461"/>
        <w:gridCol w:w="415"/>
        <w:gridCol w:w="554"/>
        <w:gridCol w:w="401"/>
        <w:gridCol w:w="494"/>
        <w:gridCol w:w="554"/>
        <w:gridCol w:w="558"/>
        <w:gridCol w:w="568"/>
        <w:gridCol w:w="339"/>
        <w:gridCol w:w="10"/>
      </w:tblGrid>
      <w:tr w:rsidR="00D01F0A" w:rsidRPr="00582C89" w14:paraId="09EDDC5D" w14:textId="77777777" w:rsidTr="00F428DA">
        <w:trPr>
          <w:gridAfter w:val="1"/>
          <w:wAfter w:w="5" w:type="pct"/>
          <w:trHeight w:val="572"/>
        </w:trPr>
        <w:tc>
          <w:tcPr>
            <w:tcW w:w="450" w:type="pct"/>
            <w:vMerge w:val="restart"/>
            <w:shd w:val="clear" w:color="000000" w:fill="FFFFFF"/>
            <w:textDirection w:val="btLr"/>
            <w:vAlign w:val="center"/>
            <w:hideMark/>
          </w:tcPr>
          <w:p w14:paraId="2EAA846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rPr>
              <w:t># TT +</w:t>
            </w:r>
          </w:p>
        </w:tc>
        <w:tc>
          <w:tcPr>
            <w:tcW w:w="251" w:type="pct"/>
            <w:vMerge w:val="restart"/>
            <w:shd w:val="clear" w:color="000000" w:fill="FFFFFF"/>
            <w:textDirection w:val="btLr"/>
            <w:vAlign w:val="center"/>
            <w:hideMark/>
          </w:tcPr>
          <w:p w14:paraId="5EA6D6C9"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lang w:val="ru-RU"/>
              </w:rPr>
              <w:t>Carbon stored, kg</w:t>
            </w:r>
          </w:p>
        </w:tc>
        <w:tc>
          <w:tcPr>
            <w:tcW w:w="294" w:type="pct"/>
            <w:vMerge w:val="restart"/>
            <w:shd w:val="clear" w:color="000000" w:fill="FFFFFF"/>
            <w:textDirection w:val="btLr"/>
            <w:vAlign w:val="center"/>
            <w:hideMark/>
          </w:tcPr>
          <w:p w14:paraId="418AB5A9"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lang w:val="ru-RU"/>
              </w:rPr>
              <w:t>Transpiration, mm</w:t>
            </w:r>
          </w:p>
        </w:tc>
        <w:tc>
          <w:tcPr>
            <w:tcW w:w="274" w:type="pct"/>
            <w:vMerge w:val="restart"/>
            <w:shd w:val="clear" w:color="000000" w:fill="FFFFFF"/>
            <w:textDirection w:val="btLr"/>
            <w:vAlign w:val="center"/>
          </w:tcPr>
          <w:p w14:paraId="0167E9A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rPr>
              <w:t>Ratio of precipitation evaporated, mm</w:t>
            </w:r>
          </w:p>
        </w:tc>
        <w:tc>
          <w:tcPr>
            <w:tcW w:w="364" w:type="pct"/>
            <w:vMerge w:val="restart"/>
            <w:shd w:val="clear" w:color="000000" w:fill="FFFFFF"/>
            <w:textDirection w:val="btLr"/>
            <w:vAlign w:val="center"/>
          </w:tcPr>
          <w:p w14:paraId="0A7BED5C"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524102">
              <w:rPr>
                <w:rFonts w:ascii="Times New Roman" w:eastAsia="Times New Roman" w:hAnsi="Times New Roman" w:cs="Times New Roman"/>
                <w:b/>
                <w:bCs/>
                <w:color w:val="000000"/>
                <w:sz w:val="20"/>
                <w:szCs w:val="16"/>
                <w:highlight w:val="yellow"/>
              </w:rPr>
              <w:t>Energy absorbed, kWh</w:t>
            </w:r>
            <w:r w:rsidRPr="004F37A9">
              <w:rPr>
                <w:rFonts w:ascii="Times New Roman" w:eastAsia="Times New Roman" w:hAnsi="Times New Roman" w:cs="Times New Roman"/>
                <w:b/>
                <w:bCs/>
                <w:color w:val="000000"/>
                <w:sz w:val="20"/>
                <w:szCs w:val="16"/>
              </w:rPr>
              <w:t xml:space="preserve"> </w:t>
            </w:r>
          </w:p>
        </w:tc>
        <w:tc>
          <w:tcPr>
            <w:tcW w:w="1120" w:type="pct"/>
            <w:gridSpan w:val="3"/>
            <w:shd w:val="clear" w:color="000000" w:fill="FFFFFF"/>
            <w:vAlign w:val="center"/>
          </w:tcPr>
          <w:p w14:paraId="4F4DAAA7" w14:textId="77777777" w:rsidR="00D01F0A" w:rsidRPr="004F37A9" w:rsidRDefault="00D01F0A" w:rsidP="00F428DA">
            <w:pPr>
              <w:spacing w:after="0" w:line="240" w:lineRule="auto"/>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PM10 particles absorbed, g </w:t>
            </w:r>
          </w:p>
        </w:tc>
        <w:tc>
          <w:tcPr>
            <w:tcW w:w="2242" w:type="pct"/>
            <w:gridSpan w:val="9"/>
            <w:shd w:val="clear" w:color="000000" w:fill="FFFFFF"/>
            <w:vAlign w:val="center"/>
          </w:tcPr>
          <w:p w14:paraId="7198B1E7" w14:textId="77777777" w:rsidR="00D01F0A" w:rsidRPr="004F37A9" w:rsidRDefault="00D01F0A" w:rsidP="00F428DA">
            <w:pPr>
              <w:spacing w:after="0" w:line="240" w:lineRule="auto"/>
              <w:jc w:val="center"/>
              <w:rPr>
                <w:rFonts w:ascii="Times New Roman" w:eastAsia="Times New Roman" w:hAnsi="Times New Roman" w:cs="Times New Roman"/>
                <w:b/>
                <w:color w:val="000000"/>
                <w:sz w:val="20"/>
                <w:szCs w:val="16"/>
              </w:rPr>
            </w:pPr>
            <w:r w:rsidRPr="004F37A9">
              <w:rPr>
                <w:rFonts w:ascii="Times New Roman" w:eastAsia="Times New Roman" w:hAnsi="Times New Roman" w:cs="Times New Roman"/>
                <w:b/>
                <w:color w:val="000000"/>
                <w:sz w:val="20"/>
                <w:szCs w:val="16"/>
              </w:rPr>
              <w:t>Tree characteristics</w:t>
            </w:r>
          </w:p>
        </w:tc>
      </w:tr>
      <w:tr w:rsidR="00D01F0A" w:rsidRPr="00582C89" w14:paraId="421B5CAF" w14:textId="77777777" w:rsidTr="00F428DA">
        <w:trPr>
          <w:gridAfter w:val="1"/>
          <w:wAfter w:w="5" w:type="pct"/>
          <w:cantSplit/>
          <w:trHeight w:val="1890"/>
        </w:trPr>
        <w:tc>
          <w:tcPr>
            <w:tcW w:w="450" w:type="pct"/>
            <w:vMerge/>
            <w:shd w:val="clear" w:color="000000" w:fill="FFFFFF"/>
            <w:textDirection w:val="btLr"/>
            <w:vAlign w:val="center"/>
            <w:hideMark/>
          </w:tcPr>
          <w:p w14:paraId="052B8F6A"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251" w:type="pct"/>
            <w:vMerge/>
            <w:shd w:val="clear" w:color="000000" w:fill="FFFFFF"/>
            <w:textDirection w:val="btLr"/>
            <w:vAlign w:val="center"/>
            <w:hideMark/>
          </w:tcPr>
          <w:p w14:paraId="73298EC0"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294" w:type="pct"/>
            <w:vMerge/>
            <w:shd w:val="clear" w:color="000000" w:fill="FFFFFF"/>
            <w:textDirection w:val="btLr"/>
            <w:vAlign w:val="center"/>
            <w:hideMark/>
          </w:tcPr>
          <w:p w14:paraId="1C565343"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274" w:type="pct"/>
            <w:vMerge/>
            <w:shd w:val="clear" w:color="000000" w:fill="FFFFFF"/>
            <w:textDirection w:val="btLr"/>
            <w:vAlign w:val="center"/>
            <w:hideMark/>
          </w:tcPr>
          <w:p w14:paraId="36C50064"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p>
        </w:tc>
        <w:tc>
          <w:tcPr>
            <w:tcW w:w="364" w:type="pct"/>
            <w:vMerge/>
            <w:shd w:val="clear" w:color="000000" w:fill="FFFFFF"/>
            <w:textDirection w:val="btLr"/>
            <w:vAlign w:val="center"/>
            <w:hideMark/>
          </w:tcPr>
          <w:p w14:paraId="3EACC802"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376" w:type="pct"/>
            <w:shd w:val="clear" w:color="000000" w:fill="FFFFFF"/>
            <w:textDirection w:val="btLr"/>
            <w:vAlign w:val="center"/>
            <w:hideMark/>
          </w:tcPr>
          <w:p w14:paraId="0581B9BD"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PM</w:t>
            </w:r>
            <w:r w:rsidRPr="004F37A9">
              <w:rPr>
                <w:rFonts w:ascii="Times New Roman" w:eastAsia="Times New Roman" w:hAnsi="Times New Roman" w:cs="Times New Roman"/>
                <w:b/>
                <w:bCs/>
                <w:color w:val="000000"/>
                <w:sz w:val="20"/>
                <w:szCs w:val="16"/>
                <w:vertAlign w:val="subscript"/>
                <w:lang w:val="ru-RU"/>
              </w:rPr>
              <w:t>10max</w:t>
            </w:r>
          </w:p>
        </w:tc>
        <w:tc>
          <w:tcPr>
            <w:tcW w:w="410" w:type="pct"/>
            <w:shd w:val="clear" w:color="000000" w:fill="FFFFFF"/>
            <w:textDirection w:val="btLr"/>
            <w:vAlign w:val="center"/>
            <w:hideMark/>
          </w:tcPr>
          <w:p w14:paraId="5CBF464C"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PM</w:t>
            </w:r>
            <w:r w:rsidRPr="004F37A9">
              <w:rPr>
                <w:rFonts w:ascii="Times New Roman" w:eastAsia="Times New Roman" w:hAnsi="Times New Roman" w:cs="Times New Roman"/>
                <w:b/>
                <w:bCs/>
                <w:color w:val="000000"/>
                <w:sz w:val="20"/>
                <w:szCs w:val="16"/>
                <w:vertAlign w:val="subscript"/>
                <w:lang w:val="ru-RU"/>
              </w:rPr>
              <w:t>10avg</w:t>
            </w:r>
          </w:p>
        </w:tc>
        <w:tc>
          <w:tcPr>
            <w:tcW w:w="334" w:type="pct"/>
            <w:shd w:val="clear" w:color="000000" w:fill="FFFFFF"/>
            <w:textDirection w:val="btLr"/>
            <w:vAlign w:val="center"/>
            <w:hideMark/>
          </w:tcPr>
          <w:p w14:paraId="30F8CC1E"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PM</w:t>
            </w:r>
            <w:r w:rsidRPr="004F37A9">
              <w:rPr>
                <w:rFonts w:ascii="Times New Roman" w:eastAsia="Times New Roman" w:hAnsi="Times New Roman" w:cs="Times New Roman"/>
                <w:b/>
                <w:bCs/>
                <w:color w:val="000000"/>
                <w:sz w:val="20"/>
                <w:szCs w:val="16"/>
                <w:vertAlign w:val="subscript"/>
                <w:lang w:val="ru-RU"/>
              </w:rPr>
              <w:t>10min</w:t>
            </w:r>
          </w:p>
        </w:tc>
        <w:tc>
          <w:tcPr>
            <w:tcW w:w="238" w:type="pct"/>
            <w:shd w:val="clear" w:color="000000" w:fill="FFFFFF"/>
            <w:textDirection w:val="btLr"/>
            <w:vAlign w:val="center"/>
            <w:hideMark/>
          </w:tcPr>
          <w:p w14:paraId="53BB7410"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PAI, m</w:t>
            </w:r>
            <w:r w:rsidRPr="004F37A9">
              <w:rPr>
                <w:rFonts w:ascii="Times New Roman" w:eastAsia="Times New Roman" w:hAnsi="Times New Roman" w:cs="Times New Roman"/>
                <w:b/>
                <w:bCs/>
                <w:color w:val="000000"/>
                <w:sz w:val="20"/>
                <w:szCs w:val="16"/>
                <w:vertAlign w:val="superscript"/>
                <w:lang w:val="ru-RU"/>
              </w:rPr>
              <w:t>2</w:t>
            </w:r>
            <w:r w:rsidRPr="004F37A9">
              <w:rPr>
                <w:rFonts w:ascii="Times New Roman" w:eastAsia="Times New Roman" w:hAnsi="Times New Roman" w:cs="Times New Roman"/>
                <w:b/>
                <w:bCs/>
                <w:color w:val="000000"/>
                <w:sz w:val="20"/>
                <w:szCs w:val="16"/>
                <w:lang w:val="ru-RU"/>
              </w:rPr>
              <w:t>m</w:t>
            </w:r>
            <w:r w:rsidRPr="004F37A9">
              <w:rPr>
                <w:rFonts w:ascii="Times New Roman" w:eastAsia="Times New Roman" w:hAnsi="Times New Roman" w:cs="Times New Roman"/>
                <w:b/>
                <w:bCs/>
                <w:color w:val="000000"/>
                <w:sz w:val="20"/>
                <w:szCs w:val="16"/>
                <w:vertAlign w:val="superscript"/>
                <w:lang w:val="ru-RU"/>
              </w:rPr>
              <w:t>-2</w:t>
            </w:r>
          </w:p>
        </w:tc>
        <w:tc>
          <w:tcPr>
            <w:tcW w:w="214" w:type="pct"/>
            <w:shd w:val="clear" w:color="000000" w:fill="FFFFFF"/>
            <w:textDirection w:val="btLr"/>
            <w:vAlign w:val="center"/>
            <w:hideMark/>
          </w:tcPr>
          <w:p w14:paraId="5960697F"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WAI, m</w:t>
            </w:r>
            <w:r w:rsidRPr="004F37A9">
              <w:rPr>
                <w:rFonts w:ascii="Times New Roman" w:eastAsia="Times New Roman" w:hAnsi="Times New Roman" w:cs="Times New Roman"/>
                <w:b/>
                <w:bCs/>
                <w:color w:val="000000"/>
                <w:sz w:val="20"/>
                <w:szCs w:val="16"/>
                <w:vertAlign w:val="superscript"/>
                <w:lang w:val="ru-RU"/>
              </w:rPr>
              <w:t>2</w:t>
            </w:r>
            <w:r w:rsidRPr="004F37A9">
              <w:rPr>
                <w:rFonts w:ascii="Times New Roman" w:eastAsia="Times New Roman" w:hAnsi="Times New Roman" w:cs="Times New Roman"/>
                <w:b/>
                <w:bCs/>
                <w:color w:val="000000"/>
                <w:sz w:val="20"/>
                <w:szCs w:val="16"/>
                <w:lang w:val="ru-RU"/>
              </w:rPr>
              <w:t>m</w:t>
            </w:r>
            <w:r w:rsidRPr="004F37A9">
              <w:rPr>
                <w:rFonts w:ascii="Times New Roman" w:eastAsia="Times New Roman" w:hAnsi="Times New Roman" w:cs="Times New Roman"/>
                <w:b/>
                <w:bCs/>
                <w:color w:val="000000"/>
                <w:sz w:val="20"/>
                <w:szCs w:val="16"/>
                <w:vertAlign w:val="superscript"/>
                <w:lang w:val="ru-RU"/>
              </w:rPr>
              <w:t>-2</w:t>
            </w:r>
          </w:p>
        </w:tc>
        <w:tc>
          <w:tcPr>
            <w:tcW w:w="286" w:type="pct"/>
            <w:shd w:val="clear" w:color="000000" w:fill="FFFFFF"/>
            <w:textDirection w:val="btLr"/>
            <w:vAlign w:val="bottom"/>
            <w:hideMark/>
          </w:tcPr>
          <w:p w14:paraId="62BC0540"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rPr>
              <w:t>L</w:t>
            </w:r>
            <w:r w:rsidRPr="004F37A9">
              <w:rPr>
                <w:rFonts w:ascii="Times New Roman" w:eastAsia="Times New Roman" w:hAnsi="Times New Roman" w:cs="Times New Roman"/>
                <w:b/>
                <w:bCs/>
                <w:color w:val="000000"/>
                <w:sz w:val="20"/>
                <w:szCs w:val="16"/>
                <w:lang w:val="ru-RU"/>
              </w:rPr>
              <w:t>AI, m</w:t>
            </w:r>
            <w:r w:rsidRPr="004F37A9">
              <w:rPr>
                <w:rFonts w:ascii="Times New Roman" w:eastAsia="Times New Roman" w:hAnsi="Times New Roman" w:cs="Times New Roman"/>
                <w:b/>
                <w:bCs/>
                <w:color w:val="000000"/>
                <w:sz w:val="20"/>
                <w:szCs w:val="16"/>
                <w:vertAlign w:val="superscript"/>
                <w:lang w:val="ru-RU"/>
              </w:rPr>
              <w:t>2</w:t>
            </w:r>
            <w:r w:rsidRPr="004F37A9">
              <w:rPr>
                <w:rFonts w:ascii="Times New Roman" w:eastAsia="Times New Roman" w:hAnsi="Times New Roman" w:cs="Times New Roman"/>
                <w:b/>
                <w:bCs/>
                <w:color w:val="000000"/>
                <w:sz w:val="20"/>
                <w:szCs w:val="16"/>
                <w:lang w:val="ru-RU"/>
              </w:rPr>
              <w:t>m</w:t>
            </w:r>
            <w:r w:rsidRPr="004F37A9">
              <w:rPr>
                <w:rFonts w:ascii="Times New Roman" w:eastAsia="Times New Roman" w:hAnsi="Times New Roman" w:cs="Times New Roman"/>
                <w:b/>
                <w:bCs/>
                <w:color w:val="000000"/>
                <w:sz w:val="20"/>
                <w:szCs w:val="16"/>
                <w:vertAlign w:val="superscript"/>
                <w:lang w:val="ru-RU"/>
              </w:rPr>
              <w:t>-2</w:t>
            </w:r>
          </w:p>
        </w:tc>
        <w:tc>
          <w:tcPr>
            <w:tcW w:w="207" w:type="pct"/>
            <w:shd w:val="clear" w:color="000000" w:fill="FFFFFF"/>
            <w:textDirection w:val="btLr"/>
            <w:vAlign w:val="center"/>
            <w:hideMark/>
          </w:tcPr>
          <w:p w14:paraId="62225977"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rPr>
              <w:t>Age</w:t>
            </w:r>
          </w:p>
        </w:tc>
        <w:tc>
          <w:tcPr>
            <w:tcW w:w="255" w:type="pct"/>
            <w:shd w:val="clear" w:color="000000" w:fill="FFFFFF"/>
            <w:textDirection w:val="btLr"/>
            <w:vAlign w:val="center"/>
            <w:hideMark/>
          </w:tcPr>
          <w:p w14:paraId="5ACF15AD"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Tree height, m</w:t>
            </w:r>
          </w:p>
        </w:tc>
        <w:tc>
          <w:tcPr>
            <w:tcW w:w="286" w:type="pct"/>
            <w:shd w:val="clear" w:color="000000" w:fill="FFFFFF"/>
            <w:textDirection w:val="btLr"/>
            <w:vAlign w:val="center"/>
            <w:hideMark/>
          </w:tcPr>
          <w:p w14:paraId="557F79D1"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Trunk diameter,cm</w:t>
            </w:r>
          </w:p>
        </w:tc>
        <w:tc>
          <w:tcPr>
            <w:tcW w:w="288" w:type="pct"/>
            <w:shd w:val="clear" w:color="000000" w:fill="FFFFFF"/>
            <w:textDirection w:val="btLr"/>
            <w:vAlign w:val="center"/>
            <w:hideMark/>
          </w:tcPr>
          <w:p w14:paraId="16713D51"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 xml:space="preserve">Trunk </w:t>
            </w:r>
            <w:r w:rsidRPr="004F37A9">
              <w:rPr>
                <w:rFonts w:ascii="Times New Roman" w:eastAsia="Times New Roman" w:hAnsi="Times New Roman" w:cs="Times New Roman"/>
                <w:b/>
                <w:bCs/>
                <w:color w:val="000000"/>
                <w:sz w:val="20"/>
                <w:szCs w:val="16"/>
              </w:rPr>
              <w:t>increment</w:t>
            </w:r>
            <w:r w:rsidRPr="004F37A9">
              <w:rPr>
                <w:rFonts w:ascii="Times New Roman" w:eastAsia="Times New Roman" w:hAnsi="Times New Roman" w:cs="Times New Roman"/>
                <w:b/>
                <w:bCs/>
                <w:color w:val="000000"/>
                <w:sz w:val="20"/>
                <w:szCs w:val="16"/>
                <w:lang w:val="ru-RU"/>
              </w:rPr>
              <w:t>,</w:t>
            </w:r>
            <w:r w:rsidRPr="004F37A9">
              <w:rPr>
                <w:rFonts w:ascii="Times New Roman" w:eastAsia="Times New Roman" w:hAnsi="Times New Roman" w:cs="Times New Roman"/>
                <w:b/>
                <w:bCs/>
                <w:color w:val="000000"/>
                <w:sz w:val="20"/>
                <w:szCs w:val="16"/>
              </w:rPr>
              <w:t xml:space="preserve"> </w:t>
            </w:r>
            <w:r w:rsidRPr="004F37A9">
              <w:rPr>
                <w:rFonts w:ascii="Times New Roman" w:eastAsia="Times New Roman" w:hAnsi="Times New Roman" w:cs="Times New Roman"/>
                <w:b/>
                <w:bCs/>
                <w:color w:val="000000"/>
                <w:sz w:val="20"/>
                <w:szCs w:val="16"/>
                <w:lang w:val="ru-RU"/>
              </w:rPr>
              <w:t>mm</w:t>
            </w:r>
          </w:p>
        </w:tc>
        <w:tc>
          <w:tcPr>
            <w:tcW w:w="293" w:type="pct"/>
            <w:shd w:val="clear" w:color="000000" w:fill="FFFFFF"/>
            <w:textDirection w:val="btLr"/>
            <w:vAlign w:val="center"/>
            <w:hideMark/>
          </w:tcPr>
          <w:p w14:paraId="1149FF9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Canopy area, m</w:t>
            </w:r>
            <w:r w:rsidRPr="004F37A9">
              <w:rPr>
                <w:rFonts w:ascii="Times New Roman" w:eastAsia="Times New Roman" w:hAnsi="Times New Roman" w:cs="Times New Roman"/>
                <w:b/>
                <w:bCs/>
                <w:color w:val="000000"/>
                <w:sz w:val="20"/>
                <w:szCs w:val="16"/>
                <w:vertAlign w:val="superscript"/>
                <w:lang w:val="ru-RU"/>
              </w:rPr>
              <w:t>2</w:t>
            </w:r>
          </w:p>
        </w:tc>
        <w:tc>
          <w:tcPr>
            <w:tcW w:w="175" w:type="pct"/>
            <w:shd w:val="clear" w:color="000000" w:fill="FFFFFF"/>
            <w:textDirection w:val="btLr"/>
            <w:vAlign w:val="center"/>
            <w:hideMark/>
          </w:tcPr>
          <w:p w14:paraId="5EDF931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VTA</w:t>
            </w:r>
          </w:p>
        </w:tc>
      </w:tr>
      <w:tr w:rsidR="00D01F0A" w:rsidRPr="00582C89" w14:paraId="0190CDD1" w14:textId="77777777" w:rsidTr="00F428DA">
        <w:trPr>
          <w:trHeight w:val="300"/>
        </w:trPr>
        <w:tc>
          <w:tcPr>
            <w:tcW w:w="5000" w:type="pct"/>
            <w:gridSpan w:val="18"/>
            <w:shd w:val="clear" w:color="000000" w:fill="FFFFFF"/>
            <w:vAlign w:val="center"/>
            <w:hideMark/>
          </w:tcPr>
          <w:p w14:paraId="2EBF724D"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r w:rsidRPr="00524102">
              <w:rPr>
                <w:rFonts w:ascii="Times New Roman" w:eastAsia="Times New Roman" w:hAnsi="Times New Roman" w:cs="Times New Roman"/>
                <w:color w:val="000000"/>
                <w:sz w:val="24"/>
                <w:szCs w:val="16"/>
                <w:lang w:val="ru-RU"/>
              </w:rPr>
              <w:t>Acer platanoides</w:t>
            </w:r>
          </w:p>
        </w:tc>
      </w:tr>
      <w:tr w:rsidR="00F428DA" w:rsidRPr="00582C89" w14:paraId="5943C1B4" w14:textId="77777777" w:rsidTr="00F428DA">
        <w:trPr>
          <w:gridAfter w:val="1"/>
          <w:wAfter w:w="5" w:type="pct"/>
          <w:trHeight w:val="300"/>
        </w:trPr>
        <w:tc>
          <w:tcPr>
            <w:tcW w:w="450" w:type="pct"/>
            <w:shd w:val="clear" w:color="000000" w:fill="FFFFFF"/>
            <w:vAlign w:val="bottom"/>
            <w:hideMark/>
          </w:tcPr>
          <w:p w14:paraId="2B34763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218A0077</w:t>
            </w:r>
          </w:p>
        </w:tc>
        <w:tc>
          <w:tcPr>
            <w:tcW w:w="251" w:type="pct"/>
            <w:shd w:val="clear" w:color="000000" w:fill="FFFFFF"/>
            <w:vAlign w:val="bottom"/>
            <w:hideMark/>
          </w:tcPr>
          <w:p w14:paraId="16A8B53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17.5</w:t>
            </w:r>
          </w:p>
        </w:tc>
        <w:tc>
          <w:tcPr>
            <w:tcW w:w="294" w:type="pct"/>
            <w:shd w:val="clear" w:color="000000" w:fill="FFFFFF"/>
            <w:vAlign w:val="bottom"/>
            <w:hideMark/>
          </w:tcPr>
          <w:p w14:paraId="613BCC2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83.6</w:t>
            </w:r>
          </w:p>
        </w:tc>
        <w:tc>
          <w:tcPr>
            <w:tcW w:w="274" w:type="pct"/>
            <w:shd w:val="clear" w:color="000000" w:fill="FFFFFF"/>
            <w:noWrap/>
            <w:vAlign w:val="bottom"/>
            <w:hideMark/>
          </w:tcPr>
          <w:p w14:paraId="4E1441A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364" w:type="pct"/>
            <w:shd w:val="clear" w:color="000000" w:fill="FFFFFF"/>
          </w:tcPr>
          <w:p w14:paraId="7A27BCD1" w14:textId="51E9ABB2"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2454</w:t>
            </w:r>
          </w:p>
        </w:tc>
        <w:tc>
          <w:tcPr>
            <w:tcW w:w="376" w:type="pct"/>
            <w:shd w:val="clear" w:color="000000" w:fill="FFFFFF"/>
            <w:vAlign w:val="bottom"/>
            <w:hideMark/>
          </w:tcPr>
          <w:p w14:paraId="6183A89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17976.0</w:t>
            </w:r>
          </w:p>
        </w:tc>
        <w:tc>
          <w:tcPr>
            <w:tcW w:w="410" w:type="pct"/>
            <w:shd w:val="clear" w:color="000000" w:fill="FFFFFF"/>
            <w:vAlign w:val="bottom"/>
            <w:hideMark/>
          </w:tcPr>
          <w:p w14:paraId="12E897A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11504.6</w:t>
            </w:r>
          </w:p>
        </w:tc>
        <w:tc>
          <w:tcPr>
            <w:tcW w:w="334" w:type="pct"/>
            <w:shd w:val="clear" w:color="000000" w:fill="FFFFFF"/>
            <w:vAlign w:val="bottom"/>
            <w:hideMark/>
          </w:tcPr>
          <w:p w14:paraId="000DDA5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4494.0</w:t>
            </w:r>
          </w:p>
        </w:tc>
        <w:tc>
          <w:tcPr>
            <w:tcW w:w="238" w:type="pct"/>
            <w:shd w:val="clear" w:color="000000" w:fill="FFFFFF"/>
            <w:vAlign w:val="bottom"/>
            <w:hideMark/>
          </w:tcPr>
          <w:p w14:paraId="2E7E60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4.2</w:t>
            </w:r>
          </w:p>
        </w:tc>
        <w:tc>
          <w:tcPr>
            <w:tcW w:w="214" w:type="pct"/>
            <w:shd w:val="clear" w:color="000000" w:fill="FFFFFF"/>
            <w:vAlign w:val="bottom"/>
            <w:hideMark/>
          </w:tcPr>
          <w:p w14:paraId="4149C68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4651117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07" w:type="pct"/>
            <w:shd w:val="clear" w:color="000000" w:fill="FFFFFF"/>
            <w:noWrap/>
            <w:vAlign w:val="bottom"/>
            <w:hideMark/>
          </w:tcPr>
          <w:p w14:paraId="2F17CA7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3EBEEE9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20.0</w:t>
            </w:r>
          </w:p>
        </w:tc>
        <w:tc>
          <w:tcPr>
            <w:tcW w:w="286" w:type="pct"/>
            <w:shd w:val="clear" w:color="000000" w:fill="FFFFFF"/>
            <w:noWrap/>
            <w:vAlign w:val="bottom"/>
            <w:hideMark/>
          </w:tcPr>
          <w:p w14:paraId="3DD46CB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35.7</w:t>
            </w:r>
          </w:p>
        </w:tc>
        <w:tc>
          <w:tcPr>
            <w:tcW w:w="288" w:type="pct"/>
            <w:shd w:val="clear" w:color="auto" w:fill="auto"/>
            <w:noWrap/>
            <w:vAlign w:val="bottom"/>
            <w:hideMark/>
          </w:tcPr>
          <w:p w14:paraId="195AF84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93" w:type="pct"/>
            <w:shd w:val="clear" w:color="000000" w:fill="FFFFFF"/>
            <w:noWrap/>
            <w:vAlign w:val="bottom"/>
            <w:hideMark/>
          </w:tcPr>
          <w:p w14:paraId="51F483A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55.7</w:t>
            </w:r>
          </w:p>
        </w:tc>
        <w:tc>
          <w:tcPr>
            <w:tcW w:w="175" w:type="pct"/>
            <w:shd w:val="clear" w:color="000000" w:fill="FFFFFF"/>
            <w:noWrap/>
            <w:vAlign w:val="bottom"/>
            <w:hideMark/>
          </w:tcPr>
          <w:p w14:paraId="2C6C7EA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138E6E1B" w14:textId="77777777" w:rsidTr="00F428DA">
        <w:trPr>
          <w:gridAfter w:val="1"/>
          <w:wAfter w:w="5" w:type="pct"/>
          <w:trHeight w:val="300"/>
        </w:trPr>
        <w:tc>
          <w:tcPr>
            <w:tcW w:w="450" w:type="pct"/>
            <w:shd w:val="clear" w:color="000000" w:fill="FFFFFF"/>
            <w:vAlign w:val="bottom"/>
            <w:hideMark/>
          </w:tcPr>
          <w:p w14:paraId="176B0BF5"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218A0212</w:t>
            </w:r>
          </w:p>
        </w:tc>
        <w:tc>
          <w:tcPr>
            <w:tcW w:w="251" w:type="pct"/>
            <w:shd w:val="clear" w:color="000000" w:fill="FFFFFF"/>
            <w:vAlign w:val="bottom"/>
            <w:hideMark/>
          </w:tcPr>
          <w:p w14:paraId="00B6694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11.9</w:t>
            </w:r>
          </w:p>
        </w:tc>
        <w:tc>
          <w:tcPr>
            <w:tcW w:w="294" w:type="pct"/>
            <w:shd w:val="clear" w:color="000000" w:fill="FFFFFF"/>
            <w:vAlign w:val="bottom"/>
            <w:hideMark/>
          </w:tcPr>
          <w:p w14:paraId="70F0C5B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130.8</w:t>
            </w:r>
          </w:p>
        </w:tc>
        <w:tc>
          <w:tcPr>
            <w:tcW w:w="274" w:type="pct"/>
            <w:shd w:val="clear" w:color="000000" w:fill="FFFFFF"/>
            <w:noWrap/>
            <w:vAlign w:val="bottom"/>
            <w:hideMark/>
          </w:tcPr>
          <w:p w14:paraId="5FDEEFC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0.7</w:t>
            </w:r>
          </w:p>
        </w:tc>
        <w:tc>
          <w:tcPr>
            <w:tcW w:w="364" w:type="pct"/>
            <w:shd w:val="clear" w:color="000000" w:fill="FFFFFF"/>
          </w:tcPr>
          <w:p w14:paraId="06A17DF0" w14:textId="493C1E2F"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1615</w:t>
            </w:r>
          </w:p>
        </w:tc>
        <w:tc>
          <w:tcPr>
            <w:tcW w:w="376" w:type="pct"/>
            <w:shd w:val="clear" w:color="000000" w:fill="FFFFFF"/>
            <w:vAlign w:val="bottom"/>
            <w:hideMark/>
          </w:tcPr>
          <w:p w14:paraId="7C690F1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7250.4</w:t>
            </w:r>
          </w:p>
        </w:tc>
        <w:tc>
          <w:tcPr>
            <w:tcW w:w="410" w:type="pct"/>
            <w:shd w:val="clear" w:color="000000" w:fill="FFFFFF"/>
            <w:vAlign w:val="bottom"/>
            <w:hideMark/>
          </w:tcPr>
          <w:p w14:paraId="6574DA5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4640.3</w:t>
            </w:r>
          </w:p>
        </w:tc>
        <w:tc>
          <w:tcPr>
            <w:tcW w:w="334" w:type="pct"/>
            <w:shd w:val="clear" w:color="000000" w:fill="FFFFFF"/>
            <w:vAlign w:val="bottom"/>
            <w:hideMark/>
          </w:tcPr>
          <w:p w14:paraId="4EE8441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1812.6</w:t>
            </w:r>
          </w:p>
        </w:tc>
        <w:tc>
          <w:tcPr>
            <w:tcW w:w="238" w:type="pct"/>
            <w:shd w:val="clear" w:color="000000" w:fill="FFFFFF"/>
            <w:vAlign w:val="bottom"/>
            <w:hideMark/>
          </w:tcPr>
          <w:p w14:paraId="3F89316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14" w:type="pct"/>
            <w:shd w:val="clear" w:color="000000" w:fill="FFFFFF"/>
            <w:vAlign w:val="bottom"/>
            <w:hideMark/>
          </w:tcPr>
          <w:p w14:paraId="0D39DAD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7F8E604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w:t>
            </w:r>
          </w:p>
        </w:tc>
        <w:tc>
          <w:tcPr>
            <w:tcW w:w="207" w:type="pct"/>
            <w:shd w:val="clear" w:color="000000" w:fill="FFFFFF"/>
            <w:noWrap/>
            <w:vAlign w:val="bottom"/>
            <w:hideMark/>
          </w:tcPr>
          <w:p w14:paraId="141121C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704A4F0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15.2</w:t>
            </w:r>
          </w:p>
        </w:tc>
        <w:tc>
          <w:tcPr>
            <w:tcW w:w="286" w:type="pct"/>
            <w:shd w:val="clear" w:color="000000" w:fill="FFFFFF"/>
            <w:noWrap/>
            <w:vAlign w:val="bottom"/>
            <w:hideMark/>
          </w:tcPr>
          <w:p w14:paraId="6DC670B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33.7</w:t>
            </w:r>
          </w:p>
        </w:tc>
        <w:tc>
          <w:tcPr>
            <w:tcW w:w="288" w:type="pct"/>
            <w:shd w:val="clear" w:color="auto" w:fill="auto"/>
            <w:noWrap/>
            <w:vAlign w:val="bottom"/>
            <w:hideMark/>
          </w:tcPr>
          <w:p w14:paraId="70DE3C7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93" w:type="pct"/>
            <w:shd w:val="clear" w:color="000000" w:fill="FFFFFF"/>
            <w:noWrap/>
            <w:vAlign w:val="bottom"/>
            <w:hideMark/>
          </w:tcPr>
          <w:p w14:paraId="18C3BA4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27.6</w:t>
            </w:r>
          </w:p>
        </w:tc>
        <w:tc>
          <w:tcPr>
            <w:tcW w:w="175" w:type="pct"/>
            <w:shd w:val="clear" w:color="000000" w:fill="FFFFFF"/>
            <w:noWrap/>
            <w:vAlign w:val="bottom"/>
            <w:hideMark/>
          </w:tcPr>
          <w:p w14:paraId="27CD8C5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2641D67D" w14:textId="77777777" w:rsidTr="00F428DA">
        <w:trPr>
          <w:gridAfter w:val="1"/>
          <w:wAfter w:w="5" w:type="pct"/>
          <w:trHeight w:val="300"/>
        </w:trPr>
        <w:tc>
          <w:tcPr>
            <w:tcW w:w="450" w:type="pct"/>
            <w:shd w:val="clear" w:color="000000" w:fill="FFFFFF"/>
            <w:vAlign w:val="bottom"/>
            <w:hideMark/>
          </w:tcPr>
          <w:p w14:paraId="5A22BCA0"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218A0255</w:t>
            </w:r>
          </w:p>
        </w:tc>
        <w:tc>
          <w:tcPr>
            <w:tcW w:w="251" w:type="pct"/>
            <w:shd w:val="clear" w:color="000000" w:fill="FFFFFF"/>
            <w:vAlign w:val="bottom"/>
            <w:hideMark/>
          </w:tcPr>
          <w:p w14:paraId="01AB36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16.9</w:t>
            </w:r>
          </w:p>
        </w:tc>
        <w:tc>
          <w:tcPr>
            <w:tcW w:w="294" w:type="pct"/>
            <w:shd w:val="clear" w:color="000000" w:fill="FFFFFF"/>
            <w:vAlign w:val="bottom"/>
            <w:hideMark/>
          </w:tcPr>
          <w:p w14:paraId="2057517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92.1</w:t>
            </w:r>
          </w:p>
        </w:tc>
        <w:tc>
          <w:tcPr>
            <w:tcW w:w="274" w:type="pct"/>
            <w:shd w:val="clear" w:color="000000" w:fill="FFFFFF"/>
            <w:noWrap/>
            <w:vAlign w:val="bottom"/>
            <w:hideMark/>
          </w:tcPr>
          <w:p w14:paraId="50DD81E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364" w:type="pct"/>
            <w:shd w:val="clear" w:color="000000" w:fill="FFFFFF"/>
          </w:tcPr>
          <w:p w14:paraId="5CCD3775" w14:textId="51BB6A60"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2506</w:t>
            </w:r>
          </w:p>
        </w:tc>
        <w:tc>
          <w:tcPr>
            <w:tcW w:w="376" w:type="pct"/>
            <w:shd w:val="clear" w:color="000000" w:fill="FFFFFF"/>
            <w:vAlign w:val="bottom"/>
            <w:hideMark/>
          </w:tcPr>
          <w:p w14:paraId="47D57AB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15064.7</w:t>
            </w:r>
          </w:p>
        </w:tc>
        <w:tc>
          <w:tcPr>
            <w:tcW w:w="410" w:type="pct"/>
            <w:shd w:val="clear" w:color="000000" w:fill="FFFFFF"/>
            <w:vAlign w:val="bottom"/>
            <w:hideMark/>
          </w:tcPr>
          <w:p w14:paraId="63D197F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9641.4</w:t>
            </w:r>
          </w:p>
        </w:tc>
        <w:tc>
          <w:tcPr>
            <w:tcW w:w="334" w:type="pct"/>
            <w:shd w:val="clear" w:color="000000" w:fill="FFFFFF"/>
            <w:vAlign w:val="bottom"/>
            <w:hideMark/>
          </w:tcPr>
          <w:p w14:paraId="7ABEF41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3766.2</w:t>
            </w:r>
          </w:p>
        </w:tc>
        <w:tc>
          <w:tcPr>
            <w:tcW w:w="238" w:type="pct"/>
            <w:shd w:val="clear" w:color="000000" w:fill="FFFFFF"/>
            <w:vAlign w:val="bottom"/>
            <w:hideMark/>
          </w:tcPr>
          <w:p w14:paraId="0AA79DC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w:t>
            </w:r>
          </w:p>
        </w:tc>
        <w:tc>
          <w:tcPr>
            <w:tcW w:w="214" w:type="pct"/>
            <w:shd w:val="clear" w:color="000000" w:fill="FFFFFF"/>
            <w:vAlign w:val="bottom"/>
            <w:hideMark/>
          </w:tcPr>
          <w:p w14:paraId="5B5DB43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34D672C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w:t>
            </w:r>
          </w:p>
        </w:tc>
        <w:tc>
          <w:tcPr>
            <w:tcW w:w="207" w:type="pct"/>
            <w:shd w:val="clear" w:color="000000" w:fill="FFFFFF"/>
            <w:noWrap/>
            <w:vAlign w:val="bottom"/>
            <w:hideMark/>
          </w:tcPr>
          <w:p w14:paraId="21FEE263"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4A3FC77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20.8</w:t>
            </w:r>
          </w:p>
        </w:tc>
        <w:tc>
          <w:tcPr>
            <w:tcW w:w="286" w:type="pct"/>
            <w:shd w:val="clear" w:color="000000" w:fill="FFFFFF"/>
            <w:noWrap/>
            <w:vAlign w:val="bottom"/>
            <w:hideMark/>
          </w:tcPr>
          <w:p w14:paraId="0BD4998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34.4</w:t>
            </w:r>
          </w:p>
        </w:tc>
        <w:tc>
          <w:tcPr>
            <w:tcW w:w="288" w:type="pct"/>
            <w:shd w:val="clear" w:color="auto" w:fill="auto"/>
            <w:noWrap/>
            <w:vAlign w:val="bottom"/>
            <w:hideMark/>
          </w:tcPr>
          <w:p w14:paraId="761243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93" w:type="pct"/>
            <w:shd w:val="clear" w:color="000000" w:fill="FFFFFF"/>
            <w:noWrap/>
            <w:vAlign w:val="bottom"/>
            <w:hideMark/>
          </w:tcPr>
          <w:p w14:paraId="35A1665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55.3</w:t>
            </w:r>
          </w:p>
        </w:tc>
        <w:tc>
          <w:tcPr>
            <w:tcW w:w="175" w:type="pct"/>
            <w:shd w:val="clear" w:color="000000" w:fill="FFFFFF"/>
            <w:noWrap/>
            <w:vAlign w:val="bottom"/>
            <w:hideMark/>
          </w:tcPr>
          <w:p w14:paraId="0BDFDD8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7B1C7971" w14:textId="77777777" w:rsidTr="00F428DA">
        <w:trPr>
          <w:gridAfter w:val="1"/>
          <w:wAfter w:w="5" w:type="pct"/>
          <w:trHeight w:val="300"/>
        </w:trPr>
        <w:tc>
          <w:tcPr>
            <w:tcW w:w="450" w:type="pct"/>
            <w:shd w:val="clear" w:color="000000" w:fill="FFFFFF"/>
            <w:vAlign w:val="bottom"/>
            <w:hideMark/>
          </w:tcPr>
          <w:p w14:paraId="46CE4277"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218A0262</w:t>
            </w:r>
          </w:p>
        </w:tc>
        <w:tc>
          <w:tcPr>
            <w:tcW w:w="251" w:type="pct"/>
            <w:shd w:val="clear" w:color="000000" w:fill="FFFFFF"/>
            <w:vAlign w:val="bottom"/>
            <w:hideMark/>
          </w:tcPr>
          <w:p w14:paraId="71D8ACE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11.3</w:t>
            </w:r>
          </w:p>
        </w:tc>
        <w:tc>
          <w:tcPr>
            <w:tcW w:w="294" w:type="pct"/>
            <w:shd w:val="clear" w:color="000000" w:fill="FFFFFF"/>
            <w:vAlign w:val="bottom"/>
            <w:hideMark/>
          </w:tcPr>
          <w:p w14:paraId="206D829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168.3</w:t>
            </w:r>
          </w:p>
        </w:tc>
        <w:tc>
          <w:tcPr>
            <w:tcW w:w="274" w:type="pct"/>
            <w:shd w:val="clear" w:color="000000" w:fill="FFFFFF"/>
            <w:noWrap/>
            <w:vAlign w:val="bottom"/>
            <w:hideMark/>
          </w:tcPr>
          <w:p w14:paraId="2438AE8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0.9</w:t>
            </w:r>
          </w:p>
        </w:tc>
        <w:tc>
          <w:tcPr>
            <w:tcW w:w="364" w:type="pct"/>
            <w:shd w:val="clear" w:color="000000" w:fill="FFFFFF"/>
          </w:tcPr>
          <w:p w14:paraId="2D8B732A" w14:textId="718772BA" w:rsidR="00F428DA" w:rsidRPr="008618E1" w:rsidRDefault="008618E1"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2739</w:t>
            </w:r>
          </w:p>
        </w:tc>
        <w:tc>
          <w:tcPr>
            <w:tcW w:w="376" w:type="pct"/>
            <w:shd w:val="clear" w:color="000000" w:fill="FFFFFF"/>
            <w:vAlign w:val="bottom"/>
            <w:hideMark/>
          </w:tcPr>
          <w:p w14:paraId="59CDE61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7861.3</w:t>
            </w:r>
          </w:p>
        </w:tc>
        <w:tc>
          <w:tcPr>
            <w:tcW w:w="410" w:type="pct"/>
            <w:shd w:val="clear" w:color="000000" w:fill="FFFFFF"/>
            <w:vAlign w:val="bottom"/>
            <w:hideMark/>
          </w:tcPr>
          <w:p w14:paraId="4B01571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5031.2</w:t>
            </w:r>
          </w:p>
        </w:tc>
        <w:tc>
          <w:tcPr>
            <w:tcW w:w="334" w:type="pct"/>
            <w:shd w:val="clear" w:color="000000" w:fill="FFFFFF"/>
            <w:vAlign w:val="bottom"/>
            <w:hideMark/>
          </w:tcPr>
          <w:p w14:paraId="0D774A4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1965.3</w:t>
            </w:r>
          </w:p>
        </w:tc>
        <w:tc>
          <w:tcPr>
            <w:tcW w:w="238" w:type="pct"/>
            <w:shd w:val="clear" w:color="000000" w:fill="FFFFFF"/>
            <w:vAlign w:val="bottom"/>
            <w:hideMark/>
          </w:tcPr>
          <w:p w14:paraId="34684FD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4.0</w:t>
            </w:r>
          </w:p>
        </w:tc>
        <w:tc>
          <w:tcPr>
            <w:tcW w:w="214" w:type="pct"/>
            <w:shd w:val="clear" w:color="000000" w:fill="FFFFFF"/>
            <w:vAlign w:val="bottom"/>
            <w:hideMark/>
          </w:tcPr>
          <w:p w14:paraId="20CCD09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0.6</w:t>
            </w:r>
          </w:p>
        </w:tc>
        <w:tc>
          <w:tcPr>
            <w:tcW w:w="286" w:type="pct"/>
            <w:shd w:val="clear" w:color="000000" w:fill="FFFFFF"/>
            <w:vAlign w:val="bottom"/>
            <w:hideMark/>
          </w:tcPr>
          <w:p w14:paraId="6C6AFBA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07" w:type="pct"/>
            <w:shd w:val="clear" w:color="000000" w:fill="FFFFFF"/>
            <w:noWrap/>
            <w:vAlign w:val="bottom"/>
            <w:hideMark/>
          </w:tcPr>
          <w:p w14:paraId="5F445A54"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5C4A38A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13.6</w:t>
            </w:r>
          </w:p>
        </w:tc>
        <w:tc>
          <w:tcPr>
            <w:tcW w:w="286" w:type="pct"/>
            <w:shd w:val="clear" w:color="000000" w:fill="FFFFFF"/>
            <w:noWrap/>
            <w:vAlign w:val="bottom"/>
            <w:hideMark/>
          </w:tcPr>
          <w:p w14:paraId="266D683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34.7</w:t>
            </w:r>
          </w:p>
        </w:tc>
        <w:tc>
          <w:tcPr>
            <w:tcW w:w="288" w:type="pct"/>
            <w:shd w:val="clear" w:color="auto" w:fill="auto"/>
            <w:noWrap/>
            <w:vAlign w:val="bottom"/>
            <w:hideMark/>
          </w:tcPr>
          <w:p w14:paraId="4E42F8B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93" w:type="pct"/>
            <w:shd w:val="clear" w:color="000000" w:fill="FFFFFF"/>
            <w:noWrap/>
            <w:vAlign w:val="bottom"/>
            <w:hideMark/>
          </w:tcPr>
          <w:p w14:paraId="7A4D5BC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28.5</w:t>
            </w:r>
          </w:p>
        </w:tc>
        <w:tc>
          <w:tcPr>
            <w:tcW w:w="175" w:type="pct"/>
            <w:shd w:val="clear" w:color="000000" w:fill="FFFFFF"/>
            <w:noWrap/>
            <w:vAlign w:val="bottom"/>
            <w:hideMark/>
          </w:tcPr>
          <w:p w14:paraId="04C7ABF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64EB76D1" w14:textId="77777777" w:rsidTr="00F428DA">
        <w:trPr>
          <w:gridAfter w:val="1"/>
          <w:wAfter w:w="5" w:type="pct"/>
          <w:trHeight w:val="300"/>
        </w:trPr>
        <w:tc>
          <w:tcPr>
            <w:tcW w:w="450" w:type="pct"/>
            <w:shd w:val="clear" w:color="000000" w:fill="FFFFFF"/>
            <w:vAlign w:val="bottom"/>
            <w:hideMark/>
          </w:tcPr>
          <w:p w14:paraId="0E6BE109"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218A0281</w:t>
            </w:r>
          </w:p>
        </w:tc>
        <w:tc>
          <w:tcPr>
            <w:tcW w:w="251" w:type="pct"/>
            <w:shd w:val="clear" w:color="000000" w:fill="FFFFFF"/>
            <w:vAlign w:val="bottom"/>
            <w:hideMark/>
          </w:tcPr>
          <w:p w14:paraId="5BA4C8D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20.6</w:t>
            </w:r>
          </w:p>
        </w:tc>
        <w:tc>
          <w:tcPr>
            <w:tcW w:w="294" w:type="pct"/>
            <w:shd w:val="clear" w:color="000000" w:fill="FFFFFF"/>
            <w:vAlign w:val="bottom"/>
            <w:hideMark/>
          </w:tcPr>
          <w:p w14:paraId="5BB9F79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190.1</w:t>
            </w:r>
          </w:p>
        </w:tc>
        <w:tc>
          <w:tcPr>
            <w:tcW w:w="274" w:type="pct"/>
            <w:shd w:val="clear" w:color="000000" w:fill="FFFFFF"/>
            <w:noWrap/>
            <w:vAlign w:val="bottom"/>
            <w:hideMark/>
          </w:tcPr>
          <w:p w14:paraId="085D002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w:t>
            </w:r>
          </w:p>
        </w:tc>
        <w:tc>
          <w:tcPr>
            <w:tcW w:w="364" w:type="pct"/>
            <w:shd w:val="clear" w:color="000000" w:fill="FFFFFF"/>
          </w:tcPr>
          <w:p w14:paraId="72DBA1E5" w14:textId="5B761B61" w:rsidR="00F428DA" w:rsidRPr="008618E1" w:rsidRDefault="008618E1"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3042</w:t>
            </w:r>
          </w:p>
        </w:tc>
        <w:tc>
          <w:tcPr>
            <w:tcW w:w="376" w:type="pct"/>
            <w:shd w:val="clear" w:color="000000" w:fill="FFFFFF"/>
            <w:vAlign w:val="bottom"/>
            <w:hideMark/>
          </w:tcPr>
          <w:p w14:paraId="6EDEC43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11940.4</w:t>
            </w:r>
          </w:p>
        </w:tc>
        <w:tc>
          <w:tcPr>
            <w:tcW w:w="410" w:type="pct"/>
            <w:shd w:val="clear" w:color="000000" w:fill="FFFFFF"/>
            <w:vAlign w:val="bottom"/>
            <w:hideMark/>
          </w:tcPr>
          <w:p w14:paraId="7319DC0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7641.9</w:t>
            </w:r>
          </w:p>
        </w:tc>
        <w:tc>
          <w:tcPr>
            <w:tcW w:w="334" w:type="pct"/>
            <w:shd w:val="clear" w:color="000000" w:fill="FFFFFF"/>
            <w:vAlign w:val="bottom"/>
            <w:hideMark/>
          </w:tcPr>
          <w:p w14:paraId="421AC9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2985.1</w:t>
            </w:r>
          </w:p>
        </w:tc>
        <w:tc>
          <w:tcPr>
            <w:tcW w:w="238" w:type="pct"/>
            <w:shd w:val="clear" w:color="000000" w:fill="FFFFFF"/>
            <w:vAlign w:val="bottom"/>
            <w:hideMark/>
          </w:tcPr>
          <w:p w14:paraId="18C3D9D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14" w:type="pct"/>
            <w:shd w:val="clear" w:color="000000" w:fill="FFFFFF"/>
            <w:vAlign w:val="bottom"/>
            <w:hideMark/>
          </w:tcPr>
          <w:p w14:paraId="2C88A1F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10B93AB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2.5</w:t>
            </w:r>
          </w:p>
        </w:tc>
        <w:tc>
          <w:tcPr>
            <w:tcW w:w="207" w:type="pct"/>
            <w:shd w:val="clear" w:color="000000" w:fill="FFFFFF"/>
            <w:noWrap/>
            <w:vAlign w:val="bottom"/>
            <w:hideMark/>
          </w:tcPr>
          <w:p w14:paraId="2D0D9595"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7D30439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14.3</w:t>
            </w:r>
          </w:p>
        </w:tc>
        <w:tc>
          <w:tcPr>
            <w:tcW w:w="286" w:type="pct"/>
            <w:shd w:val="clear" w:color="000000" w:fill="FFFFFF"/>
            <w:noWrap/>
            <w:vAlign w:val="bottom"/>
            <w:hideMark/>
          </w:tcPr>
          <w:p w14:paraId="3F9D656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45.8</w:t>
            </w:r>
          </w:p>
        </w:tc>
        <w:tc>
          <w:tcPr>
            <w:tcW w:w="288" w:type="pct"/>
            <w:shd w:val="clear" w:color="auto" w:fill="auto"/>
            <w:noWrap/>
            <w:vAlign w:val="bottom"/>
            <w:hideMark/>
          </w:tcPr>
          <w:p w14:paraId="1448C63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4.3</w:t>
            </w:r>
          </w:p>
        </w:tc>
        <w:tc>
          <w:tcPr>
            <w:tcW w:w="293" w:type="pct"/>
            <w:shd w:val="clear" w:color="000000" w:fill="FFFFFF"/>
            <w:noWrap/>
            <w:vAlign w:val="bottom"/>
            <w:hideMark/>
          </w:tcPr>
          <w:p w14:paraId="46E8E7A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35.8</w:t>
            </w:r>
          </w:p>
        </w:tc>
        <w:tc>
          <w:tcPr>
            <w:tcW w:w="175" w:type="pct"/>
            <w:shd w:val="clear" w:color="000000" w:fill="FFFFFF"/>
            <w:noWrap/>
            <w:vAlign w:val="bottom"/>
            <w:hideMark/>
          </w:tcPr>
          <w:p w14:paraId="700AAF1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w:t>
            </w:r>
          </w:p>
        </w:tc>
      </w:tr>
      <w:tr w:rsidR="00D01F0A" w:rsidRPr="00582C89" w14:paraId="29F68371" w14:textId="77777777" w:rsidTr="00F428DA">
        <w:trPr>
          <w:trHeight w:val="300"/>
        </w:trPr>
        <w:tc>
          <w:tcPr>
            <w:tcW w:w="5000" w:type="pct"/>
            <w:gridSpan w:val="18"/>
            <w:shd w:val="clear" w:color="000000" w:fill="FFFFFF"/>
            <w:vAlign w:val="center"/>
            <w:hideMark/>
          </w:tcPr>
          <w:p w14:paraId="383A26FD"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r w:rsidRPr="00524102">
              <w:rPr>
                <w:rFonts w:ascii="Times New Roman" w:eastAsia="Times New Roman" w:hAnsi="Times New Roman" w:cs="Times New Roman"/>
                <w:color w:val="000000"/>
                <w:sz w:val="24"/>
                <w:szCs w:val="16"/>
                <w:lang w:val="ru-RU"/>
              </w:rPr>
              <w:lastRenderedPageBreak/>
              <w:t>Betula pendula</w:t>
            </w:r>
          </w:p>
        </w:tc>
      </w:tr>
      <w:tr w:rsidR="00F428DA" w:rsidRPr="00582C89" w14:paraId="3F42DCC7" w14:textId="77777777" w:rsidTr="00F428DA">
        <w:trPr>
          <w:gridAfter w:val="1"/>
          <w:wAfter w:w="5" w:type="pct"/>
          <w:trHeight w:val="300"/>
        </w:trPr>
        <w:tc>
          <w:tcPr>
            <w:tcW w:w="450" w:type="pct"/>
            <w:shd w:val="clear" w:color="000000" w:fill="FFFFFF"/>
            <w:vAlign w:val="bottom"/>
            <w:hideMark/>
          </w:tcPr>
          <w:p w14:paraId="711D3D1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218A0104</w:t>
            </w:r>
          </w:p>
        </w:tc>
        <w:tc>
          <w:tcPr>
            <w:tcW w:w="251" w:type="pct"/>
            <w:shd w:val="clear" w:color="000000" w:fill="FFFFFF"/>
            <w:vAlign w:val="bottom"/>
            <w:hideMark/>
          </w:tcPr>
          <w:p w14:paraId="09BEBB8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94" w:type="pct"/>
            <w:shd w:val="clear" w:color="000000" w:fill="FFFFFF"/>
            <w:vAlign w:val="bottom"/>
            <w:hideMark/>
          </w:tcPr>
          <w:p w14:paraId="752C3D9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242.2</w:t>
            </w:r>
          </w:p>
        </w:tc>
        <w:tc>
          <w:tcPr>
            <w:tcW w:w="274" w:type="pct"/>
            <w:shd w:val="clear" w:color="000000" w:fill="FFFFFF"/>
            <w:noWrap/>
            <w:vAlign w:val="bottom"/>
            <w:hideMark/>
          </w:tcPr>
          <w:p w14:paraId="3D44DCF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w:t>
            </w:r>
          </w:p>
        </w:tc>
        <w:tc>
          <w:tcPr>
            <w:tcW w:w="364" w:type="pct"/>
            <w:shd w:val="clear" w:color="000000" w:fill="FFFFFF"/>
            <w:vAlign w:val="bottom"/>
          </w:tcPr>
          <w:p w14:paraId="15DDF8A1" w14:textId="2A50F75B"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1157</w:t>
            </w:r>
          </w:p>
        </w:tc>
        <w:tc>
          <w:tcPr>
            <w:tcW w:w="376" w:type="pct"/>
            <w:shd w:val="clear" w:color="000000" w:fill="FFFFFF"/>
            <w:vAlign w:val="bottom"/>
            <w:hideMark/>
          </w:tcPr>
          <w:p w14:paraId="7F97E67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2029.3</w:t>
            </w:r>
          </w:p>
        </w:tc>
        <w:tc>
          <w:tcPr>
            <w:tcW w:w="410" w:type="pct"/>
            <w:shd w:val="clear" w:color="000000" w:fill="FFFFFF"/>
            <w:vAlign w:val="bottom"/>
            <w:hideMark/>
          </w:tcPr>
          <w:p w14:paraId="01725DD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1298.8</w:t>
            </w:r>
          </w:p>
        </w:tc>
        <w:tc>
          <w:tcPr>
            <w:tcW w:w="334" w:type="pct"/>
            <w:shd w:val="clear" w:color="000000" w:fill="FFFFFF"/>
            <w:vAlign w:val="bottom"/>
            <w:hideMark/>
          </w:tcPr>
          <w:p w14:paraId="1B86FAD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507.3</w:t>
            </w:r>
          </w:p>
        </w:tc>
        <w:tc>
          <w:tcPr>
            <w:tcW w:w="238" w:type="pct"/>
            <w:shd w:val="clear" w:color="000000" w:fill="FFFFFF"/>
            <w:vAlign w:val="bottom"/>
            <w:hideMark/>
          </w:tcPr>
          <w:p w14:paraId="2452D07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3.1</w:t>
            </w:r>
          </w:p>
        </w:tc>
        <w:tc>
          <w:tcPr>
            <w:tcW w:w="214" w:type="pct"/>
            <w:shd w:val="clear" w:color="000000" w:fill="FFFFFF"/>
            <w:vAlign w:val="bottom"/>
            <w:hideMark/>
          </w:tcPr>
          <w:p w14:paraId="18155FC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070944D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w:t>
            </w:r>
          </w:p>
        </w:tc>
        <w:tc>
          <w:tcPr>
            <w:tcW w:w="207" w:type="pct"/>
            <w:shd w:val="clear" w:color="000000" w:fill="FFFFFF"/>
            <w:noWrap/>
            <w:vAlign w:val="bottom"/>
            <w:hideMark/>
          </w:tcPr>
          <w:p w14:paraId="09A34DAE"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58E7CC5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11.2</w:t>
            </w:r>
          </w:p>
        </w:tc>
        <w:tc>
          <w:tcPr>
            <w:tcW w:w="286" w:type="pct"/>
            <w:shd w:val="clear" w:color="000000" w:fill="FFFFFF"/>
            <w:noWrap/>
            <w:vAlign w:val="bottom"/>
            <w:hideMark/>
          </w:tcPr>
          <w:p w14:paraId="4F95EED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21.6</w:t>
            </w:r>
          </w:p>
        </w:tc>
        <w:tc>
          <w:tcPr>
            <w:tcW w:w="288" w:type="pct"/>
            <w:shd w:val="clear" w:color="auto" w:fill="auto"/>
            <w:noWrap/>
            <w:vAlign w:val="bottom"/>
            <w:hideMark/>
          </w:tcPr>
          <w:p w14:paraId="45F7B0A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w:t>
            </w:r>
          </w:p>
        </w:tc>
        <w:tc>
          <w:tcPr>
            <w:tcW w:w="293" w:type="pct"/>
            <w:shd w:val="clear" w:color="000000" w:fill="FFFFFF"/>
            <w:noWrap/>
            <w:vAlign w:val="bottom"/>
            <w:hideMark/>
          </w:tcPr>
          <w:p w14:paraId="4A41B42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7.6</w:t>
            </w:r>
          </w:p>
        </w:tc>
        <w:tc>
          <w:tcPr>
            <w:tcW w:w="175" w:type="pct"/>
            <w:shd w:val="clear" w:color="000000" w:fill="FFFFFF"/>
            <w:noWrap/>
            <w:vAlign w:val="bottom"/>
            <w:hideMark/>
          </w:tcPr>
          <w:p w14:paraId="55A894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6EF3A064" w14:textId="77777777" w:rsidTr="00F428DA">
        <w:trPr>
          <w:gridAfter w:val="1"/>
          <w:wAfter w:w="5" w:type="pct"/>
          <w:trHeight w:val="300"/>
        </w:trPr>
        <w:tc>
          <w:tcPr>
            <w:tcW w:w="450" w:type="pct"/>
            <w:shd w:val="clear" w:color="000000" w:fill="FFFFFF"/>
            <w:vAlign w:val="bottom"/>
            <w:hideMark/>
          </w:tcPr>
          <w:p w14:paraId="031CA62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218A0210</w:t>
            </w:r>
          </w:p>
        </w:tc>
        <w:tc>
          <w:tcPr>
            <w:tcW w:w="251" w:type="pct"/>
            <w:shd w:val="clear" w:color="000000" w:fill="FFFFFF"/>
            <w:vAlign w:val="bottom"/>
            <w:hideMark/>
          </w:tcPr>
          <w:p w14:paraId="7D1EA9D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w:t>
            </w:r>
          </w:p>
        </w:tc>
        <w:tc>
          <w:tcPr>
            <w:tcW w:w="294" w:type="pct"/>
            <w:shd w:val="clear" w:color="000000" w:fill="FFFFFF"/>
            <w:vAlign w:val="bottom"/>
            <w:hideMark/>
          </w:tcPr>
          <w:p w14:paraId="1C66732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304.4</w:t>
            </w:r>
          </w:p>
        </w:tc>
        <w:tc>
          <w:tcPr>
            <w:tcW w:w="274" w:type="pct"/>
            <w:shd w:val="clear" w:color="000000" w:fill="FFFFFF"/>
            <w:noWrap/>
            <w:vAlign w:val="bottom"/>
            <w:hideMark/>
          </w:tcPr>
          <w:p w14:paraId="215B711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w:t>
            </w:r>
          </w:p>
        </w:tc>
        <w:tc>
          <w:tcPr>
            <w:tcW w:w="364" w:type="pct"/>
            <w:shd w:val="clear" w:color="000000" w:fill="FFFFFF"/>
            <w:vAlign w:val="bottom"/>
          </w:tcPr>
          <w:p w14:paraId="4C0F1AE2" w14:textId="45F6B1BD"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1225</w:t>
            </w:r>
          </w:p>
        </w:tc>
        <w:tc>
          <w:tcPr>
            <w:tcW w:w="376" w:type="pct"/>
            <w:shd w:val="clear" w:color="000000" w:fill="FFFFFF"/>
            <w:vAlign w:val="bottom"/>
            <w:hideMark/>
          </w:tcPr>
          <w:p w14:paraId="7A8736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2046.2</w:t>
            </w:r>
          </w:p>
        </w:tc>
        <w:tc>
          <w:tcPr>
            <w:tcW w:w="410" w:type="pct"/>
            <w:shd w:val="clear" w:color="000000" w:fill="FFFFFF"/>
            <w:vAlign w:val="bottom"/>
            <w:hideMark/>
          </w:tcPr>
          <w:p w14:paraId="3043BE7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1309.5</w:t>
            </w:r>
          </w:p>
        </w:tc>
        <w:tc>
          <w:tcPr>
            <w:tcW w:w="334" w:type="pct"/>
            <w:shd w:val="clear" w:color="000000" w:fill="FFFFFF"/>
            <w:vAlign w:val="bottom"/>
            <w:hideMark/>
          </w:tcPr>
          <w:p w14:paraId="31EFE5B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511.5</w:t>
            </w:r>
          </w:p>
        </w:tc>
        <w:tc>
          <w:tcPr>
            <w:tcW w:w="238" w:type="pct"/>
            <w:shd w:val="clear" w:color="000000" w:fill="FFFFFF"/>
            <w:vAlign w:val="bottom"/>
            <w:hideMark/>
          </w:tcPr>
          <w:p w14:paraId="5B4CF75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14" w:type="pct"/>
            <w:shd w:val="clear" w:color="000000" w:fill="FFFFFF"/>
            <w:vAlign w:val="bottom"/>
            <w:hideMark/>
          </w:tcPr>
          <w:p w14:paraId="32BAD97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4534AD6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07" w:type="pct"/>
            <w:shd w:val="clear" w:color="000000" w:fill="FFFFFF"/>
            <w:noWrap/>
            <w:vAlign w:val="bottom"/>
            <w:hideMark/>
          </w:tcPr>
          <w:p w14:paraId="10ED0AB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70C1784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10.9</w:t>
            </w:r>
          </w:p>
        </w:tc>
        <w:tc>
          <w:tcPr>
            <w:tcW w:w="286" w:type="pct"/>
            <w:shd w:val="clear" w:color="000000" w:fill="FFFFFF"/>
            <w:noWrap/>
            <w:vAlign w:val="bottom"/>
            <w:hideMark/>
          </w:tcPr>
          <w:p w14:paraId="492F4B0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21.0</w:t>
            </w:r>
          </w:p>
        </w:tc>
        <w:tc>
          <w:tcPr>
            <w:tcW w:w="288" w:type="pct"/>
            <w:shd w:val="clear" w:color="auto" w:fill="auto"/>
            <w:noWrap/>
            <w:vAlign w:val="bottom"/>
            <w:hideMark/>
          </w:tcPr>
          <w:p w14:paraId="365E174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2.6</w:t>
            </w:r>
          </w:p>
        </w:tc>
        <w:tc>
          <w:tcPr>
            <w:tcW w:w="293" w:type="pct"/>
            <w:shd w:val="clear" w:color="000000" w:fill="FFFFFF"/>
            <w:noWrap/>
            <w:vAlign w:val="bottom"/>
            <w:hideMark/>
          </w:tcPr>
          <w:p w14:paraId="52B08A9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6.4</w:t>
            </w:r>
          </w:p>
        </w:tc>
        <w:tc>
          <w:tcPr>
            <w:tcW w:w="175" w:type="pct"/>
            <w:shd w:val="clear" w:color="000000" w:fill="FFFFFF"/>
            <w:noWrap/>
            <w:vAlign w:val="bottom"/>
            <w:hideMark/>
          </w:tcPr>
          <w:p w14:paraId="59C17D6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0ECE50BB" w14:textId="77777777" w:rsidTr="00F428DA">
        <w:trPr>
          <w:gridAfter w:val="1"/>
          <w:wAfter w:w="5" w:type="pct"/>
          <w:trHeight w:val="300"/>
        </w:trPr>
        <w:tc>
          <w:tcPr>
            <w:tcW w:w="450" w:type="pct"/>
            <w:shd w:val="clear" w:color="000000" w:fill="FFFFFF"/>
            <w:vAlign w:val="bottom"/>
            <w:hideMark/>
          </w:tcPr>
          <w:p w14:paraId="135D185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218A0285</w:t>
            </w:r>
          </w:p>
        </w:tc>
        <w:tc>
          <w:tcPr>
            <w:tcW w:w="251" w:type="pct"/>
            <w:shd w:val="clear" w:color="000000" w:fill="FFFFFF"/>
            <w:vAlign w:val="bottom"/>
            <w:hideMark/>
          </w:tcPr>
          <w:p w14:paraId="757B666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3.8</w:t>
            </w:r>
          </w:p>
        </w:tc>
        <w:tc>
          <w:tcPr>
            <w:tcW w:w="294" w:type="pct"/>
            <w:shd w:val="clear" w:color="000000" w:fill="FFFFFF"/>
            <w:vAlign w:val="bottom"/>
            <w:hideMark/>
          </w:tcPr>
          <w:p w14:paraId="1A1411A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340.3</w:t>
            </w:r>
          </w:p>
        </w:tc>
        <w:tc>
          <w:tcPr>
            <w:tcW w:w="274" w:type="pct"/>
            <w:shd w:val="clear" w:color="000000" w:fill="FFFFFF"/>
            <w:noWrap/>
            <w:vAlign w:val="bottom"/>
            <w:hideMark/>
          </w:tcPr>
          <w:p w14:paraId="0EF5E8C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w:t>
            </w:r>
          </w:p>
        </w:tc>
        <w:tc>
          <w:tcPr>
            <w:tcW w:w="364" w:type="pct"/>
            <w:shd w:val="clear" w:color="000000" w:fill="FFFFFF"/>
            <w:vAlign w:val="bottom"/>
          </w:tcPr>
          <w:p w14:paraId="0AF08546" w14:textId="576E0D2A"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1755</w:t>
            </w:r>
          </w:p>
        </w:tc>
        <w:tc>
          <w:tcPr>
            <w:tcW w:w="376" w:type="pct"/>
            <w:shd w:val="clear" w:color="000000" w:fill="FFFFFF"/>
            <w:vAlign w:val="bottom"/>
            <w:hideMark/>
          </w:tcPr>
          <w:p w14:paraId="4835738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2468.1</w:t>
            </w:r>
          </w:p>
        </w:tc>
        <w:tc>
          <w:tcPr>
            <w:tcW w:w="410" w:type="pct"/>
            <w:shd w:val="clear" w:color="000000" w:fill="FFFFFF"/>
            <w:vAlign w:val="bottom"/>
            <w:hideMark/>
          </w:tcPr>
          <w:p w14:paraId="459D8BC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1579.6</w:t>
            </w:r>
          </w:p>
        </w:tc>
        <w:tc>
          <w:tcPr>
            <w:tcW w:w="334" w:type="pct"/>
            <w:shd w:val="clear" w:color="000000" w:fill="FFFFFF"/>
            <w:vAlign w:val="bottom"/>
            <w:hideMark/>
          </w:tcPr>
          <w:p w14:paraId="4808690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617.0</w:t>
            </w:r>
          </w:p>
        </w:tc>
        <w:tc>
          <w:tcPr>
            <w:tcW w:w="238" w:type="pct"/>
            <w:shd w:val="clear" w:color="000000" w:fill="FFFFFF"/>
            <w:vAlign w:val="bottom"/>
            <w:hideMark/>
          </w:tcPr>
          <w:p w14:paraId="05B1DE3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14" w:type="pct"/>
            <w:shd w:val="clear" w:color="000000" w:fill="FFFFFF"/>
            <w:vAlign w:val="bottom"/>
            <w:hideMark/>
          </w:tcPr>
          <w:p w14:paraId="13A62E4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69496AB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w:t>
            </w:r>
          </w:p>
        </w:tc>
        <w:tc>
          <w:tcPr>
            <w:tcW w:w="207" w:type="pct"/>
            <w:shd w:val="clear" w:color="000000" w:fill="FFFFFF"/>
            <w:noWrap/>
            <w:vAlign w:val="bottom"/>
            <w:hideMark/>
          </w:tcPr>
          <w:p w14:paraId="40911A3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19A8BC3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10.8</w:t>
            </w:r>
          </w:p>
        </w:tc>
        <w:tc>
          <w:tcPr>
            <w:tcW w:w="286" w:type="pct"/>
            <w:shd w:val="clear" w:color="000000" w:fill="FFFFFF"/>
            <w:noWrap/>
            <w:vAlign w:val="bottom"/>
            <w:hideMark/>
          </w:tcPr>
          <w:p w14:paraId="7948DE2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23.9</w:t>
            </w:r>
          </w:p>
        </w:tc>
        <w:tc>
          <w:tcPr>
            <w:tcW w:w="288" w:type="pct"/>
            <w:shd w:val="clear" w:color="auto" w:fill="auto"/>
            <w:noWrap/>
            <w:vAlign w:val="bottom"/>
            <w:hideMark/>
          </w:tcPr>
          <w:p w14:paraId="7B7F27A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w:t>
            </w:r>
          </w:p>
        </w:tc>
        <w:tc>
          <w:tcPr>
            <w:tcW w:w="293" w:type="pct"/>
            <w:shd w:val="clear" w:color="000000" w:fill="FFFFFF"/>
            <w:noWrap/>
            <w:vAlign w:val="bottom"/>
            <w:hideMark/>
          </w:tcPr>
          <w:p w14:paraId="582209D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8.2</w:t>
            </w:r>
          </w:p>
        </w:tc>
        <w:tc>
          <w:tcPr>
            <w:tcW w:w="175" w:type="pct"/>
            <w:shd w:val="clear" w:color="000000" w:fill="FFFFFF"/>
            <w:noWrap/>
            <w:vAlign w:val="bottom"/>
            <w:hideMark/>
          </w:tcPr>
          <w:p w14:paraId="2CDF550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D01F0A" w:rsidRPr="00582C89" w14:paraId="23E3A468" w14:textId="77777777" w:rsidTr="00F428DA">
        <w:trPr>
          <w:trHeight w:val="300"/>
        </w:trPr>
        <w:tc>
          <w:tcPr>
            <w:tcW w:w="5000" w:type="pct"/>
            <w:gridSpan w:val="18"/>
            <w:shd w:val="clear" w:color="000000" w:fill="FFFFFF"/>
            <w:vAlign w:val="center"/>
            <w:hideMark/>
          </w:tcPr>
          <w:p w14:paraId="1BFBBF39"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r w:rsidRPr="00524102">
              <w:rPr>
                <w:rFonts w:ascii="Times New Roman" w:eastAsia="Times New Roman" w:hAnsi="Times New Roman" w:cs="Times New Roman"/>
                <w:color w:val="000000"/>
                <w:sz w:val="24"/>
                <w:szCs w:val="16"/>
                <w:lang w:val="ru-RU"/>
              </w:rPr>
              <w:t>Larix sibirica</w:t>
            </w:r>
          </w:p>
        </w:tc>
      </w:tr>
      <w:tr w:rsidR="00F428DA" w:rsidRPr="00582C89" w14:paraId="64B96405" w14:textId="77777777" w:rsidTr="00F428DA">
        <w:trPr>
          <w:gridAfter w:val="1"/>
          <w:wAfter w:w="5" w:type="pct"/>
          <w:trHeight w:val="300"/>
        </w:trPr>
        <w:tc>
          <w:tcPr>
            <w:tcW w:w="450" w:type="pct"/>
            <w:shd w:val="clear" w:color="000000" w:fill="FFFFFF"/>
            <w:vAlign w:val="bottom"/>
            <w:hideMark/>
          </w:tcPr>
          <w:p w14:paraId="6F26F42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218A0079</w:t>
            </w:r>
          </w:p>
        </w:tc>
        <w:tc>
          <w:tcPr>
            <w:tcW w:w="251" w:type="pct"/>
            <w:shd w:val="clear" w:color="000000" w:fill="FFFFFF"/>
            <w:vAlign w:val="bottom"/>
            <w:hideMark/>
          </w:tcPr>
          <w:p w14:paraId="4472971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8.5</w:t>
            </w:r>
          </w:p>
        </w:tc>
        <w:tc>
          <w:tcPr>
            <w:tcW w:w="294" w:type="pct"/>
            <w:shd w:val="clear" w:color="000000" w:fill="FFFFFF"/>
            <w:vAlign w:val="bottom"/>
            <w:hideMark/>
          </w:tcPr>
          <w:p w14:paraId="7B1A923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41.0</w:t>
            </w:r>
          </w:p>
        </w:tc>
        <w:tc>
          <w:tcPr>
            <w:tcW w:w="274" w:type="pct"/>
            <w:shd w:val="clear" w:color="000000" w:fill="FFFFFF"/>
            <w:noWrap/>
            <w:vAlign w:val="bottom"/>
            <w:hideMark/>
          </w:tcPr>
          <w:p w14:paraId="4568FBF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0.2</w:t>
            </w:r>
          </w:p>
        </w:tc>
        <w:tc>
          <w:tcPr>
            <w:tcW w:w="364" w:type="pct"/>
            <w:shd w:val="clear" w:color="000000" w:fill="FFFFFF"/>
            <w:vAlign w:val="bottom"/>
          </w:tcPr>
          <w:p w14:paraId="6795EE7E" w14:textId="0B06A710"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1701.</w:t>
            </w:r>
          </w:p>
        </w:tc>
        <w:tc>
          <w:tcPr>
            <w:tcW w:w="376" w:type="pct"/>
            <w:shd w:val="clear" w:color="000000" w:fill="FFFFFF"/>
            <w:vAlign w:val="bottom"/>
            <w:hideMark/>
          </w:tcPr>
          <w:p w14:paraId="7DEB3C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17527.5</w:t>
            </w:r>
          </w:p>
        </w:tc>
        <w:tc>
          <w:tcPr>
            <w:tcW w:w="410" w:type="pct"/>
            <w:shd w:val="clear" w:color="000000" w:fill="FFFFFF"/>
            <w:vAlign w:val="bottom"/>
            <w:hideMark/>
          </w:tcPr>
          <w:p w14:paraId="447BF2F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11217.6</w:t>
            </w:r>
          </w:p>
        </w:tc>
        <w:tc>
          <w:tcPr>
            <w:tcW w:w="334" w:type="pct"/>
            <w:shd w:val="clear" w:color="000000" w:fill="FFFFFF"/>
            <w:vAlign w:val="bottom"/>
            <w:hideMark/>
          </w:tcPr>
          <w:p w14:paraId="6224645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4381.9</w:t>
            </w:r>
          </w:p>
        </w:tc>
        <w:tc>
          <w:tcPr>
            <w:tcW w:w="238" w:type="pct"/>
            <w:shd w:val="clear" w:color="000000" w:fill="FFFFFF"/>
            <w:vAlign w:val="bottom"/>
            <w:hideMark/>
          </w:tcPr>
          <w:p w14:paraId="292B28F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w:t>
            </w:r>
          </w:p>
        </w:tc>
        <w:tc>
          <w:tcPr>
            <w:tcW w:w="214" w:type="pct"/>
            <w:shd w:val="clear" w:color="000000" w:fill="FFFFFF"/>
            <w:vAlign w:val="bottom"/>
            <w:hideMark/>
          </w:tcPr>
          <w:p w14:paraId="77CE614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0.8</w:t>
            </w:r>
          </w:p>
        </w:tc>
        <w:tc>
          <w:tcPr>
            <w:tcW w:w="286" w:type="pct"/>
            <w:shd w:val="clear" w:color="000000" w:fill="FFFFFF"/>
            <w:vAlign w:val="bottom"/>
            <w:hideMark/>
          </w:tcPr>
          <w:p w14:paraId="437664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w:t>
            </w:r>
          </w:p>
        </w:tc>
        <w:tc>
          <w:tcPr>
            <w:tcW w:w="207" w:type="pct"/>
            <w:shd w:val="clear" w:color="000000" w:fill="FFFFFF"/>
            <w:noWrap/>
            <w:vAlign w:val="bottom"/>
            <w:hideMark/>
          </w:tcPr>
          <w:p w14:paraId="300D1E58"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w:t>
            </w:r>
          </w:p>
        </w:tc>
        <w:tc>
          <w:tcPr>
            <w:tcW w:w="255" w:type="pct"/>
            <w:shd w:val="clear" w:color="000000" w:fill="FFFFFF"/>
            <w:noWrap/>
            <w:vAlign w:val="bottom"/>
            <w:hideMark/>
          </w:tcPr>
          <w:p w14:paraId="0251E70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24.7</w:t>
            </w:r>
          </w:p>
        </w:tc>
        <w:tc>
          <w:tcPr>
            <w:tcW w:w="286" w:type="pct"/>
            <w:shd w:val="clear" w:color="000000" w:fill="FFFFFF"/>
            <w:noWrap/>
            <w:vAlign w:val="bottom"/>
            <w:hideMark/>
          </w:tcPr>
          <w:p w14:paraId="1B1959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32.1</w:t>
            </w:r>
          </w:p>
        </w:tc>
        <w:tc>
          <w:tcPr>
            <w:tcW w:w="288" w:type="pct"/>
            <w:shd w:val="clear" w:color="auto" w:fill="auto"/>
            <w:noWrap/>
            <w:vAlign w:val="bottom"/>
            <w:hideMark/>
          </w:tcPr>
          <w:p w14:paraId="3678443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w:t>
            </w:r>
          </w:p>
        </w:tc>
        <w:tc>
          <w:tcPr>
            <w:tcW w:w="293" w:type="pct"/>
            <w:shd w:val="clear" w:color="000000" w:fill="FFFFFF"/>
            <w:noWrap/>
            <w:vAlign w:val="bottom"/>
            <w:hideMark/>
          </w:tcPr>
          <w:p w14:paraId="3EDD11E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65.9</w:t>
            </w:r>
          </w:p>
        </w:tc>
        <w:tc>
          <w:tcPr>
            <w:tcW w:w="175" w:type="pct"/>
            <w:shd w:val="clear" w:color="000000" w:fill="FFFFFF"/>
            <w:noWrap/>
            <w:vAlign w:val="bottom"/>
            <w:hideMark/>
          </w:tcPr>
          <w:p w14:paraId="420569D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7B81A591" w14:textId="77777777" w:rsidTr="00F428DA">
        <w:trPr>
          <w:gridAfter w:val="1"/>
          <w:wAfter w:w="5" w:type="pct"/>
          <w:trHeight w:val="300"/>
        </w:trPr>
        <w:tc>
          <w:tcPr>
            <w:tcW w:w="450" w:type="pct"/>
            <w:shd w:val="clear" w:color="000000" w:fill="FFFFFF"/>
            <w:vAlign w:val="bottom"/>
            <w:hideMark/>
          </w:tcPr>
          <w:p w14:paraId="373EFFA4"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218A0138</w:t>
            </w:r>
          </w:p>
        </w:tc>
        <w:tc>
          <w:tcPr>
            <w:tcW w:w="251" w:type="pct"/>
            <w:shd w:val="clear" w:color="000000" w:fill="FFFFFF"/>
            <w:vAlign w:val="bottom"/>
            <w:hideMark/>
          </w:tcPr>
          <w:p w14:paraId="06E1F8A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10.4</w:t>
            </w:r>
          </w:p>
        </w:tc>
        <w:tc>
          <w:tcPr>
            <w:tcW w:w="294" w:type="pct"/>
            <w:shd w:val="clear" w:color="000000" w:fill="FFFFFF"/>
            <w:vAlign w:val="bottom"/>
            <w:hideMark/>
          </w:tcPr>
          <w:p w14:paraId="260D738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137.6</w:t>
            </w:r>
          </w:p>
        </w:tc>
        <w:tc>
          <w:tcPr>
            <w:tcW w:w="274" w:type="pct"/>
            <w:shd w:val="clear" w:color="000000" w:fill="FFFFFF"/>
            <w:noWrap/>
            <w:vAlign w:val="bottom"/>
            <w:hideMark/>
          </w:tcPr>
          <w:p w14:paraId="6D16508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0.7</w:t>
            </w:r>
          </w:p>
        </w:tc>
        <w:tc>
          <w:tcPr>
            <w:tcW w:w="364" w:type="pct"/>
            <w:shd w:val="clear" w:color="000000" w:fill="FFFFFF"/>
            <w:vAlign w:val="bottom"/>
          </w:tcPr>
          <w:p w14:paraId="0C1CD56B" w14:textId="4806D194"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3237</w:t>
            </w:r>
          </w:p>
        </w:tc>
        <w:tc>
          <w:tcPr>
            <w:tcW w:w="376" w:type="pct"/>
            <w:shd w:val="clear" w:color="000000" w:fill="FFFFFF"/>
            <w:vAlign w:val="bottom"/>
            <w:hideMark/>
          </w:tcPr>
          <w:p w14:paraId="4934132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9824.9</w:t>
            </w:r>
          </w:p>
        </w:tc>
        <w:tc>
          <w:tcPr>
            <w:tcW w:w="410" w:type="pct"/>
            <w:shd w:val="clear" w:color="000000" w:fill="FFFFFF"/>
            <w:vAlign w:val="bottom"/>
            <w:hideMark/>
          </w:tcPr>
          <w:p w14:paraId="6DCFC29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6287.9</w:t>
            </w:r>
          </w:p>
        </w:tc>
        <w:tc>
          <w:tcPr>
            <w:tcW w:w="334" w:type="pct"/>
            <w:shd w:val="clear" w:color="000000" w:fill="FFFFFF"/>
            <w:vAlign w:val="bottom"/>
            <w:hideMark/>
          </w:tcPr>
          <w:p w14:paraId="56690B9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2456.2</w:t>
            </w:r>
          </w:p>
        </w:tc>
        <w:tc>
          <w:tcPr>
            <w:tcW w:w="238" w:type="pct"/>
            <w:shd w:val="clear" w:color="000000" w:fill="FFFFFF"/>
            <w:vAlign w:val="bottom"/>
            <w:hideMark/>
          </w:tcPr>
          <w:p w14:paraId="16EFBAD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14" w:type="pct"/>
            <w:shd w:val="clear" w:color="000000" w:fill="FFFFFF"/>
            <w:vAlign w:val="bottom"/>
            <w:hideMark/>
          </w:tcPr>
          <w:p w14:paraId="05DF890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6B995B0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07" w:type="pct"/>
            <w:shd w:val="clear" w:color="000000" w:fill="FFFFFF"/>
            <w:noWrap/>
            <w:vAlign w:val="bottom"/>
            <w:hideMark/>
          </w:tcPr>
          <w:p w14:paraId="75457121"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0412068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19.0</w:t>
            </w:r>
          </w:p>
        </w:tc>
        <w:tc>
          <w:tcPr>
            <w:tcW w:w="286" w:type="pct"/>
            <w:shd w:val="clear" w:color="000000" w:fill="FFFFFF"/>
            <w:noWrap/>
            <w:vAlign w:val="bottom"/>
            <w:hideMark/>
          </w:tcPr>
          <w:p w14:paraId="42917FE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40.7</w:t>
            </w:r>
          </w:p>
        </w:tc>
        <w:tc>
          <w:tcPr>
            <w:tcW w:w="288" w:type="pct"/>
            <w:shd w:val="clear" w:color="auto" w:fill="auto"/>
            <w:noWrap/>
            <w:vAlign w:val="bottom"/>
            <w:hideMark/>
          </w:tcPr>
          <w:p w14:paraId="62E3808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2.6</w:t>
            </w:r>
          </w:p>
        </w:tc>
        <w:tc>
          <w:tcPr>
            <w:tcW w:w="293" w:type="pct"/>
            <w:shd w:val="clear" w:color="000000" w:fill="FFFFFF"/>
            <w:noWrap/>
            <w:vAlign w:val="bottom"/>
            <w:hideMark/>
          </w:tcPr>
          <w:p w14:paraId="4CC59D5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37.4</w:t>
            </w:r>
          </w:p>
        </w:tc>
        <w:tc>
          <w:tcPr>
            <w:tcW w:w="175" w:type="pct"/>
            <w:shd w:val="clear" w:color="000000" w:fill="FFFFFF"/>
            <w:noWrap/>
            <w:vAlign w:val="bottom"/>
            <w:hideMark/>
          </w:tcPr>
          <w:p w14:paraId="54311F1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56951E35" w14:textId="77777777" w:rsidTr="00F428DA">
        <w:trPr>
          <w:gridAfter w:val="1"/>
          <w:wAfter w:w="5" w:type="pct"/>
          <w:trHeight w:val="300"/>
        </w:trPr>
        <w:tc>
          <w:tcPr>
            <w:tcW w:w="450" w:type="pct"/>
            <w:shd w:val="clear" w:color="000000" w:fill="FFFFFF"/>
            <w:vAlign w:val="bottom"/>
            <w:hideMark/>
          </w:tcPr>
          <w:p w14:paraId="37B99613"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218A0277</w:t>
            </w:r>
          </w:p>
        </w:tc>
        <w:tc>
          <w:tcPr>
            <w:tcW w:w="251" w:type="pct"/>
            <w:shd w:val="clear" w:color="000000" w:fill="FFFFFF"/>
            <w:vAlign w:val="bottom"/>
            <w:hideMark/>
          </w:tcPr>
          <w:p w14:paraId="65BF2E0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5.5</w:t>
            </w:r>
          </w:p>
        </w:tc>
        <w:tc>
          <w:tcPr>
            <w:tcW w:w="294" w:type="pct"/>
            <w:shd w:val="clear" w:color="000000" w:fill="FFFFFF"/>
            <w:vAlign w:val="bottom"/>
            <w:hideMark/>
          </w:tcPr>
          <w:p w14:paraId="72563F5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72.9</w:t>
            </w:r>
          </w:p>
        </w:tc>
        <w:tc>
          <w:tcPr>
            <w:tcW w:w="274" w:type="pct"/>
            <w:shd w:val="clear" w:color="000000" w:fill="FFFFFF"/>
            <w:noWrap/>
            <w:vAlign w:val="bottom"/>
            <w:hideMark/>
          </w:tcPr>
          <w:p w14:paraId="71C933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364" w:type="pct"/>
            <w:shd w:val="clear" w:color="000000" w:fill="FFFFFF"/>
            <w:vAlign w:val="bottom"/>
          </w:tcPr>
          <w:p w14:paraId="4EDC5816" w14:textId="3F06F37E"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1480</w:t>
            </w:r>
          </w:p>
        </w:tc>
        <w:tc>
          <w:tcPr>
            <w:tcW w:w="376" w:type="pct"/>
            <w:shd w:val="clear" w:color="000000" w:fill="FFFFFF"/>
            <w:vAlign w:val="bottom"/>
            <w:hideMark/>
          </w:tcPr>
          <w:p w14:paraId="762C22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8805.2</w:t>
            </w:r>
          </w:p>
        </w:tc>
        <w:tc>
          <w:tcPr>
            <w:tcW w:w="410" w:type="pct"/>
            <w:shd w:val="clear" w:color="000000" w:fill="FFFFFF"/>
            <w:vAlign w:val="bottom"/>
            <w:hideMark/>
          </w:tcPr>
          <w:p w14:paraId="16337E0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5635.3</w:t>
            </w:r>
          </w:p>
        </w:tc>
        <w:tc>
          <w:tcPr>
            <w:tcW w:w="334" w:type="pct"/>
            <w:shd w:val="clear" w:color="000000" w:fill="FFFFFF"/>
            <w:vAlign w:val="bottom"/>
            <w:hideMark/>
          </w:tcPr>
          <w:p w14:paraId="5076DF5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2201.3</w:t>
            </w:r>
          </w:p>
        </w:tc>
        <w:tc>
          <w:tcPr>
            <w:tcW w:w="238" w:type="pct"/>
            <w:shd w:val="clear" w:color="000000" w:fill="FFFFFF"/>
            <w:vAlign w:val="bottom"/>
            <w:hideMark/>
          </w:tcPr>
          <w:p w14:paraId="7B62A55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14" w:type="pct"/>
            <w:shd w:val="clear" w:color="000000" w:fill="FFFFFF"/>
            <w:vAlign w:val="bottom"/>
            <w:hideMark/>
          </w:tcPr>
          <w:p w14:paraId="126D85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0EA633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07" w:type="pct"/>
            <w:shd w:val="clear" w:color="000000" w:fill="FFFFFF"/>
            <w:noWrap/>
            <w:vAlign w:val="bottom"/>
            <w:hideMark/>
          </w:tcPr>
          <w:p w14:paraId="19116B7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4C55A60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24.3</w:t>
            </w:r>
          </w:p>
        </w:tc>
        <w:tc>
          <w:tcPr>
            <w:tcW w:w="286" w:type="pct"/>
            <w:shd w:val="clear" w:color="000000" w:fill="FFFFFF"/>
            <w:noWrap/>
            <w:vAlign w:val="bottom"/>
            <w:hideMark/>
          </w:tcPr>
          <w:p w14:paraId="0CCE370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26.1</w:t>
            </w:r>
          </w:p>
        </w:tc>
        <w:tc>
          <w:tcPr>
            <w:tcW w:w="288" w:type="pct"/>
            <w:shd w:val="clear" w:color="auto" w:fill="auto"/>
            <w:noWrap/>
            <w:vAlign w:val="bottom"/>
            <w:hideMark/>
          </w:tcPr>
          <w:p w14:paraId="5E22BA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w:t>
            </w:r>
          </w:p>
        </w:tc>
        <w:tc>
          <w:tcPr>
            <w:tcW w:w="293" w:type="pct"/>
            <w:shd w:val="clear" w:color="000000" w:fill="FFFFFF"/>
            <w:noWrap/>
            <w:vAlign w:val="bottom"/>
            <w:hideMark/>
          </w:tcPr>
          <w:p w14:paraId="755A877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32.3</w:t>
            </w:r>
          </w:p>
        </w:tc>
        <w:tc>
          <w:tcPr>
            <w:tcW w:w="175" w:type="pct"/>
            <w:shd w:val="clear" w:color="000000" w:fill="FFFFFF"/>
            <w:noWrap/>
            <w:vAlign w:val="bottom"/>
            <w:hideMark/>
          </w:tcPr>
          <w:p w14:paraId="2D0C93F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D01F0A" w:rsidRPr="00582C89" w14:paraId="7AC1657C" w14:textId="77777777" w:rsidTr="00F428DA">
        <w:trPr>
          <w:trHeight w:val="300"/>
        </w:trPr>
        <w:tc>
          <w:tcPr>
            <w:tcW w:w="5000" w:type="pct"/>
            <w:gridSpan w:val="18"/>
            <w:shd w:val="clear" w:color="000000" w:fill="FFFFFF"/>
            <w:vAlign w:val="center"/>
            <w:hideMark/>
          </w:tcPr>
          <w:p w14:paraId="31B4A8ED"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r w:rsidRPr="00524102">
              <w:rPr>
                <w:rFonts w:ascii="Times New Roman" w:eastAsia="Times New Roman" w:hAnsi="Times New Roman" w:cs="Times New Roman"/>
                <w:color w:val="000000"/>
                <w:sz w:val="24"/>
                <w:szCs w:val="16"/>
                <w:lang w:val="ru-RU"/>
              </w:rPr>
              <w:t>Tilia cordata</w:t>
            </w:r>
          </w:p>
        </w:tc>
      </w:tr>
      <w:tr w:rsidR="00F428DA" w:rsidRPr="00582C89" w14:paraId="3A9ADDDA" w14:textId="77777777" w:rsidTr="00F428DA">
        <w:trPr>
          <w:gridAfter w:val="1"/>
          <w:wAfter w:w="5" w:type="pct"/>
          <w:trHeight w:val="300"/>
        </w:trPr>
        <w:tc>
          <w:tcPr>
            <w:tcW w:w="450" w:type="pct"/>
            <w:shd w:val="clear" w:color="000000" w:fill="FFFFFF"/>
            <w:vAlign w:val="bottom"/>
            <w:hideMark/>
          </w:tcPr>
          <w:p w14:paraId="685F3AA2"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218A0111</w:t>
            </w:r>
          </w:p>
        </w:tc>
        <w:tc>
          <w:tcPr>
            <w:tcW w:w="251" w:type="pct"/>
            <w:shd w:val="clear" w:color="000000" w:fill="FFFFFF"/>
            <w:vAlign w:val="bottom"/>
            <w:hideMark/>
          </w:tcPr>
          <w:p w14:paraId="28594AF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8.4</w:t>
            </w:r>
          </w:p>
        </w:tc>
        <w:tc>
          <w:tcPr>
            <w:tcW w:w="294" w:type="pct"/>
            <w:shd w:val="clear" w:color="000000" w:fill="FFFFFF"/>
            <w:vAlign w:val="bottom"/>
            <w:hideMark/>
          </w:tcPr>
          <w:p w14:paraId="049DD81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174.4</w:t>
            </w:r>
          </w:p>
        </w:tc>
        <w:tc>
          <w:tcPr>
            <w:tcW w:w="274" w:type="pct"/>
            <w:shd w:val="clear" w:color="000000" w:fill="FFFFFF"/>
            <w:noWrap/>
            <w:vAlign w:val="bottom"/>
            <w:hideMark/>
          </w:tcPr>
          <w:p w14:paraId="36770B6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w:t>
            </w:r>
          </w:p>
        </w:tc>
        <w:tc>
          <w:tcPr>
            <w:tcW w:w="364" w:type="pct"/>
            <w:shd w:val="clear" w:color="000000" w:fill="FFFFFF"/>
            <w:vAlign w:val="bottom"/>
          </w:tcPr>
          <w:p w14:paraId="0FFE02C2" w14:textId="6BF16B0F"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2194</w:t>
            </w:r>
          </w:p>
        </w:tc>
        <w:tc>
          <w:tcPr>
            <w:tcW w:w="376" w:type="pct"/>
            <w:shd w:val="clear" w:color="000000" w:fill="FFFFFF"/>
            <w:vAlign w:val="bottom"/>
            <w:hideMark/>
          </w:tcPr>
          <w:p w14:paraId="1EBC7BC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6453.9</w:t>
            </w:r>
          </w:p>
        </w:tc>
        <w:tc>
          <w:tcPr>
            <w:tcW w:w="410" w:type="pct"/>
            <w:shd w:val="clear" w:color="000000" w:fill="FFFFFF"/>
            <w:vAlign w:val="bottom"/>
            <w:hideMark/>
          </w:tcPr>
          <w:p w14:paraId="3FE48C8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4130.5</w:t>
            </w:r>
          </w:p>
        </w:tc>
        <w:tc>
          <w:tcPr>
            <w:tcW w:w="334" w:type="pct"/>
            <w:shd w:val="clear" w:color="000000" w:fill="FFFFFF"/>
            <w:vAlign w:val="bottom"/>
            <w:hideMark/>
          </w:tcPr>
          <w:p w14:paraId="3DF0FD9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1613.5</w:t>
            </w:r>
          </w:p>
        </w:tc>
        <w:tc>
          <w:tcPr>
            <w:tcW w:w="238" w:type="pct"/>
            <w:shd w:val="clear" w:color="000000" w:fill="FFFFFF"/>
            <w:vAlign w:val="bottom"/>
            <w:hideMark/>
          </w:tcPr>
          <w:p w14:paraId="613CD00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w:t>
            </w:r>
          </w:p>
        </w:tc>
        <w:tc>
          <w:tcPr>
            <w:tcW w:w="214" w:type="pct"/>
            <w:shd w:val="clear" w:color="000000" w:fill="FFFFFF"/>
            <w:vAlign w:val="bottom"/>
            <w:hideMark/>
          </w:tcPr>
          <w:p w14:paraId="7504D43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554EF72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07" w:type="pct"/>
            <w:shd w:val="clear" w:color="000000" w:fill="FFFFFF"/>
            <w:noWrap/>
            <w:vAlign w:val="bottom"/>
            <w:hideMark/>
          </w:tcPr>
          <w:p w14:paraId="516BBE6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2D7524B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12.2</w:t>
            </w:r>
          </w:p>
        </w:tc>
        <w:tc>
          <w:tcPr>
            <w:tcW w:w="286" w:type="pct"/>
            <w:shd w:val="clear" w:color="000000" w:fill="FFFFFF"/>
            <w:noWrap/>
            <w:vAlign w:val="bottom"/>
            <w:hideMark/>
          </w:tcPr>
          <w:p w14:paraId="020ED83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28.0</w:t>
            </w:r>
          </w:p>
        </w:tc>
        <w:tc>
          <w:tcPr>
            <w:tcW w:w="288" w:type="pct"/>
            <w:shd w:val="clear" w:color="auto" w:fill="auto"/>
            <w:noWrap/>
            <w:vAlign w:val="bottom"/>
            <w:hideMark/>
          </w:tcPr>
          <w:p w14:paraId="0E88F43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5.3</w:t>
            </w:r>
          </w:p>
        </w:tc>
        <w:tc>
          <w:tcPr>
            <w:tcW w:w="293" w:type="pct"/>
            <w:shd w:val="clear" w:color="000000" w:fill="FFFFFF"/>
            <w:noWrap/>
            <w:vAlign w:val="bottom"/>
            <w:hideMark/>
          </w:tcPr>
          <w:p w14:paraId="370CE99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20.0</w:t>
            </w:r>
          </w:p>
        </w:tc>
        <w:tc>
          <w:tcPr>
            <w:tcW w:w="175" w:type="pct"/>
            <w:shd w:val="clear" w:color="000000" w:fill="FFFFFF"/>
            <w:noWrap/>
            <w:vAlign w:val="bottom"/>
            <w:hideMark/>
          </w:tcPr>
          <w:p w14:paraId="05697AD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4AF9371E" w14:textId="77777777" w:rsidTr="00F428DA">
        <w:trPr>
          <w:gridAfter w:val="1"/>
          <w:wAfter w:w="5" w:type="pct"/>
          <w:trHeight w:val="300"/>
        </w:trPr>
        <w:tc>
          <w:tcPr>
            <w:tcW w:w="450" w:type="pct"/>
            <w:shd w:val="clear" w:color="000000" w:fill="FFFFFF"/>
            <w:vAlign w:val="bottom"/>
            <w:hideMark/>
          </w:tcPr>
          <w:p w14:paraId="623DDA2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218A0121</w:t>
            </w:r>
          </w:p>
        </w:tc>
        <w:tc>
          <w:tcPr>
            <w:tcW w:w="251" w:type="pct"/>
            <w:shd w:val="clear" w:color="000000" w:fill="FFFFFF"/>
            <w:vAlign w:val="bottom"/>
            <w:hideMark/>
          </w:tcPr>
          <w:p w14:paraId="79E7AB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21.0</w:t>
            </w:r>
          </w:p>
        </w:tc>
        <w:tc>
          <w:tcPr>
            <w:tcW w:w="294" w:type="pct"/>
            <w:shd w:val="clear" w:color="000000" w:fill="FFFFFF"/>
            <w:vAlign w:val="bottom"/>
            <w:hideMark/>
          </w:tcPr>
          <w:p w14:paraId="47BDF93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171.1</w:t>
            </w:r>
          </w:p>
        </w:tc>
        <w:tc>
          <w:tcPr>
            <w:tcW w:w="274" w:type="pct"/>
            <w:shd w:val="clear" w:color="000000" w:fill="FFFFFF"/>
            <w:noWrap/>
            <w:vAlign w:val="bottom"/>
            <w:hideMark/>
          </w:tcPr>
          <w:p w14:paraId="5E0F0AB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0.9</w:t>
            </w:r>
          </w:p>
        </w:tc>
        <w:tc>
          <w:tcPr>
            <w:tcW w:w="364" w:type="pct"/>
            <w:shd w:val="clear" w:color="000000" w:fill="FFFFFF"/>
            <w:vAlign w:val="bottom"/>
          </w:tcPr>
          <w:p w14:paraId="021A4CB3" w14:textId="5B2C0A8C"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3369</w:t>
            </w:r>
          </w:p>
        </w:tc>
        <w:tc>
          <w:tcPr>
            <w:tcW w:w="376" w:type="pct"/>
            <w:shd w:val="clear" w:color="000000" w:fill="FFFFFF"/>
            <w:vAlign w:val="bottom"/>
            <w:hideMark/>
          </w:tcPr>
          <w:p w14:paraId="45FD101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6708.0</w:t>
            </w:r>
          </w:p>
        </w:tc>
        <w:tc>
          <w:tcPr>
            <w:tcW w:w="410" w:type="pct"/>
            <w:shd w:val="clear" w:color="000000" w:fill="FFFFFF"/>
            <w:vAlign w:val="bottom"/>
            <w:hideMark/>
          </w:tcPr>
          <w:p w14:paraId="185E605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4293.1</w:t>
            </w:r>
          </w:p>
        </w:tc>
        <w:tc>
          <w:tcPr>
            <w:tcW w:w="334" w:type="pct"/>
            <w:shd w:val="clear" w:color="000000" w:fill="FFFFFF"/>
            <w:vAlign w:val="bottom"/>
            <w:hideMark/>
          </w:tcPr>
          <w:p w14:paraId="77A3370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1677.0</w:t>
            </w:r>
          </w:p>
        </w:tc>
        <w:tc>
          <w:tcPr>
            <w:tcW w:w="238" w:type="pct"/>
            <w:shd w:val="clear" w:color="000000" w:fill="FFFFFF"/>
            <w:vAlign w:val="bottom"/>
            <w:hideMark/>
          </w:tcPr>
          <w:p w14:paraId="4B84168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3.8</w:t>
            </w:r>
          </w:p>
        </w:tc>
        <w:tc>
          <w:tcPr>
            <w:tcW w:w="214" w:type="pct"/>
            <w:shd w:val="clear" w:color="000000" w:fill="FFFFFF"/>
            <w:vAlign w:val="bottom"/>
            <w:hideMark/>
          </w:tcPr>
          <w:p w14:paraId="256168C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0.6</w:t>
            </w:r>
          </w:p>
        </w:tc>
        <w:tc>
          <w:tcPr>
            <w:tcW w:w="286" w:type="pct"/>
            <w:shd w:val="clear" w:color="000000" w:fill="FFFFFF"/>
            <w:vAlign w:val="bottom"/>
            <w:hideMark/>
          </w:tcPr>
          <w:p w14:paraId="24FC659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07" w:type="pct"/>
            <w:shd w:val="clear" w:color="000000" w:fill="FFFFFF"/>
            <w:noWrap/>
            <w:vAlign w:val="bottom"/>
            <w:hideMark/>
          </w:tcPr>
          <w:p w14:paraId="01D1410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53B8326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16.7</w:t>
            </w:r>
          </w:p>
        </w:tc>
        <w:tc>
          <w:tcPr>
            <w:tcW w:w="286" w:type="pct"/>
            <w:shd w:val="clear" w:color="000000" w:fill="FFFFFF"/>
            <w:noWrap/>
            <w:vAlign w:val="bottom"/>
            <w:hideMark/>
          </w:tcPr>
          <w:p w14:paraId="5C71C41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37.9</w:t>
            </w:r>
          </w:p>
        </w:tc>
        <w:tc>
          <w:tcPr>
            <w:tcW w:w="288" w:type="pct"/>
            <w:shd w:val="clear" w:color="auto" w:fill="auto"/>
            <w:noWrap/>
            <w:vAlign w:val="bottom"/>
            <w:hideMark/>
          </w:tcPr>
          <w:p w14:paraId="137C020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7.1</w:t>
            </w:r>
          </w:p>
        </w:tc>
        <w:tc>
          <w:tcPr>
            <w:tcW w:w="293" w:type="pct"/>
            <w:shd w:val="clear" w:color="000000" w:fill="FFFFFF"/>
            <w:noWrap/>
            <w:vAlign w:val="bottom"/>
            <w:hideMark/>
          </w:tcPr>
          <w:p w14:paraId="176629A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31.3</w:t>
            </w:r>
          </w:p>
        </w:tc>
        <w:tc>
          <w:tcPr>
            <w:tcW w:w="175" w:type="pct"/>
            <w:shd w:val="clear" w:color="000000" w:fill="FFFFFF"/>
            <w:noWrap/>
            <w:vAlign w:val="bottom"/>
            <w:hideMark/>
          </w:tcPr>
          <w:p w14:paraId="45578E4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4A820487" w14:textId="77777777" w:rsidTr="00F428DA">
        <w:trPr>
          <w:gridAfter w:val="1"/>
          <w:wAfter w:w="5" w:type="pct"/>
          <w:trHeight w:val="300"/>
        </w:trPr>
        <w:tc>
          <w:tcPr>
            <w:tcW w:w="450" w:type="pct"/>
            <w:shd w:val="clear" w:color="000000" w:fill="FFFFFF"/>
            <w:vAlign w:val="bottom"/>
            <w:hideMark/>
          </w:tcPr>
          <w:p w14:paraId="55C45C21"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218A0153</w:t>
            </w:r>
          </w:p>
        </w:tc>
        <w:tc>
          <w:tcPr>
            <w:tcW w:w="251" w:type="pct"/>
            <w:shd w:val="clear" w:color="000000" w:fill="FFFFFF"/>
            <w:vAlign w:val="bottom"/>
            <w:hideMark/>
          </w:tcPr>
          <w:p w14:paraId="690F3CD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15.0</w:t>
            </w:r>
          </w:p>
        </w:tc>
        <w:tc>
          <w:tcPr>
            <w:tcW w:w="294" w:type="pct"/>
            <w:shd w:val="clear" w:color="000000" w:fill="FFFFFF"/>
            <w:vAlign w:val="bottom"/>
            <w:hideMark/>
          </w:tcPr>
          <w:p w14:paraId="089E290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165.4</w:t>
            </w:r>
          </w:p>
        </w:tc>
        <w:tc>
          <w:tcPr>
            <w:tcW w:w="274" w:type="pct"/>
            <w:shd w:val="clear" w:color="000000" w:fill="FFFFFF"/>
            <w:noWrap/>
            <w:vAlign w:val="bottom"/>
            <w:hideMark/>
          </w:tcPr>
          <w:p w14:paraId="36989D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0.9</w:t>
            </w:r>
          </w:p>
        </w:tc>
        <w:tc>
          <w:tcPr>
            <w:tcW w:w="364" w:type="pct"/>
            <w:shd w:val="clear" w:color="000000" w:fill="FFFFFF"/>
            <w:vAlign w:val="bottom"/>
          </w:tcPr>
          <w:p w14:paraId="17CBF054" w14:textId="1C3EBC8B"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2195</w:t>
            </w:r>
          </w:p>
        </w:tc>
        <w:tc>
          <w:tcPr>
            <w:tcW w:w="376" w:type="pct"/>
            <w:shd w:val="clear" w:color="000000" w:fill="FFFFFF"/>
            <w:vAlign w:val="bottom"/>
            <w:hideMark/>
          </w:tcPr>
          <w:p w14:paraId="05CF8C8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5405.2</w:t>
            </w:r>
          </w:p>
        </w:tc>
        <w:tc>
          <w:tcPr>
            <w:tcW w:w="410" w:type="pct"/>
            <w:shd w:val="clear" w:color="000000" w:fill="FFFFFF"/>
            <w:vAlign w:val="bottom"/>
            <w:hideMark/>
          </w:tcPr>
          <w:p w14:paraId="064DD7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3459.3</w:t>
            </w:r>
          </w:p>
        </w:tc>
        <w:tc>
          <w:tcPr>
            <w:tcW w:w="334" w:type="pct"/>
            <w:shd w:val="clear" w:color="000000" w:fill="FFFFFF"/>
            <w:vAlign w:val="bottom"/>
            <w:hideMark/>
          </w:tcPr>
          <w:p w14:paraId="733E064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1351.3</w:t>
            </w:r>
          </w:p>
        </w:tc>
        <w:tc>
          <w:tcPr>
            <w:tcW w:w="238" w:type="pct"/>
            <w:shd w:val="clear" w:color="000000" w:fill="FFFFFF"/>
            <w:vAlign w:val="bottom"/>
            <w:hideMark/>
          </w:tcPr>
          <w:p w14:paraId="2D846FA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14" w:type="pct"/>
            <w:shd w:val="clear" w:color="000000" w:fill="FFFFFF"/>
            <w:vAlign w:val="bottom"/>
            <w:hideMark/>
          </w:tcPr>
          <w:p w14:paraId="4CBBE54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5F57DAE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07" w:type="pct"/>
            <w:shd w:val="clear" w:color="000000" w:fill="FFFFFF"/>
            <w:noWrap/>
            <w:vAlign w:val="bottom"/>
            <w:hideMark/>
          </w:tcPr>
          <w:p w14:paraId="48762217"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7706B97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13.6</w:t>
            </w:r>
          </w:p>
        </w:tc>
        <w:tc>
          <w:tcPr>
            <w:tcW w:w="286" w:type="pct"/>
            <w:shd w:val="clear" w:color="000000" w:fill="FFFFFF"/>
            <w:noWrap/>
            <w:vAlign w:val="bottom"/>
            <w:hideMark/>
          </w:tcPr>
          <w:p w14:paraId="58055C9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35.3</w:t>
            </w:r>
          </w:p>
        </w:tc>
        <w:tc>
          <w:tcPr>
            <w:tcW w:w="288" w:type="pct"/>
            <w:shd w:val="clear" w:color="auto" w:fill="auto"/>
            <w:noWrap/>
            <w:vAlign w:val="bottom"/>
            <w:hideMark/>
          </w:tcPr>
          <w:p w14:paraId="60BE421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6.7</w:t>
            </w:r>
          </w:p>
        </w:tc>
        <w:tc>
          <w:tcPr>
            <w:tcW w:w="293" w:type="pct"/>
            <w:shd w:val="clear" w:color="000000" w:fill="FFFFFF"/>
            <w:noWrap/>
            <w:vAlign w:val="bottom"/>
            <w:hideMark/>
          </w:tcPr>
          <w:p w14:paraId="7DFAEE8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21.1</w:t>
            </w:r>
          </w:p>
        </w:tc>
        <w:tc>
          <w:tcPr>
            <w:tcW w:w="175" w:type="pct"/>
            <w:shd w:val="clear" w:color="000000" w:fill="FFFFFF"/>
            <w:noWrap/>
            <w:vAlign w:val="bottom"/>
            <w:hideMark/>
          </w:tcPr>
          <w:p w14:paraId="1E9EBB3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5E388E78" w14:textId="77777777" w:rsidTr="00F428DA">
        <w:trPr>
          <w:gridAfter w:val="1"/>
          <w:wAfter w:w="5" w:type="pct"/>
          <w:trHeight w:val="300"/>
        </w:trPr>
        <w:tc>
          <w:tcPr>
            <w:tcW w:w="450" w:type="pct"/>
            <w:shd w:val="clear" w:color="000000" w:fill="FFFFFF"/>
            <w:vAlign w:val="bottom"/>
            <w:hideMark/>
          </w:tcPr>
          <w:p w14:paraId="78F4820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218A0186</w:t>
            </w:r>
          </w:p>
        </w:tc>
        <w:tc>
          <w:tcPr>
            <w:tcW w:w="251" w:type="pct"/>
            <w:shd w:val="clear" w:color="000000" w:fill="FFFFFF"/>
            <w:vAlign w:val="bottom"/>
            <w:hideMark/>
          </w:tcPr>
          <w:p w14:paraId="572E838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24.4</w:t>
            </w:r>
          </w:p>
        </w:tc>
        <w:tc>
          <w:tcPr>
            <w:tcW w:w="294" w:type="pct"/>
            <w:shd w:val="clear" w:color="000000" w:fill="FFFFFF"/>
            <w:vAlign w:val="bottom"/>
            <w:hideMark/>
          </w:tcPr>
          <w:p w14:paraId="2E793C5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175.4</w:t>
            </w:r>
          </w:p>
        </w:tc>
        <w:tc>
          <w:tcPr>
            <w:tcW w:w="274" w:type="pct"/>
            <w:shd w:val="clear" w:color="000000" w:fill="FFFFFF"/>
            <w:noWrap/>
            <w:vAlign w:val="bottom"/>
            <w:hideMark/>
          </w:tcPr>
          <w:p w14:paraId="7C0CD56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w:t>
            </w:r>
          </w:p>
        </w:tc>
        <w:tc>
          <w:tcPr>
            <w:tcW w:w="364" w:type="pct"/>
            <w:shd w:val="clear" w:color="000000" w:fill="FFFFFF"/>
            <w:vAlign w:val="bottom"/>
          </w:tcPr>
          <w:p w14:paraId="1364D885" w14:textId="6399A9F5"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2151</w:t>
            </w:r>
          </w:p>
        </w:tc>
        <w:tc>
          <w:tcPr>
            <w:tcW w:w="376" w:type="pct"/>
            <w:shd w:val="clear" w:color="000000" w:fill="FFFFFF"/>
            <w:vAlign w:val="bottom"/>
            <w:hideMark/>
          </w:tcPr>
          <w:p w14:paraId="1ED32E0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4892.9</w:t>
            </w:r>
          </w:p>
        </w:tc>
        <w:tc>
          <w:tcPr>
            <w:tcW w:w="410" w:type="pct"/>
            <w:shd w:val="clear" w:color="000000" w:fill="FFFFFF"/>
            <w:vAlign w:val="bottom"/>
            <w:hideMark/>
          </w:tcPr>
          <w:p w14:paraId="26996F8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3131.5</w:t>
            </w:r>
          </w:p>
        </w:tc>
        <w:tc>
          <w:tcPr>
            <w:tcW w:w="334" w:type="pct"/>
            <w:shd w:val="clear" w:color="000000" w:fill="FFFFFF"/>
            <w:vAlign w:val="bottom"/>
            <w:hideMark/>
          </w:tcPr>
          <w:p w14:paraId="67575AB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1223.2</w:t>
            </w:r>
          </w:p>
        </w:tc>
        <w:tc>
          <w:tcPr>
            <w:tcW w:w="238" w:type="pct"/>
            <w:shd w:val="clear" w:color="000000" w:fill="FFFFFF"/>
            <w:vAlign w:val="bottom"/>
            <w:hideMark/>
          </w:tcPr>
          <w:p w14:paraId="1D40EB5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14" w:type="pct"/>
            <w:shd w:val="clear" w:color="000000" w:fill="FFFFFF"/>
            <w:vAlign w:val="bottom"/>
            <w:hideMark/>
          </w:tcPr>
          <w:p w14:paraId="5E90300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5C907AA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w:t>
            </w:r>
          </w:p>
        </w:tc>
        <w:tc>
          <w:tcPr>
            <w:tcW w:w="207" w:type="pct"/>
            <w:shd w:val="clear" w:color="000000" w:fill="FFFFFF"/>
            <w:noWrap/>
            <w:vAlign w:val="bottom"/>
            <w:hideMark/>
          </w:tcPr>
          <w:p w14:paraId="2DBF26C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193F514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17.0</w:t>
            </w:r>
          </w:p>
        </w:tc>
        <w:tc>
          <w:tcPr>
            <w:tcW w:w="286" w:type="pct"/>
            <w:shd w:val="clear" w:color="000000" w:fill="FFFFFF"/>
            <w:noWrap/>
            <w:vAlign w:val="bottom"/>
            <w:hideMark/>
          </w:tcPr>
          <w:p w14:paraId="2D1EA28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40.4</w:t>
            </w:r>
          </w:p>
        </w:tc>
        <w:tc>
          <w:tcPr>
            <w:tcW w:w="288" w:type="pct"/>
            <w:shd w:val="clear" w:color="auto" w:fill="auto"/>
            <w:noWrap/>
            <w:vAlign w:val="bottom"/>
            <w:hideMark/>
          </w:tcPr>
          <w:p w14:paraId="0B4D1D2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7.6</w:t>
            </w:r>
          </w:p>
        </w:tc>
        <w:tc>
          <w:tcPr>
            <w:tcW w:w="293" w:type="pct"/>
            <w:shd w:val="clear" w:color="000000" w:fill="FFFFFF"/>
            <w:noWrap/>
            <w:vAlign w:val="bottom"/>
            <w:hideMark/>
          </w:tcPr>
          <w:p w14:paraId="28646FC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19.5</w:t>
            </w:r>
          </w:p>
        </w:tc>
        <w:tc>
          <w:tcPr>
            <w:tcW w:w="175" w:type="pct"/>
            <w:shd w:val="clear" w:color="000000" w:fill="FFFFFF"/>
            <w:noWrap/>
            <w:vAlign w:val="bottom"/>
            <w:hideMark/>
          </w:tcPr>
          <w:p w14:paraId="3020325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3760CCC9" w14:textId="77777777" w:rsidTr="00F428DA">
        <w:trPr>
          <w:gridAfter w:val="1"/>
          <w:wAfter w:w="5" w:type="pct"/>
          <w:trHeight w:val="300"/>
        </w:trPr>
        <w:tc>
          <w:tcPr>
            <w:tcW w:w="450" w:type="pct"/>
            <w:shd w:val="clear" w:color="000000" w:fill="FFFFFF"/>
            <w:vAlign w:val="bottom"/>
            <w:hideMark/>
          </w:tcPr>
          <w:p w14:paraId="3ABE8163"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218A0270</w:t>
            </w:r>
          </w:p>
        </w:tc>
        <w:tc>
          <w:tcPr>
            <w:tcW w:w="251" w:type="pct"/>
            <w:shd w:val="clear" w:color="000000" w:fill="FFFFFF"/>
            <w:vAlign w:val="bottom"/>
            <w:hideMark/>
          </w:tcPr>
          <w:p w14:paraId="39768D1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5.9</w:t>
            </w:r>
          </w:p>
        </w:tc>
        <w:tc>
          <w:tcPr>
            <w:tcW w:w="294" w:type="pct"/>
            <w:shd w:val="clear" w:color="000000" w:fill="FFFFFF"/>
            <w:vAlign w:val="bottom"/>
            <w:hideMark/>
          </w:tcPr>
          <w:p w14:paraId="14100BF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84.9</w:t>
            </w:r>
          </w:p>
        </w:tc>
        <w:tc>
          <w:tcPr>
            <w:tcW w:w="274" w:type="pct"/>
            <w:shd w:val="clear" w:color="000000" w:fill="FFFFFF"/>
            <w:noWrap/>
            <w:vAlign w:val="bottom"/>
            <w:hideMark/>
          </w:tcPr>
          <w:p w14:paraId="46A8D82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364" w:type="pct"/>
            <w:shd w:val="clear" w:color="000000" w:fill="FFFFFF"/>
            <w:vAlign w:val="bottom"/>
          </w:tcPr>
          <w:p w14:paraId="567A2C6F" w14:textId="6D222E51"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1196</w:t>
            </w:r>
          </w:p>
        </w:tc>
        <w:tc>
          <w:tcPr>
            <w:tcW w:w="376" w:type="pct"/>
            <w:shd w:val="clear" w:color="000000" w:fill="FFFFFF"/>
            <w:vAlign w:val="bottom"/>
            <w:hideMark/>
          </w:tcPr>
          <w:p w14:paraId="2807825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6477.7</w:t>
            </w:r>
          </w:p>
        </w:tc>
        <w:tc>
          <w:tcPr>
            <w:tcW w:w="410" w:type="pct"/>
            <w:shd w:val="clear" w:color="000000" w:fill="FFFFFF"/>
            <w:vAlign w:val="bottom"/>
            <w:hideMark/>
          </w:tcPr>
          <w:p w14:paraId="4320A35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4145.8</w:t>
            </w:r>
          </w:p>
        </w:tc>
        <w:tc>
          <w:tcPr>
            <w:tcW w:w="334" w:type="pct"/>
            <w:shd w:val="clear" w:color="000000" w:fill="FFFFFF"/>
            <w:vAlign w:val="bottom"/>
            <w:hideMark/>
          </w:tcPr>
          <w:p w14:paraId="562728F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1619.4</w:t>
            </w:r>
          </w:p>
        </w:tc>
        <w:tc>
          <w:tcPr>
            <w:tcW w:w="238" w:type="pct"/>
            <w:shd w:val="clear" w:color="000000" w:fill="FFFFFF"/>
            <w:vAlign w:val="bottom"/>
            <w:hideMark/>
          </w:tcPr>
          <w:p w14:paraId="375BFFF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14" w:type="pct"/>
            <w:shd w:val="clear" w:color="000000" w:fill="FFFFFF"/>
            <w:vAlign w:val="bottom"/>
            <w:hideMark/>
          </w:tcPr>
          <w:p w14:paraId="5F78B92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3564972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07" w:type="pct"/>
            <w:shd w:val="clear" w:color="000000" w:fill="FFFFFF"/>
            <w:noWrap/>
            <w:vAlign w:val="bottom"/>
            <w:hideMark/>
          </w:tcPr>
          <w:p w14:paraId="6F07F95A"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III</w:t>
            </w:r>
          </w:p>
        </w:tc>
        <w:tc>
          <w:tcPr>
            <w:tcW w:w="255" w:type="pct"/>
            <w:shd w:val="clear" w:color="000000" w:fill="FFFFFF"/>
            <w:noWrap/>
            <w:vAlign w:val="bottom"/>
            <w:hideMark/>
          </w:tcPr>
          <w:p w14:paraId="1FF5DC6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11.0</w:t>
            </w:r>
          </w:p>
        </w:tc>
        <w:tc>
          <w:tcPr>
            <w:tcW w:w="286" w:type="pct"/>
            <w:shd w:val="clear" w:color="000000" w:fill="FFFFFF"/>
            <w:noWrap/>
            <w:vAlign w:val="bottom"/>
            <w:hideMark/>
          </w:tcPr>
          <w:p w14:paraId="3614DB5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25.1</w:t>
            </w:r>
          </w:p>
        </w:tc>
        <w:tc>
          <w:tcPr>
            <w:tcW w:w="288" w:type="pct"/>
            <w:shd w:val="clear" w:color="auto" w:fill="auto"/>
            <w:noWrap/>
            <w:vAlign w:val="bottom"/>
            <w:hideMark/>
          </w:tcPr>
          <w:p w14:paraId="592F91D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4.7</w:t>
            </w:r>
          </w:p>
        </w:tc>
        <w:tc>
          <w:tcPr>
            <w:tcW w:w="293" w:type="pct"/>
            <w:shd w:val="clear" w:color="000000" w:fill="FFFFFF"/>
            <w:noWrap/>
            <w:vAlign w:val="bottom"/>
            <w:hideMark/>
          </w:tcPr>
          <w:p w14:paraId="10FABAE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22.4</w:t>
            </w:r>
          </w:p>
        </w:tc>
        <w:tc>
          <w:tcPr>
            <w:tcW w:w="175" w:type="pct"/>
            <w:shd w:val="clear" w:color="000000" w:fill="FFFFFF"/>
            <w:noWrap/>
            <w:vAlign w:val="bottom"/>
            <w:hideMark/>
          </w:tcPr>
          <w:p w14:paraId="7DE0E29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bl>
    <w:p w14:paraId="179D1B74" w14:textId="77777777" w:rsidR="00D01F0A" w:rsidRPr="00582C89" w:rsidRDefault="00D01F0A" w:rsidP="00D01F0A">
      <w:pPr>
        <w:spacing w:after="0"/>
        <w:rPr>
          <w:rFonts w:ascii="Times New Roman" w:eastAsia="Times New Roman" w:hAnsi="Times New Roman" w:cs="Times New Roman"/>
          <w:noProof/>
          <w:sz w:val="24"/>
          <w:szCs w:val="24"/>
        </w:rPr>
      </w:pPr>
    </w:p>
    <w:p w14:paraId="085903A1" w14:textId="4B1E58C0" w:rsidR="00D2592E" w:rsidRDefault="003E49BB" w:rsidP="00D01F0A">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p w14:paraId="22263051" w14:textId="77777777" w:rsidR="00C2351F" w:rsidRDefault="00C2351F" w:rsidP="00C2351F">
      <w:pPr>
        <w:spacing w:after="0"/>
        <w:ind w:firstLine="720"/>
        <w:jc w:val="both"/>
        <w:rPr>
          <w:rFonts w:ascii="Times New Roman" w:eastAsia="Times New Roman" w:hAnsi="Times New Roman" w:cs="Times New Roman"/>
          <w:sz w:val="24"/>
          <w:szCs w:val="24"/>
        </w:rPr>
      </w:pPr>
      <w:r w:rsidRPr="00C2351F">
        <w:rPr>
          <w:rFonts w:ascii="Times New Roman" w:eastAsia="Times New Roman" w:hAnsi="Times New Roman" w:cs="Times New Roman"/>
          <w:sz w:val="24"/>
          <w:szCs w:val="24"/>
        </w:rPr>
        <w:t xml:space="preserve">There are several approaches to provide ecosystem services information for the green infrastructure in urban areas. However, most of the inventory types approaches, even when based on high resolution imaging, are limited by the temporal resolution which sometime is important for detecting an early onset of ES decline. </w:t>
      </w:r>
      <w:r w:rsidRPr="00100303">
        <w:rPr>
          <w:rFonts w:ascii="Times New Roman" w:eastAsia="Times New Roman" w:hAnsi="Times New Roman" w:cs="Times New Roman"/>
          <w:sz w:val="24"/>
          <w:szCs w:val="24"/>
        </w:rPr>
        <w:t xml:space="preserve">Our results show that </w:t>
      </w:r>
      <w:r>
        <w:rPr>
          <w:rFonts w:ascii="Times New Roman" w:eastAsia="Times New Roman" w:hAnsi="Times New Roman" w:cs="Times New Roman"/>
          <w:sz w:val="24"/>
          <w:szCs w:val="24"/>
        </w:rPr>
        <w:t xml:space="preserve">an IoT tree level network, using individual tree physiology sensing devices, such as TreeTalker, or other similar devices, </w:t>
      </w:r>
      <w:r w:rsidRPr="00100303">
        <w:rPr>
          <w:rFonts w:ascii="Times New Roman" w:eastAsia="Times New Roman" w:hAnsi="Times New Roman" w:cs="Times New Roman"/>
          <w:sz w:val="24"/>
          <w:szCs w:val="24"/>
        </w:rPr>
        <w:t xml:space="preserve">can be used in principle for monitoring </w:t>
      </w:r>
      <w:r>
        <w:rPr>
          <w:rFonts w:ascii="Times New Roman" w:eastAsia="Times New Roman" w:hAnsi="Times New Roman" w:cs="Times New Roman"/>
          <w:sz w:val="24"/>
          <w:szCs w:val="24"/>
        </w:rPr>
        <w:t xml:space="preserve">urban green infrastructure </w:t>
      </w:r>
      <w:r w:rsidRPr="00100303">
        <w:rPr>
          <w:rFonts w:ascii="Times New Roman" w:eastAsia="Times New Roman" w:hAnsi="Times New Roman" w:cs="Times New Roman"/>
          <w:sz w:val="24"/>
          <w:szCs w:val="24"/>
        </w:rPr>
        <w:t>ecosystem services in real time</w:t>
      </w:r>
      <w:r>
        <w:rPr>
          <w:rFonts w:ascii="Times New Roman" w:eastAsia="Times New Roman" w:hAnsi="Times New Roman" w:cs="Times New Roman"/>
          <w:sz w:val="24"/>
          <w:szCs w:val="24"/>
        </w:rPr>
        <w:t xml:space="preserve">. </w:t>
      </w:r>
      <w:r w:rsidRPr="00C2351F">
        <w:rPr>
          <w:rFonts w:ascii="Times New Roman" w:eastAsia="Times New Roman" w:hAnsi="Times New Roman" w:cs="Times New Roman"/>
          <w:sz w:val="24"/>
          <w:szCs w:val="24"/>
        </w:rPr>
        <w:t xml:space="preserve">Furthermore, for some of the ES indicator, such as water and cooling effects, they are most often based on models with indirect derived parameters. </w:t>
      </w:r>
      <w:r>
        <w:rPr>
          <w:rFonts w:ascii="Times New Roman" w:eastAsia="Times New Roman" w:hAnsi="Times New Roman" w:cs="Times New Roman"/>
          <w:sz w:val="24"/>
          <w:szCs w:val="24"/>
        </w:rPr>
        <w:t>T</w:t>
      </w:r>
      <w:r w:rsidRPr="00C2351F">
        <w:rPr>
          <w:rFonts w:ascii="Times New Roman" w:eastAsia="Times New Roman" w:hAnsi="Times New Roman" w:cs="Times New Roman"/>
          <w:sz w:val="24"/>
          <w:szCs w:val="24"/>
        </w:rPr>
        <w:t xml:space="preserve">here are several advantages for increasing the granularity of ES monitoring, since individual trees can be managed with a greater accuracy. The cost of monitoring is therefore critical for IoT expansion in green infrastructure monitoring. In recent years technological development and low cost microprocessors, traditionally used in automation and industry processes (Industry4.0), are creating new opportunities for their expansion in environmental monitoring, that we could define as a Nature4.0 transformation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{"citationID":"U0oam4tt","properties":{"formattedCitation":"(Valentini et al., 2019)","plainCitation":"(Valentini et al., 2019)","noteIndex":0},"citationItems":[{"id":2089,"uris":["http://zotero.org/users/3524663/items/4K7EB497"],"uri":["http://zotero.org/users/3524663/items/4K7EB497"],"itemData":{"id":2089,"type":"article-journal","abstract":"Recently,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C2351F">
        <w:rPr>
          <w:rFonts w:ascii="Times New Roman" w:hAnsi="Times New Roman" w:cs="Times New Roman"/>
          <w:sz w:val="24"/>
        </w:rPr>
        <w:t>(Valentini et al., 2019)</w:t>
      </w:r>
      <w:r>
        <w:rPr>
          <w:rFonts w:ascii="Times New Roman" w:eastAsia="Times New Roman" w:hAnsi="Times New Roman" w:cs="Times New Roman"/>
          <w:sz w:val="24"/>
          <w:szCs w:val="24"/>
        </w:rPr>
        <w:fldChar w:fldCharType="end"/>
      </w:r>
      <w:r w:rsidRPr="00C2351F">
        <w:rPr>
          <w:rFonts w:ascii="Times New Roman" w:eastAsia="Times New Roman" w:hAnsi="Times New Roman" w:cs="Times New Roman"/>
          <w:sz w:val="24"/>
          <w:szCs w:val="24"/>
        </w:rPr>
        <w:t xml:space="preserve">. An average cost of 200-300 Euro per point of measurements (tree), including the LoRa gateway, have been estimated in our experiment. </w:t>
      </w:r>
    </w:p>
    <w:p w14:paraId="2CF819BA" w14:textId="324E6EC6" w:rsidR="00C2351F" w:rsidRPr="00C2351F" w:rsidRDefault="00C2351F" w:rsidP="00C2351F">
      <w:pPr>
        <w:spacing w:after="0"/>
        <w:ind w:firstLine="720"/>
        <w:jc w:val="both"/>
        <w:rPr>
          <w:rFonts w:ascii="Times New Roman" w:eastAsia="Times New Roman" w:hAnsi="Times New Roman" w:cs="Times New Roman"/>
          <w:sz w:val="24"/>
          <w:szCs w:val="24"/>
        </w:rPr>
      </w:pPr>
      <w:r w:rsidRPr="00C2351F">
        <w:rPr>
          <w:rFonts w:ascii="Times New Roman" w:eastAsia="Times New Roman" w:hAnsi="Times New Roman" w:cs="Times New Roman"/>
          <w:sz w:val="24"/>
          <w:szCs w:val="24"/>
        </w:rPr>
        <w:t>However, there are limitations and improvements to be considered in future work. First of all the power consumption of the TreeTalker devices, used in th</w:t>
      </w:r>
      <w:r>
        <w:rPr>
          <w:rFonts w:ascii="Times New Roman" w:eastAsia="Times New Roman" w:hAnsi="Times New Roman" w:cs="Times New Roman"/>
          <w:sz w:val="24"/>
          <w:szCs w:val="24"/>
        </w:rPr>
        <w:t xml:space="preserve">e </w:t>
      </w:r>
      <w:r w:rsidRPr="00C2351F">
        <w:rPr>
          <w:rFonts w:ascii="Times New Roman" w:eastAsia="Times New Roman" w:hAnsi="Times New Roman" w:cs="Times New Roman"/>
          <w:sz w:val="24"/>
          <w:szCs w:val="24"/>
        </w:rPr>
        <w:t xml:space="preserve">current work, is still a big limitation. Batteries need to be replaced every 1-1.5 months which require still quite investment of labor work. </w:t>
      </w:r>
      <w:r>
        <w:rPr>
          <w:rFonts w:ascii="Times New Roman" w:eastAsia="Times New Roman" w:hAnsi="Times New Roman" w:cs="Times New Roman"/>
          <w:sz w:val="24"/>
          <w:szCs w:val="24"/>
        </w:rPr>
        <w:t>N</w:t>
      </w:r>
      <w:r w:rsidRPr="00C2351F">
        <w:rPr>
          <w:rFonts w:ascii="Times New Roman" w:eastAsia="Times New Roman" w:hAnsi="Times New Roman" w:cs="Times New Roman"/>
          <w:sz w:val="24"/>
          <w:szCs w:val="24"/>
        </w:rPr>
        <w:t>ew batteries are being developed with much larger capacity that in principle could extend the battery life duration. In terms of improvement a new IR sensor for remote sensing of</w:t>
      </w:r>
      <w:r>
        <w:rPr>
          <w:rFonts w:ascii="Times New Roman" w:eastAsia="Times New Roman" w:hAnsi="Times New Roman" w:cs="Times New Roman"/>
          <w:sz w:val="24"/>
          <w:szCs w:val="24"/>
        </w:rPr>
        <w:t xml:space="preserve"> canopy temperature could be ver</w:t>
      </w:r>
      <w:r w:rsidRPr="00C2351F">
        <w:rPr>
          <w:rFonts w:ascii="Times New Roman" w:eastAsia="Times New Roman" w:hAnsi="Times New Roman" w:cs="Times New Roman"/>
          <w:sz w:val="24"/>
          <w:szCs w:val="24"/>
        </w:rPr>
        <w:t>y usefu</w:t>
      </w:r>
      <w:r>
        <w:rPr>
          <w:rFonts w:ascii="Times New Roman" w:eastAsia="Times New Roman" w:hAnsi="Times New Roman" w:cs="Times New Roman"/>
          <w:sz w:val="24"/>
          <w:szCs w:val="24"/>
        </w:rPr>
        <w:t>l</w:t>
      </w:r>
      <w:r w:rsidRPr="00C2351F">
        <w:rPr>
          <w:rFonts w:ascii="Times New Roman" w:eastAsia="Times New Roman" w:hAnsi="Times New Roman" w:cs="Times New Roman"/>
          <w:sz w:val="24"/>
          <w:szCs w:val="24"/>
        </w:rPr>
        <w:t xml:space="preserve"> for improving the energ</w:t>
      </w:r>
      <w:r>
        <w:rPr>
          <w:rFonts w:ascii="Times New Roman" w:eastAsia="Times New Roman" w:hAnsi="Times New Roman" w:cs="Times New Roman"/>
          <w:sz w:val="24"/>
          <w:szCs w:val="24"/>
        </w:rPr>
        <w:t>y</w:t>
      </w:r>
      <w:r w:rsidRPr="00C2351F">
        <w:rPr>
          <w:rFonts w:ascii="Times New Roman" w:eastAsia="Times New Roman" w:hAnsi="Times New Roman" w:cs="Times New Roman"/>
          <w:sz w:val="24"/>
          <w:szCs w:val="24"/>
        </w:rPr>
        <w:t xml:space="preserve"> balance esti</w:t>
      </w:r>
      <w:r>
        <w:rPr>
          <w:rFonts w:ascii="Times New Roman" w:eastAsia="Times New Roman" w:hAnsi="Times New Roman" w:cs="Times New Roman"/>
          <w:sz w:val="24"/>
          <w:szCs w:val="24"/>
        </w:rPr>
        <w:t>m</w:t>
      </w:r>
      <w:r w:rsidRPr="00C2351F">
        <w:rPr>
          <w:rFonts w:ascii="Times New Roman" w:eastAsia="Times New Roman" w:hAnsi="Times New Roman" w:cs="Times New Roman"/>
          <w:sz w:val="24"/>
          <w:szCs w:val="24"/>
        </w:rPr>
        <w:t>ation and cooling effects.</w:t>
      </w:r>
      <w:r w:rsidR="00E53664">
        <w:rPr>
          <w:rFonts w:ascii="Times New Roman" w:eastAsia="Times New Roman" w:hAnsi="Times New Roman" w:cs="Times New Roman"/>
          <w:sz w:val="24"/>
          <w:szCs w:val="24"/>
        </w:rPr>
        <w:t xml:space="preserve"> </w:t>
      </w:r>
      <w:r w:rsidR="00E53664" w:rsidRPr="00100303">
        <w:rPr>
          <w:rFonts w:ascii="Times New Roman" w:eastAsia="Times New Roman" w:hAnsi="Times New Roman" w:cs="Times New Roman"/>
          <w:sz w:val="24"/>
          <w:szCs w:val="24"/>
        </w:rPr>
        <w:t xml:space="preserve">In particular, the installation of an anemometer will provide </w:t>
      </w:r>
      <w:r w:rsidR="00E53664">
        <w:rPr>
          <w:rFonts w:ascii="Times New Roman" w:eastAsia="Times New Roman" w:hAnsi="Times New Roman" w:cs="Times New Roman"/>
          <w:sz w:val="24"/>
          <w:szCs w:val="24"/>
        </w:rPr>
        <w:t xml:space="preserve">additional </w:t>
      </w:r>
      <w:r w:rsidR="00E53664" w:rsidRPr="00100303">
        <w:rPr>
          <w:rFonts w:ascii="Times New Roman" w:eastAsia="Times New Roman" w:hAnsi="Times New Roman" w:cs="Times New Roman"/>
          <w:sz w:val="24"/>
          <w:szCs w:val="24"/>
        </w:rPr>
        <w:t>data on wind speed</w:t>
      </w:r>
      <w:r w:rsidRPr="00C2351F">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 xml:space="preserve">in the canopy, which influence much several ecosystem services. </w:t>
      </w:r>
      <w:r w:rsidRPr="00C2351F">
        <w:rPr>
          <w:rFonts w:ascii="Times New Roman" w:eastAsia="Times New Roman" w:hAnsi="Times New Roman" w:cs="Times New Roman"/>
          <w:sz w:val="24"/>
          <w:szCs w:val="24"/>
        </w:rPr>
        <w:t xml:space="preserve">In addition simple PM2.5-10 optical devices can be included in the processor platform to get useful data on air quality using trees as monitor stations. In principle, but further studies need to be conducted, a noise sensor </w:t>
      </w:r>
      <w:r w:rsidR="00E53664">
        <w:rPr>
          <w:rFonts w:ascii="Times New Roman" w:eastAsia="Times New Roman" w:hAnsi="Times New Roman" w:cs="Times New Roman"/>
          <w:sz w:val="24"/>
          <w:szCs w:val="24"/>
        </w:rPr>
        <w:t>and microphone</w:t>
      </w:r>
      <w:r w:rsidR="00E53664" w:rsidRPr="00100303">
        <w:rPr>
          <w:rFonts w:ascii="Times New Roman" w:eastAsia="Times New Roman" w:hAnsi="Times New Roman" w:cs="Times New Roman"/>
          <w:sz w:val="24"/>
          <w:szCs w:val="24"/>
        </w:rPr>
        <w:t xml:space="preserve"> </w:t>
      </w:r>
      <w:r w:rsidRPr="00C2351F">
        <w:rPr>
          <w:rFonts w:ascii="Times New Roman" w:eastAsia="Times New Roman" w:hAnsi="Times New Roman" w:cs="Times New Roman"/>
          <w:sz w:val="24"/>
          <w:szCs w:val="24"/>
        </w:rPr>
        <w:t xml:space="preserve">could </w:t>
      </w:r>
      <w:r>
        <w:rPr>
          <w:rFonts w:ascii="Times New Roman" w:eastAsia="Times New Roman" w:hAnsi="Times New Roman" w:cs="Times New Roman"/>
          <w:sz w:val="24"/>
          <w:szCs w:val="24"/>
        </w:rPr>
        <w:t>also be included with the aim t</w:t>
      </w:r>
      <w:r w:rsidRPr="00C2351F">
        <w:rPr>
          <w:rFonts w:ascii="Times New Roman" w:eastAsia="Times New Roman" w:hAnsi="Times New Roman" w:cs="Times New Roman"/>
          <w:sz w:val="24"/>
          <w:szCs w:val="24"/>
        </w:rPr>
        <w:t xml:space="preserve">o provide useful information on the </w:t>
      </w:r>
      <w:r w:rsidR="00E53664">
        <w:rPr>
          <w:rFonts w:ascii="Times New Roman" w:eastAsia="Times New Roman" w:hAnsi="Times New Roman" w:cs="Times New Roman"/>
          <w:sz w:val="24"/>
          <w:szCs w:val="24"/>
        </w:rPr>
        <w:t xml:space="preserve">noise pollution and </w:t>
      </w:r>
      <w:r w:rsidRPr="00C2351F">
        <w:rPr>
          <w:rFonts w:ascii="Times New Roman" w:eastAsia="Times New Roman" w:hAnsi="Times New Roman" w:cs="Times New Roman"/>
          <w:sz w:val="24"/>
          <w:szCs w:val="24"/>
        </w:rPr>
        <w:t>“soundscape”</w:t>
      </w:r>
      <w:r w:rsidR="00E53664">
        <w:rPr>
          <w:rFonts w:ascii="Times New Roman" w:eastAsia="Times New Roman" w:hAnsi="Times New Roman" w:cs="Times New Roman"/>
          <w:sz w:val="24"/>
          <w:szCs w:val="24"/>
        </w:rPr>
        <w:t xml:space="preserve"> quality</w:t>
      </w:r>
      <w:r w:rsidRPr="00C2351F">
        <w:rPr>
          <w:rFonts w:ascii="Times New Roman" w:eastAsia="Times New Roman" w:hAnsi="Times New Roman" w:cs="Times New Roman"/>
          <w:sz w:val="24"/>
          <w:szCs w:val="24"/>
        </w:rPr>
        <w:t xml:space="preserve"> generated by trees in parks</w:t>
      </w:r>
      <w:r w:rsidR="00E53664" w:rsidRP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{"citationID":"qGpSI3w4","properties":{"formattedCitation":"(Doser et al., 2020; Mydlarz et al., 2019)","plainCitation":"(Doser et al., 2020; Mydlarz et al., 2019)","noteIndex":0},"citationItems":[{"id":1731,"uris":["http://zotero.org/users/3524663/items/7PDDXYKD"],"uri":["http://zotero.org/users/3524663/items/7PDDXYKD"],"itemData":{"id":1731,"type":"article-journal","abstract":"Noise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(Doser et al., 2020; Mydlarz et al., 2019)</w:t>
      </w:r>
      <w:r w:rsidR="00E53664">
        <w:rPr>
          <w:rFonts w:ascii="Times New Roman" w:eastAsia="Times New Roman" w:hAnsi="Times New Roman" w:cs="Times New Roman"/>
          <w:sz w:val="24"/>
          <w:szCs w:val="24"/>
        </w:rPr>
        <w:fldChar w:fldCharType="end"/>
      </w:r>
      <w:r w:rsidR="00E53664">
        <w:rPr>
          <w:rFonts w:ascii="Times New Roman" w:eastAsia="Times New Roman" w:hAnsi="Times New Roman" w:cs="Times New Roman"/>
          <w:sz w:val="24"/>
          <w:szCs w:val="24"/>
        </w:rPr>
        <w:t xml:space="preserve"> </w:t>
      </w:r>
      <w:r w:rsidR="00E53664" w:rsidRPr="00100303">
        <w:rPr>
          <w:rFonts w:ascii="Times New Roman" w:eastAsia="Times New Roman" w:hAnsi="Times New Roman" w:cs="Times New Roman"/>
          <w:sz w:val="24"/>
          <w:szCs w:val="24"/>
        </w:rPr>
        <w:t xml:space="preserve">and </w:t>
      </w:r>
      <w:r w:rsidR="00E53664">
        <w:rPr>
          <w:rFonts w:ascii="Times New Roman" w:eastAsia="Times New Roman" w:hAnsi="Times New Roman" w:cs="Times New Roman"/>
          <w:sz w:val="24"/>
          <w:szCs w:val="24"/>
        </w:rPr>
        <w:t xml:space="preserve">also to evaluate associated </w:t>
      </w:r>
      <w:r w:rsidR="00E53664" w:rsidRPr="00100303">
        <w:rPr>
          <w:rFonts w:ascii="Times New Roman" w:eastAsia="Times New Roman" w:hAnsi="Times New Roman" w:cs="Times New Roman"/>
          <w:sz w:val="24"/>
          <w:szCs w:val="24"/>
        </w:rPr>
        <w:t xml:space="preserve">biodiversity </w:t>
      </w:r>
      <w:r w:rsidR="00E53664">
        <w:rPr>
          <w:rFonts w:ascii="Times New Roman" w:eastAsia="Times New Roman" w:hAnsi="Times New Roman" w:cs="Times New Roman"/>
          <w:sz w:val="24"/>
          <w:szCs w:val="24"/>
        </w:rPr>
        <w:t xml:space="preserve">with the help of </w:t>
      </w:r>
      <w:r w:rsidR="00E53664" w:rsidRPr="00100303">
        <w:rPr>
          <w:rFonts w:ascii="Times New Roman" w:eastAsia="Times New Roman" w:hAnsi="Times New Roman" w:cs="Times New Roman"/>
          <w:sz w:val="24"/>
          <w:szCs w:val="24"/>
        </w:rPr>
        <w:t>recorded</w:t>
      </w:r>
      <w:r w:rsidR="00E53664">
        <w:rPr>
          <w:rFonts w:ascii="Times New Roman" w:eastAsia="Times New Roman" w:hAnsi="Times New Roman" w:cs="Times New Roman"/>
          <w:sz w:val="24"/>
          <w:szCs w:val="24"/>
        </w:rPr>
        <w:t xml:space="preserve"> bird songs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(Farina et al., 2014; Margaritis et al., 2018)</w:t>
      </w:r>
      <w:r w:rsidR="00E5366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53664" w:rsidRP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Nevertheless</w:t>
      </w:r>
      <w:r w:rsidR="00E53664" w:rsidRPr="00100303">
        <w:rPr>
          <w:rFonts w:ascii="Times New Roman" w:eastAsia="Times New Roman" w:hAnsi="Times New Roman" w:cs="Times New Roman"/>
          <w:sz w:val="24"/>
          <w:szCs w:val="24"/>
        </w:rPr>
        <w:t xml:space="preserve">, the technical development of sensors </w:t>
      </w:r>
      <w:r w:rsidR="00E53664">
        <w:rPr>
          <w:rFonts w:ascii="Times New Roman" w:eastAsia="Times New Roman" w:hAnsi="Times New Roman" w:cs="Times New Roman"/>
          <w:sz w:val="24"/>
          <w:szCs w:val="24"/>
        </w:rPr>
        <w:t xml:space="preserve">along with people engagement to citizen science </w:t>
      </w:r>
      <w:r w:rsidR="00E53664" w:rsidRPr="00100303">
        <w:rPr>
          <w:rFonts w:ascii="Times New Roman" w:eastAsia="Times New Roman" w:hAnsi="Times New Roman" w:cs="Times New Roman"/>
          <w:sz w:val="24"/>
          <w:szCs w:val="24"/>
        </w:rPr>
        <w:t>will be inevitable</w:t>
      </w:r>
      <w:r w:rsid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{"citationID":"tIJv5ckd","properties":{"formattedCitation":"(Bauer et al., 2019; Nitoslawski et al., 2019; Schr\\uc0\\u246{}ter et al., 2017)","plainCitation":"(Bauer et al., 2019; Nitoslawski et al., 2019; Schröter et al., 2017)","noteIndex":0},"citationItems":[{"id":2148,"uris":["http://zotero.org/users/3524663/items/B4MCUQ8J"],"uri":["http://zotero.org/users/3524663/items/B4MCUQ8J"],"itemData":{"id":2148,"type":"article-journal","abstract":"A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schema":"https://github.com/citation-style-language/schema/raw/master/csl-citation.json"} </w:instrText>
      </w:r>
      <w:r w:rsidR="00E53664">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szCs w:val="24"/>
        </w:rPr>
        <w:t>(Bauer et al., 2019; Nitoslawski et al., 2019; Schröter et al., 2017)</w:t>
      </w:r>
      <w:r w:rsidR="00E53664">
        <w:rPr>
          <w:rFonts w:ascii="Times New Roman" w:eastAsia="Times New Roman" w:hAnsi="Times New Roman" w:cs="Times New Roman"/>
          <w:sz w:val="24"/>
          <w:szCs w:val="24"/>
        </w:rPr>
        <w:fldChar w:fldCharType="end"/>
      </w:r>
      <w:r w:rsidR="00E53664" w:rsidRPr="00100303">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 xml:space="preserve">thus </w:t>
      </w:r>
      <w:r w:rsidR="00E53664"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(Cortinovis and Geneletti, 2019)</w:t>
      </w:r>
      <w:r w:rsidR="00E53664">
        <w:rPr>
          <w:rFonts w:ascii="Times New Roman" w:eastAsia="Times New Roman" w:hAnsi="Times New Roman" w:cs="Times New Roman"/>
          <w:sz w:val="24"/>
          <w:szCs w:val="24"/>
        </w:rPr>
        <w:fldChar w:fldCharType="end"/>
      </w:r>
      <w:r w:rsidR="00E53664" w:rsidRPr="00100303">
        <w:rPr>
          <w:rFonts w:ascii="Times New Roman" w:eastAsia="Times New Roman" w:hAnsi="Times New Roman" w:cs="Times New Roman"/>
          <w:sz w:val="24"/>
          <w:szCs w:val="24"/>
        </w:rPr>
        <w:t>.</w:t>
      </w:r>
    </w:p>
    <w:p w14:paraId="44FFB948" w14:textId="77777777" w:rsidR="00C2351F" w:rsidRPr="00C2351F" w:rsidRDefault="00C2351F" w:rsidP="00C2351F">
      <w:pPr>
        <w:spacing w:after="0"/>
        <w:ind w:firstLine="720"/>
        <w:jc w:val="both"/>
        <w:rPr>
          <w:rFonts w:ascii="Times New Roman" w:eastAsia="Times New Roman" w:hAnsi="Times New Roman" w:cs="Times New Roman"/>
          <w:sz w:val="24"/>
          <w:szCs w:val="24"/>
        </w:rPr>
      </w:pPr>
    </w:p>
    <w:p w14:paraId="28E7F67F" w14:textId="045C29A8"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w:t>
      </w:r>
      <w:r w:rsidR="00E53664">
        <w:rPr>
          <w:rFonts w:ascii="Times New Roman" w:eastAsia="Times New Roman" w:hAnsi="Times New Roman" w:cs="Times New Roman"/>
          <w:sz w:val="24"/>
          <w:szCs w:val="24"/>
        </w:rPr>
        <w:t>“</w:t>
      </w:r>
      <w:r w:rsidRPr="00306544">
        <w:rPr>
          <w:rFonts w:ascii="Times New Roman" w:eastAsia="Times New Roman" w:hAnsi="Times New Roman" w:cs="Times New Roman"/>
          <w:sz w:val="24"/>
          <w:szCs w:val="24"/>
        </w:rPr>
        <w:t>as is</w:t>
      </w:r>
      <w:r w:rsidR="00E53664">
        <w:rPr>
          <w:rFonts w:ascii="Times New Roman" w:eastAsia="Times New Roman" w:hAnsi="Times New Roman" w:cs="Times New Roman"/>
          <w:sz w:val="24"/>
          <w:szCs w:val="24"/>
        </w:rPr>
        <w:t>”</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14876992" w14:textId="77777777" w:rsidR="005F7742" w:rsidRDefault="005F7742" w:rsidP="00D12ABE">
      <w:pPr>
        <w:spacing w:after="0"/>
        <w:rPr>
          <w:rFonts w:ascii="Times New Roman" w:eastAsia="Times New Roman" w:hAnsi="Times New Roman" w:cs="Times New Roman"/>
          <w:b/>
          <w:sz w:val="24"/>
          <w:szCs w:val="24"/>
        </w:rPr>
      </w:pPr>
    </w:p>
    <w:p w14:paraId="341476A3" w14:textId="0CEA1F02" w:rsidR="0098571D" w:rsidRPr="00E51C1E" w:rsidRDefault="0098571D" w:rsidP="0098571D">
      <w:pPr>
        <w:pStyle w:val="MDPI62Acknowledgments"/>
      </w:pPr>
      <w:commentRangeStart w:id="15"/>
      <w:r>
        <w:rPr>
          <w:b/>
        </w:rPr>
        <w:t xml:space="preserve">Author Contributions: </w:t>
      </w:r>
      <w:r w:rsidRPr="00E51C1E">
        <w:t xml:space="preserve">Conceptualization, </w:t>
      </w:r>
      <w:r>
        <w:t>R</w:t>
      </w:r>
      <w:r w:rsidRPr="00E51C1E">
        <w:t>.</w:t>
      </w:r>
      <w:r>
        <w:t>V</w:t>
      </w:r>
      <w:r w:rsidRPr="00E51C1E">
        <w:t xml:space="preserve">. and </w:t>
      </w:r>
      <w:r>
        <w:t>V</w:t>
      </w:r>
      <w:r w:rsidRPr="00E51C1E">
        <w:t>.</w:t>
      </w:r>
      <w:r>
        <w:t>M</w:t>
      </w:r>
      <w:r w:rsidRPr="00E51C1E">
        <w:t xml:space="preserve">.; methodology, </w:t>
      </w:r>
      <w:r>
        <w:t>X</w:t>
      </w:r>
      <w:r w:rsidRPr="00E51C1E">
        <w:t>.</w:t>
      </w:r>
      <w:r>
        <w:t>X</w:t>
      </w:r>
      <w:r w:rsidRPr="00E51C1E">
        <w:t xml:space="preserve">.; software, </w:t>
      </w:r>
      <w:r w:rsidR="0025620A">
        <w:t>A</w:t>
      </w:r>
      <w:r w:rsidRPr="00E51C1E">
        <w:t>.</w:t>
      </w:r>
      <w:r w:rsidR="0025620A">
        <w:t>Y</w:t>
      </w:r>
      <w:r w:rsidRPr="00E51C1E">
        <w:t>.</w:t>
      </w:r>
      <w:r>
        <w:t xml:space="preserve"> and </w:t>
      </w:r>
      <w:r w:rsidR="0025620A">
        <w:t>L</w:t>
      </w:r>
      <w:r>
        <w:t>.</w:t>
      </w:r>
      <w:r w:rsidR="0025620A">
        <w:t>B</w:t>
      </w:r>
      <w:r>
        <w:t>.</w:t>
      </w:r>
      <w:r w:rsidRPr="00E51C1E">
        <w:t xml:space="preserve">; validation, X.X., Y.Y. and Z.Z.; formal analysis, </w:t>
      </w:r>
      <w:r w:rsidR="0025620A">
        <w:t>X</w:t>
      </w:r>
      <w:r w:rsidRPr="00E51C1E">
        <w:t>.</w:t>
      </w:r>
      <w:r w:rsidR="0025620A">
        <w:t>X</w:t>
      </w:r>
      <w:r w:rsidRPr="00E51C1E">
        <w:t xml:space="preserve">.; investigation, X.X.; resources, </w:t>
      </w:r>
      <w:r w:rsidR="0025620A">
        <w:t>X</w:t>
      </w:r>
      <w:r w:rsidRPr="00E51C1E">
        <w:t>.</w:t>
      </w:r>
      <w:r w:rsidR="0025620A">
        <w:t>X</w:t>
      </w:r>
      <w:r w:rsidRPr="00E51C1E">
        <w:t>.</w:t>
      </w:r>
      <w:r>
        <w:t xml:space="preserve">, </w:t>
      </w:r>
      <w:r w:rsidR="0025620A">
        <w:t>Y</w:t>
      </w:r>
      <w:r>
        <w:t>.</w:t>
      </w:r>
      <w:r w:rsidR="0025620A">
        <w:t>Y</w:t>
      </w:r>
      <w:r>
        <w:t xml:space="preserve">. and </w:t>
      </w:r>
      <w:r w:rsidR="0025620A">
        <w:t>Z</w:t>
      </w:r>
      <w:r>
        <w:t>.</w:t>
      </w:r>
      <w:r w:rsidR="0025620A">
        <w:t>Z</w:t>
      </w:r>
      <w:r>
        <w:t>.</w:t>
      </w:r>
      <w:r w:rsidRPr="00E51C1E">
        <w:t xml:space="preserve">; data curation, </w:t>
      </w:r>
      <w:r w:rsidR="0025620A">
        <w:t>A</w:t>
      </w:r>
      <w:r w:rsidRPr="00E51C1E">
        <w:t>.</w:t>
      </w:r>
      <w:r>
        <w:t>Y</w:t>
      </w:r>
      <w:r w:rsidRPr="00E51C1E">
        <w:t xml:space="preserve">.; writing—original draft preparation, </w:t>
      </w:r>
      <w:r>
        <w:t>V</w:t>
      </w:r>
      <w:r w:rsidRPr="00E51C1E">
        <w:t>.</w:t>
      </w:r>
      <w:r>
        <w:t>M</w:t>
      </w:r>
      <w:r w:rsidRPr="00E51C1E">
        <w:t xml:space="preserve">.; writing—review and editing, </w:t>
      </w:r>
      <w:r>
        <w:t>R</w:t>
      </w:r>
      <w:r w:rsidRPr="00E51C1E">
        <w:t>.</w:t>
      </w:r>
      <w:r>
        <w:t>V</w:t>
      </w:r>
      <w:r w:rsidRPr="00E51C1E">
        <w:t>.</w:t>
      </w:r>
      <w:r>
        <w:t xml:space="preserve"> and S.C.</w:t>
      </w:r>
      <w:r w:rsidRPr="00E51C1E">
        <w:t xml:space="preserve">; visualization, </w:t>
      </w:r>
      <w:r>
        <w:t>A</w:t>
      </w:r>
      <w:r w:rsidRPr="00E51C1E">
        <w:t>.</w:t>
      </w:r>
      <w:r>
        <w:t>Y</w:t>
      </w:r>
      <w:r w:rsidRPr="00E51C1E">
        <w:t xml:space="preserve">.; supervision, </w:t>
      </w:r>
      <w:r>
        <w:t>R</w:t>
      </w:r>
      <w:r w:rsidRPr="00E51C1E">
        <w:t>.</w:t>
      </w:r>
      <w:r>
        <w:t>V</w:t>
      </w:r>
      <w:r w:rsidRPr="00E51C1E">
        <w:t xml:space="preserve">.; project administration, </w:t>
      </w:r>
      <w:r>
        <w:t>V</w:t>
      </w:r>
      <w:r w:rsidRPr="00E51C1E">
        <w:t>.</w:t>
      </w:r>
      <w:r>
        <w:t>V</w:t>
      </w:r>
      <w:r w:rsidRPr="00E51C1E">
        <w:t>.; funding acquisition, Y.Y.</w:t>
      </w:r>
      <w:r>
        <w:t xml:space="preserve"> All authors have read and agreed to the published version of the manuscript.</w:t>
      </w:r>
      <w:commentRangeEnd w:id="15"/>
      <w:r w:rsidR="0025620A">
        <w:rPr>
          <w:rStyle w:val="a7"/>
          <w:rFonts w:ascii="Calibri" w:eastAsia="Calibri" w:hAnsi="Calibri" w:cs="Calibri"/>
          <w:snapToGrid/>
          <w:color w:val="auto"/>
          <w:lang w:eastAsia="ru-RU" w:bidi="ar-SA"/>
        </w:rPr>
        <w:commentReference w:id="15"/>
      </w:r>
    </w:p>
    <w:p w14:paraId="72FB7716" w14:textId="77777777" w:rsidR="0098571D" w:rsidRDefault="0098571D" w:rsidP="00D12ABE">
      <w:pPr>
        <w:spacing w:after="0"/>
        <w:rPr>
          <w:rFonts w:ascii="Times New Roman" w:eastAsia="Times New Roman" w:hAnsi="Times New Roman" w:cs="Times New Roman"/>
          <w:b/>
          <w:sz w:val="24"/>
          <w:szCs w:val="24"/>
        </w:rPr>
      </w:pPr>
    </w:p>
    <w:p w14:paraId="49130562" w14:textId="43FFE87D" w:rsidR="0098571D" w:rsidRPr="003C7A2C" w:rsidRDefault="0098571D" w:rsidP="0098571D">
      <w:pPr>
        <w:pStyle w:val="MDPI62Acknowledgments"/>
      </w:pPr>
      <w:r>
        <w:rPr>
          <w:b/>
        </w:rPr>
        <w:t xml:space="preserve">Funding: </w:t>
      </w:r>
      <w:r w:rsidRPr="0098571D">
        <w:t>Monitoring and modeling ecosystem services of urban trees was supported by Russian Scientific Foundation Project # 19-77-300-12. Data processing and analysis was supported by “RUDN University program 5‐100.”</w:t>
      </w:r>
    </w:p>
    <w:p w14:paraId="027D9C62" w14:textId="77777777" w:rsidR="0098571D" w:rsidRDefault="0098571D" w:rsidP="00D12ABE">
      <w:pPr>
        <w:spacing w:after="0"/>
        <w:rPr>
          <w:rFonts w:ascii="Times New Roman" w:eastAsia="Times New Roman" w:hAnsi="Times New Roman" w:cs="Times New Roman"/>
          <w:b/>
          <w:sz w:val="24"/>
          <w:szCs w:val="24"/>
        </w:rPr>
      </w:pPr>
    </w:p>
    <w:p w14:paraId="6F0117D6" w14:textId="77777777" w:rsidR="0098571D" w:rsidRPr="008E4E3A" w:rsidRDefault="0098571D" w:rsidP="0098571D">
      <w:pPr>
        <w:pStyle w:val="MDPI62Acknowledgments"/>
      </w:pPr>
      <w:r>
        <w:rPr>
          <w:b/>
        </w:rPr>
        <w:t>Acknowledgments:</w:t>
      </w:r>
      <w:r w:rsidRPr="008E4E3A">
        <w:t xml:space="preserve"> In this section you can acknowledge any support given which is not covered by the author contribution or funding sections. This may include administrative and technical support, or donations in kind (e.g.</w:t>
      </w:r>
      <w:r>
        <w:t>,</w:t>
      </w:r>
      <w:r w:rsidRPr="008E4E3A">
        <w:t xml:space="preserve"> materials used for experiments).</w:t>
      </w:r>
    </w:p>
    <w:p w14:paraId="17FC6514" w14:textId="4C618709" w:rsidR="0098571D" w:rsidRPr="009E46F1" w:rsidRDefault="0098571D" w:rsidP="0098571D">
      <w:pPr>
        <w:pStyle w:val="MDPI64CoI"/>
      </w:pPr>
      <w:r w:rsidRPr="009E46F1">
        <w:rPr>
          <w:b/>
        </w:rPr>
        <w:t>Conflicts of Interest:</w:t>
      </w:r>
      <w:r w:rsidRPr="009E46F1">
        <w:t xml:space="preserve"> The authors declare no conflict of interest.</w:t>
      </w:r>
    </w:p>
    <w:p w14:paraId="2B8B4BD5" w14:textId="77777777" w:rsidR="00B529AE" w:rsidRPr="00B529AE" w:rsidRDefault="00B529AE" w:rsidP="00B529AE">
      <w:pPr>
        <w:spacing w:after="0"/>
        <w:ind w:firstLine="720"/>
        <w:jc w:val="both"/>
        <w:rPr>
          <w:rFonts w:ascii="Times New Roman" w:eastAsia="Times New Roman" w:hAnsi="Times New Roman" w:cs="Times New Roman"/>
          <w:sz w:val="24"/>
          <w:szCs w:val="24"/>
        </w:rPr>
      </w:pPr>
    </w:p>
    <w:p w14:paraId="29E9CEA5" w14:textId="1ED34F06" w:rsidR="00321759" w:rsidRDefault="00B529AE"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56879">
        <w:rPr>
          <w:rFonts w:ascii="Times New Roman" w:eastAsia="Times New Roman" w:hAnsi="Times New Roman" w:cs="Times New Roman"/>
          <w:b/>
          <w:sz w:val="24"/>
          <w:szCs w:val="24"/>
        </w:rPr>
        <w:t>. Literature</w:t>
      </w:r>
    </w:p>
    <w:p w14:paraId="383BDDEE" w14:textId="77777777" w:rsidR="0021405F" w:rsidRDefault="0021405F" w:rsidP="00D12ABE">
      <w:pPr>
        <w:spacing w:after="0"/>
        <w:rPr>
          <w:rFonts w:ascii="Times New Roman" w:eastAsia="Times New Roman" w:hAnsi="Times New Roman" w:cs="Times New Roman"/>
          <w:b/>
          <w:sz w:val="24"/>
          <w:szCs w:val="24"/>
        </w:rPr>
      </w:pPr>
    </w:p>
    <w:p w14:paraId="0863FB27" w14:textId="77777777" w:rsidR="0021405F" w:rsidRPr="0021405F" w:rsidRDefault="0021405F" w:rsidP="0021405F">
      <w:pPr>
        <w:pStyle w:val="af0"/>
        <w:numPr>
          <w:ilvl w:val="0"/>
          <w:numId w:val="6"/>
        </w:numPr>
        <w:rPr>
          <w:rFonts w:ascii="Times New Roman" w:hAnsi="Times New Roman" w:cs="Times New Roman"/>
          <w:sz w:val="24"/>
        </w:rPr>
      </w:pPr>
      <w:r>
        <w:rPr>
          <w:rFonts w:eastAsia="Times New Roman"/>
          <w:b/>
        </w:rPr>
        <w:fldChar w:fldCharType="begin"/>
      </w:r>
      <w:r>
        <w:rPr>
          <w:rFonts w:eastAsia="Times New Roman"/>
          <w:b/>
        </w:rPr>
        <w:instrText xml:space="preserve"> ADDIN ZOTERO_BIBL {"uncited":[],"omitted":[],"custom":[]} CSL_BIBLIOGRAPHY </w:instrText>
      </w:r>
      <w:r>
        <w:rPr>
          <w:rFonts w:eastAsia="Times New Roman"/>
          <w:b/>
        </w:rPr>
        <w:fldChar w:fldCharType="separate"/>
      </w:r>
      <w:r w:rsidRPr="0021405F">
        <w:rPr>
          <w:rFonts w:ascii="Times New Roman" w:hAnsi="Times New Roman" w:cs="Times New Roman"/>
          <w:sz w:val="24"/>
        </w:rPr>
        <w:t>Aalders, I., Stanik, N., 2019. Spatial units and scales for cultural ecosystem services: a comparison illustrated by cultural heritage and entertainment services in Scotland. Landsc. Ecol. 34, 1635–1651. https://doi.org/10.1007/s10980-019-00827-6</w:t>
      </w:r>
    </w:p>
    <w:p w14:paraId="7EA6AD4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Albino, V., Berardi, U., Dangelico, R.M., 2015. Smart Cities: Definitions, Dimensions, Performance, and Initiatives. J. Urban Technol. 22, 3–21. https://doi.org/10.1080/10630732.2014.942092</w:t>
      </w:r>
    </w:p>
    <w:p w14:paraId="5B5374A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Alonzo, M., Bookhagen, B., Roberts, D.A., 2014. Urban tree species mapping using hyperspectral and lidar data fusion. Remote Sens. Environ. 148, 70–83. https://doi.org/10.1016/j.rse.2014.03.018</w:t>
      </w:r>
    </w:p>
    <w:p w14:paraId="2BAE48E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Andersson, E., Barthel, S., Borgström, S., Colding, J., Elmqvist, T., Folke, C., Gren, Å., 2014. Reconnecting Cities to the Biosphere: Stewardship of Green Infrastructure and Urban Ecosystem Services. AMBIO 43, 445–453. https://doi.org/10.1007/s13280-014-0506-y</w:t>
      </w:r>
    </w:p>
    <w:p w14:paraId="582F04B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Andersson-Sköld, Y., Klingberg, J., Gunnarsson, B., Cullinane, K., Gustafsson, I., Hedblom, M., Knez, I., Lindberg, F., Ode Sang, Å., Pleijel, H., Thorsson, P., Thorsson, S., 2018. A framework for assessing urban greenery’s effects and valuing its ecosystem services. J. Environ. Manage. 205, 274–285. https://doi.org/10.1016/j.jenvman.2017.09.071</w:t>
      </w:r>
    </w:p>
    <w:p w14:paraId="1ED552B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Andrea, F., Bini, C., Amaducci, S., 2018. Soil and ecosystem services: Current knowledge and evidences from Italian case studies. Appl. Soil Ecol. 123, 693–698. https://doi.org/10.1016/j.apsoil.2017.06.031</w:t>
      </w:r>
    </w:p>
    <w:p w14:paraId="78D3666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Augustaitis, A., Augustaitienė, I., Baugarten, M., Bičenkienė, S., Girgždienė, R., Kulbokas, G., Linkevičius, E., Marozas, V., Mikalajūnas, M., Mordas, G., Mozgeris, G., Petrauskas, E., Pivoras, A., Šidlauskas, G., Ulevičius, V., Vitas, A., Matyssek, R., 2018. Tree-ring formation as an indicator of forest capacity to adapt to the main threats of environmental changes in Lithuania. Sci. Total Environ. 615, 1247–1261. https://doi.org/10.1016/j.scitotenv.2017.09.169</w:t>
      </w:r>
    </w:p>
    <w:p w14:paraId="610CB6D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Augustaitis, A., Augustaitiene, I., Mozgeris, G., Juknys, R., Vitas, A., Jasinevičiene, D., 2015. Growth patterns of Scots pine (Pinus sylvestris L.) under the current regional pollution load in Lithuania. IForest - Biogeosciences For. 8, 509–516. https://doi.org/10.3832/ifor1267-007</w:t>
      </w:r>
    </w:p>
    <w:p w14:paraId="3FD02BB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Bauer, J., Jarmer, T., Schittenhelm, S., Siegmann, B., Aschenbruck, N., 2019. Processing and filtering of leaf area index time series assessed by in-situ wireless sensor networks. Comput. Electron. Agric. 165, 104867. https://doi.org/10.1016/j.compag.2019.104867</w:t>
      </w:r>
    </w:p>
    <w:p w14:paraId="3029760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Bettencourt, L.M.A., Lobo, J., Helbing, D., Kuhnert, C., West, G.B., 2007. Growth, innovation, scaling, and the pace of life in cities. Proc. Natl. Acad. Sci. 104, 7301–7306. https://doi.org/10.1073/pnas.0610172104</w:t>
      </w:r>
    </w:p>
    <w:p w14:paraId="41A2AC8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Blanusa, T., Garratt, M., Cathcart-James, M., Hunt, L., Cameron, R.W.F., 2019. Urban hedges: A review of plant species and cultivars for ecosystem service delivery in north-west Europe. Urban For. Urban Green. 44, 126391. https://doi.org/10.1016/j.ufug.2019.126391</w:t>
      </w:r>
    </w:p>
    <w:p w14:paraId="18C0E4A0"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Bodnaruk, E.W., Kroll, C.N., Yang, Y., Hirabayashi, S., Nowak, D.J., Endreny, T.A., 2017. Where to plant urban trees? A spatially explicit methodology to explore ecosystem service tradeoffs. Landsc. Urban Plan. 157, 457–467. https://doi.org/10.1016/j.landurbplan.2016.08.016</w:t>
      </w:r>
    </w:p>
    <w:p w14:paraId="3B0F891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Bolund, P., Hunhammar, S., 1999. Ecosystem services in urban areas. Ecol. Econ. 29, 293–301. https://doi.org/10.1016/S0921-8009(99)00013-0</w:t>
      </w:r>
    </w:p>
    <w:p w14:paraId="5E0B35A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Bottalico, F., Chirici, G., Giannetti, F., De Marco, A., Nocentini, S., Paoletti, E., Salbitano, F., Sanesi, G., Serenelli, C., Travaglini, D., 2016. Air Pollution Removal by Green Infrastructures and Urban Forests in the City of Florence. Agric. Agric. Sci. Procedia 8, 243–251. https://doi.org/10.1016/j.aaspro.2016.02.099</w:t>
      </w:r>
    </w:p>
    <w:p w14:paraId="6F175DD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Bremer, M., Wichmann, V., Rutzinger, M., 2017. Calibration and Validation of a Detailed Architectural Canopy Model Reconstruction for the Simulation of Synthetic Hemispherical Images and Airborne LiDAR Data. Remote Sens. 9, 220. https://doi.org/10.3390/rs9030220</w:t>
      </w:r>
    </w:p>
    <w:p w14:paraId="6E7867E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Buccolieri, R., Santiago, J.-L., Rivas, E., Sáanchez, B., 2019. Reprint of: Review on urban tree modelling in CFD simulations: Aerodynamic, deposition and thermal effects. Urban For. Urban Green. 37, 56–64. https://doi.org/10.1016/j.ufug.2018.07.004</w:t>
      </w:r>
    </w:p>
    <w:p w14:paraId="1C36345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Burkhard, B., Maes, J., Potschin-Young, M., Santos-Martín, F., Geneletti, D., Stoev, P., Kopperoinen, L., Adamescu, C., Adem Esmail, B., Arany, I., Arnell, A., Balzan, M., Barton, D.N., van Beukering, P., Bicking, S., Borges, P., Borisova, B., Braat, L., M Brander, L., Bratanova-Doncheva, S., Broekx, S., Brown, C., Cazacu, C., Crossman, N., Czúcz, B., Daněk, J., Groot, R. de, Depellegrin, D., Dimopoulos, P., Elvinger, N., Erhard, M., Fagerholm, N., Frélichová, J., Grêt-Regamey, A., Grudova, M., Haines-Young, R., Inghe, O., Kallay, T., Kirin, T., Klug, H., Kokkoris, I., Konovska, I., Kruse, M., Kuzmova, I., Lange, M., Liekens, I., Lotan, A., Lowicki, D., Luque, S., Marta-Pedroso, C., Mizgajski, A., Mononen, L., Mulder, S., Müller, F., Nedkov, S., Nikolova, M., Östergård, H., Penev, L., Pereira, P., Pitkänen, K., Plieninger, T., Rabe, S.-E., Reichel, S., Roche, P., Rusch, G., Ruskule, A., Sapundzhieva, A., Sepp, K., Sieber, I., Šmid Hribar, M., Stašová, S., Steinhoff-Knopp, B., Stępniewska, M., Teller, A., Vackar, D., van Weelden, M., Veidemane, K., Vejre, H., Vihervaara, P., Viinikka, A., Villoslada, M., Weibel, B., Zulian, G., 2018. Mapping and assessing ecosystem services in the EU - Lessons learned from the ESMERALDA approach of integration. One Ecosyst. 3. https://doi.org/10.3897/oneeco.3.e29153</w:t>
      </w:r>
    </w:p>
    <w:p w14:paraId="66822B4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Chen, X., Zhao, P., Hu, Y., Ouyang, L., Zhu, L., Ni, G., 2019. Canopy transpiration and its cooling effect of three urban tree species in a subtropical city- Guangzhou, China. Urban For. Urban Green. 43, 126368. https://doi.org/10.1016/j.ufug.2019.126368</w:t>
      </w:r>
    </w:p>
    <w:p w14:paraId="2AC3BF9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Cortinovis, C., Geneletti, D., 2019. A framework to explore the effects of urban planning decisions on regulating ecosystem services in cities. Ecosyst. Serv. 38, 100946. https://doi.org/10.1016/j.ecoser.2019.100946</w:t>
      </w:r>
    </w:p>
    <w:p w14:paraId="329A4B3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Czúcz, B., Arany, I., Potschin-Young, M., Bereczki, K., Kertész, M., Kiss, M., Aszalós, R., Haines-Young, R., 2018. Where concepts meet the real world: A systematic review of ecosystem service indicators and their classification using CICES. Ecosyst. Serv. 29, 145–157. https://doi.org/10.1016/j.ecoser.2017.11.018</w:t>
      </w:r>
    </w:p>
    <w:p w14:paraId="64454A4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Do, F.C., Puangjumpa, N., Rocheteau, A., Duthoit, M., Nhean, S., Isarangkool Na Ayutthaya, S., 2018. Towards reduced heating duration in the transient thermal dissipation system of sap flow measurements. Acta Hortic. 149–154. https://doi.org/10.17660/ActaHortic.2018.1222.31</w:t>
      </w:r>
    </w:p>
    <w:p w14:paraId="513EC3C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Doser, J.W., Finley, A.O., Kasten, E.P., Gage, S.H., 2020. Assessing soundscape disturbance through hierarchical models and acoustic indices: A case study on a shelterwood logged northern Michigan forest. Ecol. Indic. 113, 106244. https://doi.org/10.1016/j.ecolind.2020.106244</w:t>
      </w:r>
    </w:p>
    <w:p w14:paraId="6FE9A88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Drobnik, T., Greiner, L., Keller, A., Grêt-Regamey, A., 2018. Soil quality indicators – From soil functions to ecosystem services. Ecol. Indic. 94, 151–169. https://doi.org/10.1016/j.ecolind.2018.06.052</w:t>
      </w:r>
    </w:p>
    <w:p w14:paraId="71F2E07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Dye, C., 2008. Health and Urban Living. Science 319, 766. https://doi.org/10.1126/science.1150198</w:t>
      </w:r>
    </w:p>
    <w:p w14:paraId="0D9B041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Elliott, S., 2016. The potential for automating assisted natural regeneration of tropical forest ecosystems. Biotropica 48, 825–833. https://doi.org/10.1111/btp.12387</w:t>
      </w:r>
    </w:p>
    <w:p w14:paraId="0EF8906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Farina, A., James, P., Bobryk, C., Pieretti, N., Lattanzi, E., McWilliam, J., 2014. Low cost (audio) recording (LCR) for advancing soundscape ecology towards the conservation of sonic complexity and biodiversity in natural and urban landscapes. Urban Ecosyst. 17, 923–944. https://doi.org/10.1007/s11252-014-0365-0</w:t>
      </w:r>
    </w:p>
    <w:p w14:paraId="70C8225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Frumkin, H., 2003. Healthy Places: Exploring the Evidence. Am. J. Public Health 93, 1451–1456. https://doi.org/10.2105/AJPH.93.9.1451</w:t>
      </w:r>
    </w:p>
    <w:p w14:paraId="4B27F7CF" w14:textId="77777777" w:rsidR="00951AE6"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Gómez-Baggethun, E., Barton, D.N., 2013. Classifying and valuing ecosystem services for urban planning. Ecol. Econ. 86, 235–245. https://doi.org/10.1016/j.ecolecon.2012.08.019</w:t>
      </w:r>
    </w:p>
    <w:p w14:paraId="309B8CF1" w14:textId="2CA49889" w:rsidR="00951AE6" w:rsidRPr="00951AE6" w:rsidRDefault="00951AE6" w:rsidP="00434CC3">
      <w:pPr>
        <w:pStyle w:val="af0"/>
        <w:numPr>
          <w:ilvl w:val="0"/>
          <w:numId w:val="6"/>
        </w:numPr>
      </w:pPr>
      <w:r w:rsidRPr="00951AE6">
        <w:rPr>
          <w:rFonts w:ascii="Times New Roman" w:hAnsi="Times New Roman" w:cs="Times New Roman"/>
          <w:sz w:val="24"/>
        </w:rPr>
        <w:t>Granier A D1985] Une nouvelle methode pour la mesure du flux de seve brute dans le tronc des arbres. Ann SciFor 42:81–88, In French</w:t>
      </w:r>
      <w:r w:rsidRPr="00951AE6">
        <w:rPr>
          <w:rFonts w:ascii="Times New Roman" w:hAnsi="Times New Roman" w:cs="Times New Roman"/>
          <w:sz w:val="24"/>
        </w:rPr>
        <w:t xml:space="preserve"> </w:t>
      </w:r>
    </w:p>
    <w:p w14:paraId="0953C81B" w14:textId="1AFD7E5F" w:rsidR="00E47A25" w:rsidRPr="00E47A25" w:rsidRDefault="0021405F" w:rsidP="00627C33">
      <w:pPr>
        <w:pStyle w:val="af0"/>
        <w:numPr>
          <w:ilvl w:val="0"/>
          <w:numId w:val="6"/>
        </w:numPr>
      </w:pPr>
      <w:r w:rsidRPr="00951AE6">
        <w:rPr>
          <w:rFonts w:ascii="Times New Roman" w:hAnsi="Times New Roman" w:cs="Times New Roman"/>
          <w:sz w:val="24"/>
        </w:rPr>
        <w:t>Gratani, L., Varone, L., 2006. Carbon sequestration by Quercus ilex L. and Quercus pubescens Willd. and their contribution to decreasing air temperature in Rome. Urban Ecosyst. 9, 27–37. https://doi.org/10.1007/s11252-006-5527-2</w:t>
      </w:r>
    </w:p>
    <w:p w14:paraId="392777F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Grimm, N.B., Faeth, S.H., Golubiewski, N.E., Redman, C.L., Wu, J., Bai, X., Briggs, J.M., 2008. Global Change and the Ecology of Cities. Science 319, 756. https://doi.org/10.1126/science.1150195</w:t>
      </w:r>
    </w:p>
    <w:p w14:paraId="3A3246E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Guo, Z., Zhang, L., Li, Y., 2010. Increased Dependence of Humans on Ecosystem Services and Biodiversity. PLoS ONE 5, e13113. https://doi.org/10.1371/journal.pone.0013113</w:t>
      </w:r>
    </w:p>
    <w:p w14:paraId="35D5E92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Haaren, C. von, Lovett, A.A., Albert, C., 2019. Landscape planning with ecosystem services: theories and methods for application in Europe.</w:t>
      </w:r>
    </w:p>
    <w:p w14:paraId="6A5F291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Haase, D., Larondelle, N., Andersson, E., Artmann, M., Borgström, S., Breuste, J., Gomez-Baggethun, E., Gren, Å., Hamstead, Z., Hansen, R., Kabisch, N., Kremer, P., Langemeyer, J., Rall, E.L., McPhearson, T., Pauleit, S., Qureshi, S., Schwarz, N., Voigt, A., Wurster, D., Elmqvist, T., 2014. A Quantitative Review of Urban Ecosystem Service Assessments: Concepts, Models, and Implementation. AMBIO 43, 413–433. https://doi.org/10.1007/s13280-014-0504-0</w:t>
      </w:r>
    </w:p>
    <w:p w14:paraId="5FB8CEC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Hefny Salim, M., Heinke Schlünzen, K., Grawe, D., 2015. Including trees in the numerical simulations of the wind flow in urban areas: Should we care? J. Wind Eng. Ind. Aerodyn. 144, 84–95. https://doi.org/10.1016/j.jweia.2015.05.004</w:t>
      </w:r>
    </w:p>
    <w:p w14:paraId="4FE12CD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Hirabayashi, S., Kroll, C.N., Nowak, D.J., 2012. i-Tree Eco Dry Deposition Model Descriptions 36.</w:t>
      </w:r>
    </w:p>
    <w:p w14:paraId="0C82F73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Kang, G., Kim, J.-J., Choi, W., 2020. Computational fluid dynamics simulation of tree effects on pedestrian wind comfort in an urban area. Sustain. Cities Soc. 56, 102086. https://doi.org/10.1016/j.scs.2020.102086</w:t>
      </w:r>
    </w:p>
    <w:p w14:paraId="17521BF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Kitchin, R., 2014. The real-time city? Big data and smart urbanism. GeoJournal 79, 1–14. https://doi.org/10.1007/s10708-013-9516-8</w:t>
      </w:r>
    </w:p>
    <w:p w14:paraId="4408CF8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Klingberg, J., Konarska, J., Lindberg, F., Johansson, L., Thorsson, S., 2017. Mapping leaf area of urban greenery using aerial LiDAR and ground-based measurements in Gothenburg, Sweden. Urban For. Urban Green. 26, 31–40. https://doi.org/10.1016/j.ufug.2017.05.011</w:t>
      </w:r>
    </w:p>
    <w:p w14:paraId="210DD88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Krausmann, F., Lauk, C., Haas, W., Wiedenhofer, D., 2018. From resource extraction to outflows of wastes and emissions: The socioeconomic metabolism of the global economy, 1900–2015. Glob. Environ. Change 52, 131–140. https://doi.org/10.1016/j.gloenvcha.2018.07.003</w:t>
      </w:r>
    </w:p>
    <w:p w14:paraId="2B38FAF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Krayenhoff, E.S., Jiang, T., Christen, A., Martilli, A., Oke, T.R., Bailey, B.N., Nazarian, N., Voogt, J.A., Giometto, M.G., Stastny, A., Crawford, B.R., 2020. A multi-layer urban canopy meteorological model with trees (BEP-Tree): Street tree impacts on pedestrian-level climate. Urban Clim. 32, 100590. https://doi.org/10.1016/j.uclim.2020.100590</w:t>
      </w:r>
    </w:p>
    <w:p w14:paraId="44002DC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Kremer, P., Hamstead, Z.A., McPhearson, T., 2016. The value of urban ecosystem services in New York City: A spatially explicit multicriteria analysis of landscape scale valuation scenarios. Environ. Sci. Policy 62, 57–68. https://doi.org/10.1016/j.envsci.2016.04.012</w:t>
      </w:r>
    </w:p>
    <w:p w14:paraId="55E9A5B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La Rosa, D., Spyra, M., Inostroza, L., 2016. Indicators of Cultural Ecosystem Services for urban planning: A review. Ecol. Indic. 61, 74–89. https://doi.org/10.1016/j.ecolind.2015.04.028</w:t>
      </w:r>
    </w:p>
    <w:p w14:paraId="7F86C5E0"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Lederbogen, F., Kirsch, P., Haddad, L., Streit, F., Tost, H., Schuch, P., Wüst, S., Pruessner, J.C., Rietschel, M., Deuschle, M., Meyer-Lindenberg, A., 2011. City living and urban upbringing affect neural social stress processing in humans. Nature 474, 498–501. https://doi.org/10.1038/nature10190</w:t>
      </w:r>
    </w:p>
    <w:p w14:paraId="70621A4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Lee, K.H., Ehsani, R., Castle, W.S., 2010. A laser scanning system for estimating wind velocity reduction through tree windbreaks. Comput. Electron. Agric. 73, 1–6. https://doi.org/10.1016/j.compag.2010.03.007</w:t>
      </w:r>
    </w:p>
    <w:p w14:paraId="7E9647C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Lilly, P.J., Jenkins, J.C., Carroll, M.J., 2015. Management alters C allocation in turfgrass lawns. Landsc. Urban Plan. 134, 119–126. https://doi.org/10.1016/j.landurbplan.2014.10.011</w:t>
      </w:r>
    </w:p>
    <w:p w14:paraId="664D0D4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Lin, J., Kroll, C.N., Nowak, D.J., Greenfield, E.J., 2019. A review of urban forest modeling: Implications for management and future research. Urban For. Urban Green. 43, 126366. https://doi.org/10.1016/j.ufug.2019.126366</w:t>
      </w:r>
    </w:p>
    <w:p w14:paraId="3503A1E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Lindén, L., Riikonen, A., Setälä, H., Yli-Pelkonen, V., 2020. Quantifying carbon stocks in urban parks under cold climate conditions. Urban For. Urban Green. 49, 126633. https://doi.org/10.1016/j.ufug.2020.126633</w:t>
      </w:r>
    </w:p>
    <w:p w14:paraId="6767FD5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Lovell, S.T., Taylor, J.R., 2013. Supplying urban ecosystem services through multifunctional green infrastructure in the United States. Landsc. Ecol. 28, 1447–1463. https://doi.org/10.1007/s10980-013-9912-y</w:t>
      </w:r>
    </w:p>
    <w:p w14:paraId="1B6E5F80"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Luederitz, C., Brink, E., Gralla, F., Hermelingmeier, V., Meyer, M., Niven, L., Panzer, L., Partelow, S., Rau, A.-L., Sasaki, R., Abson, D.J., Lang, D.J., Wamsler, C., von Wehrden, H., 2015. A review of urban ecosystem services: six key challenges for future research. Ecosyst. Serv. 14, 98–112. https://doi.org/10.1016/j.ecoser.2015.05.001</w:t>
      </w:r>
    </w:p>
    <w:p w14:paraId="74527F1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Marando, F., Salvatori, E., Sebastiani, A., Fusaro, L., Manes, F., 2019. Regulating Ecosystem Services and Green Infrastructure: assessment of Urban Heat Island effect mitigation in the municipality of Rome, Italy. Ecol. Model. 392, 92–102. https://doi.org/10.1016/j.ecolmodel.2018.11.011</w:t>
      </w:r>
    </w:p>
    <w:p w14:paraId="1BE3CF5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Margaritis, E., Kang, J., Filipan, K., Botteldooren, D., 2018. The influence of vegetation and surrounding traffic noise parameters on the sound environment of urban parks. Appl. Geogr. 94, 199–212. https://doi.org/10.1016/j.apgeog.2018.02.017</w:t>
      </w:r>
    </w:p>
    <w:p w14:paraId="0D96C31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Martens, M.J.M., Michelsen, A., 1981. Absorption of acoustic energy by plant leaves. J. Acoust. Soc. Am. 69, 303–306. https://doi.org/10.1121/1.385313</w:t>
      </w:r>
    </w:p>
    <w:p w14:paraId="6BC6BB1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Mascarenhas, A., Ramos, T.B., Haase, D., Santos, R., 2016. Participatory selection of ecosystem services for spatial planning: Insights from the Lisbon Metropolitan Area, Portugal. Ecosyst. Serv. 18, 87–99. https://doi.org/10.1016/j.ecoser.2016.02.011</w:t>
      </w:r>
    </w:p>
    <w:p w14:paraId="42055A7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Mesas-Carrascosa, F.J., Verdú Santano, D., Meroño, J.E., Sánchez de la Orden, M., García-Ferrer, A., 2015. Open source hardware to monitor environmental parameters in precision agriculture. Biosyst. Eng. 137, 73–83. https://doi.org/10.1016/j.biosystemseng.2015.07.005</w:t>
      </w:r>
    </w:p>
    <w:p w14:paraId="626C8F1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Mexia, T., Vieira, J., Príncipe, A., Anjos, A., Silva, P., Lopes, N., Freitas, C., Santos-Reis, M., Correia, O., Branquinho, C., Pinho, P., 2018. Ecosystem services: Urban parks under a magnifying glass. Environ. Res. 160, 469–478. https://doi.org/10.1016/j.envres.2017.10.023</w:t>
      </w:r>
    </w:p>
    <w:p w14:paraId="79B9B1C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Moghbel, M., Erfanian Salim, R., 2017. Environmental benefits of green roofs on microclimate of Tehran with specific focus on air temperature, humidity and CO 2 content. Urban Clim. 20, 46–58. https://doi.org/10.1016/j.uclim.2017.02.012</w:t>
      </w:r>
    </w:p>
    <w:p w14:paraId="63E706D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Morakinyo, T.E., Ouyang, W., Lau, K.K.-L., Ren, C., Ng, E., 2020. Right tree, right place (urban canyon): Tree species selection approach for optimum urban heat mitigation - development and evaluation. Sci. Total Environ. 719, 137461. https://doi.org/10.1016/j.scitotenv.2020.137461</w:t>
      </w:r>
    </w:p>
    <w:p w14:paraId="30FF8D8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Moser, A., Rötzer, T., Pauleit, S., Pretzsch, H., 2015. Structure and ecosystem services of small-leaved lime (Tilia cordata Mill.) and black locust (Robinia pseudoacacia L.) in urban environments. Urban For. Urban Green. 14, 1110–1121. https://doi.org/10.1016/j.ufug.2015.10.005</w:t>
      </w:r>
    </w:p>
    <w:p w14:paraId="56E538D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Muhammad, S., Wuyts, K., Samson, R., 2019. Atmospheric net particle accumulation on 96 plant species with contrasting morphological and anatomical leaf characteristics in a common garden experiment. Atmos. Environ. 202, 328–344. https://doi.org/10.1016/j.atmosenv.2019.01.015</w:t>
      </w:r>
    </w:p>
    <w:p w14:paraId="32C1ED1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Müller, F., Burkhard, B., 2012. The indicator side of ecosystem services. Ecosyst. Serv. 1, 26–30. https://doi.org/10.1016/j.ecoser.2012.06.001</w:t>
      </w:r>
    </w:p>
    <w:p w14:paraId="54B2520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Mydlarz, C., Sharma, M., Lockerman, Y., Steers, B., Silva, C., Bello, J., 2019. The Life of a New York City Noise Sensor Network. Sensors 19, 1415. https://doi.org/10.3390/s19061415</w:t>
      </w:r>
    </w:p>
    <w:p w14:paraId="5802480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Neinavaz, E., Skidmore, A.K., Darvishzadeh, R., Groen, T.A., 2016. Retrieval of leaf area index in different plant species using thermal hyperspectral data. ISPRS J. Photogramm. Remote Sens. 119, 390–401. https://doi.org/10.1016/j.isprsjprs.2016.07.001</w:t>
      </w:r>
    </w:p>
    <w:p w14:paraId="6A926B8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Nitoslawski, S.A., Galle, N.J., Van Den Bosch, C.K., Steenberg, J.W.N., 2019. Smarter ecosystems for smarter cities? A review of trends, technologies, and turning points for smart urban forestry. Sustain. Cities Soc. 51, 101770. https://doi.org/10.1016/j.scs.2019.101770</w:t>
      </w:r>
    </w:p>
    <w:p w14:paraId="0E339686"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Njue, N., Stenfert Kroese, J., Gräf, J., Jacobs, S.R., Weeser, B., Breuer, L., Rufino, M.C., 2019. Citizen science in hydrological monitoring and ecosystem services management: State of the art and future prospects. Sci. Total Environ. 693, 133531. https://doi.org/10.1016/j.scitotenv.2019.07.337</w:t>
      </w:r>
    </w:p>
    <w:p w14:paraId="6C2257E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Norton, L., Greene, S., Scholefield, P., Dunbar, M., 2016. The importance of scale in the development of ecosystem service indicators? Ecol. Indic. 61, 130–140. https://doi.org/10.1016/j.ecolind.2015.08.051</w:t>
      </w:r>
    </w:p>
    <w:p w14:paraId="7C937F8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Nowak, D.J., Crane, D.E., 2002. Carbon storage and sequestration by urban trees in the USA. Environ. Pollut. 116, 381–389. https://doi.org/10.1016/S0269-7491(01)00214-7</w:t>
      </w:r>
    </w:p>
    <w:p w14:paraId="4191327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Nowak, D.J., Crane, D.E., Stevens, J.C., 2006. Air pollution removal by urban trees and shrubs in the United States. Urban For. Urban Green. 4, 115–123. https://doi.org/10.1016/j.ufug.2006.01.007</w:t>
      </w:r>
    </w:p>
    <w:p w14:paraId="7A48FA6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Nowak, D.J., Hirabayashi, S., Doyle, M., McGovern, M., Pasher, J., 2018. Air pollution removal by urban forests in Canada and its effect on air quality and human health. Urban For. Urban Green. 29, 40–48. https://doi.org/10.1016/j.ufug.2017.10.019</w:t>
      </w:r>
    </w:p>
    <w:p w14:paraId="5CBA599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Opdam, P., Luque, S., Nassauer, J., Verburg, P.H., Wu, J., 2018. How can landscape ecology contribute to sustainability science? Landsc. Ecol. 33, 1–7. https://doi.org/10.1007/s10980-018-0610-7</w:t>
      </w:r>
    </w:p>
    <w:p w14:paraId="740AF2F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Pereira, F.L., Gash, J.H.C., David, J.S., Valente, F., 2009. Evaporation of intercepted rainfall from isolated evergreen oak trees: Do the crowns behave as wet bulbs? Agric. For. Meteorol. 149, 667–679. https://doi.org/10.1016/j.agrformet.2008.10.013</w:t>
      </w:r>
    </w:p>
    <w:p w14:paraId="63176E5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Puzachenko, Y., Sandlersky, R., Sankovski, A., 2013. Methods of Evaluating Thermodynamic Properties of Landscape Cover Using Multispectral Reflected Radiation Measurements by the Landsat Satellite. Entropy 15, 3970–3982. https://doi.org/10.3390/e15093970</w:t>
      </w:r>
    </w:p>
    <w:p w14:paraId="14F077B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Puzachenko, Yu.G., Sandlersky, R.B., Krenke, A.N., Puzachenko, Yu.M., 2014. Multispectral remote information in forest research. Contemp. Probl. Ecol. 7, 838–854. https://doi.org/10.1134/S1995425514070087</w:t>
      </w:r>
    </w:p>
    <w:p w14:paraId="682E64B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R Core Team, 2014. R: A language and environment for statistical computing. R Foundation for Statistical Computing, Vienna, Austria.</w:t>
      </w:r>
    </w:p>
    <w:p w14:paraId="56DB0FF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Rahman, M.A., Stratopoulos, L.M.F., Moser-Reischl, A., Zölch, T., Häberle, K.-H., Rötzer, T., Pretzsch, H., Pauleit, S., 2020. Traits of trees for cooling urban heat islands: A meta-analysis. Build. Environ. 170, 106606. https://doi.org/10.1016/j.buildenv.2019.106606</w:t>
      </w:r>
    </w:p>
    <w:p w14:paraId="2D00026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Rötzer, T., Rahman, M.A., Moser-Reischl, A., Pauleit, S., Pretzsch, H., 2019. Process based simulation of tree growth and ecosystem services of urban trees under present and future climate conditions. Sci. Total Environ. 676, 651–664. https://doi.org/10.1016/j.scitotenv.2019.04.235</w:t>
      </w:r>
    </w:p>
    <w:p w14:paraId="7469A99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Sæbø, A., Popek, R., Nawrot, B., Hanslin, H.M., Gawronska, H., Gawronski, S.W., 2012. Plant species differences in particulate matter accumulation on leaf surfaces. Sci. Total Environ. 427–428, 347–354. https://doi.org/10.1016/j.scitotenv.2012.03.084</w:t>
      </w:r>
    </w:p>
    <w:p w14:paraId="149C2D8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Schepaschenko, D., Moltchanova, E., Shvidenko, A., Blyshchyk, V., Dmitriev, E., Martynenko, O., See, L., Kraxner, F., 2018. Improved Estimates of Biomass Expansion Factors for Russian Forests. Forests 9, 312. https://doi.org/10.3390/f9060312</w:t>
      </w:r>
    </w:p>
    <w:p w14:paraId="468C1AF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Schröter, M., Kraemer, R., Mantel, M., Kabisch, N., Hecker, S., Richter, A., Neumeier, V., Bonn, A., 2017. Citizen science for assessing ecosystem services: Status, challenges and opportunities. Ecosyst. Serv. 28, 80–94. https://doi.org/10.1016/j.ecoser.2017.09.017</w:t>
      </w:r>
    </w:p>
    <w:p w14:paraId="07F35E0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Schwilch, G., Lemann, T., Berglund, Ö., Camarotto, C., Cerdà, A., Daliakopoulos, I., Kohnová, S., Krzeminska, D., Marañón, T., Rietra, R., Siebielec, G., Thorsson, J., Tibbett, M., Valente, S., van Delden, H., van den Akker, J., Verzandvoort, S., Vrînceanu, N., Zoumides, C., Hessel, R., 2018. Assessing Impacts of Soil Management Measures on Ecosystem Services. Sustainability 10, 4416. https://doi.org/10.3390/su10124416</w:t>
      </w:r>
    </w:p>
    <w:p w14:paraId="1E6B2CC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Selmi, W., Weber, C., Rivière, E., Blond, N., Mehdi, L., Nowak, D., 2016. Air pollution removal by trees in public green spaces in Strasbourg city, France. Urban For. Urban Green. 17, 192–201. https://doi.org/10.1016/j.ufug.2016.04.010</w:t>
      </w:r>
    </w:p>
    <w:p w14:paraId="10A0A56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Seto, K.C., Guneralp, B., Hutyra, L.R., 2012. Global forecasts of urban expansion to 2030 and direct impacts on biodiversity and carbon pools. Proc. Natl. Acad. Sci. 109, 16083–16088. https://doi.org/10.1073/pnas.1211658109</w:t>
      </w:r>
    </w:p>
    <w:p w14:paraId="7DF6509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Smets, V., Wirion, C., Bauwens, W., Hermy, M., Somers, B., Verbeiren, B., 2019. The importance of city trees for reducing net rainfall: comparing measurements and simulations. Hydrol. Earth Syst. Sci. 23, 3865–3884. https://doi.org/10.5194/hess-23-3865-2019</w:t>
      </w:r>
    </w:p>
    <w:p w14:paraId="6D7E611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Song, X.P., Tan, P.Y., Edwards, P., Richards, D., 2018. The economic benefits and costs of trees in urban forest stewardship: A systematic review. Urban For. Urban Green. 29, 162–170. https://doi.org/10.1016/j.ufug.2017.11.017</w:t>
      </w:r>
    </w:p>
    <w:p w14:paraId="2460481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Speak, A., Escobedo, F.J., Russo, A., Zerbe, S., 2018. An ecosystem service-disservice ratio: Using composite indicators to assess the net benefits of urban trees. Ecol. Indic. 95, 544–553. https://doi.org/10.1016/j.ecolind.2018.07.048</w:t>
      </w:r>
    </w:p>
    <w:p w14:paraId="1CBB4B6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Spyra, M., Kleemann, J., Cetin, N.I., Vázquez Navarrete, C.J., Albert, C., Palacios-Agundez, I., Ametzaga-Arregi, I., La Rosa, D., Rozas-Vásquez, D., Adem Esmail, B., Picchi, P., Geneletti, D., König, H.J., Koo, H., Kopperoinen, L., Fürst, C., 2019. The ecosystem services concept: a new Esperanto to facilitate participatory planning processes? Landsc. Ecol. 34, 1715–1735. https://doi.org/10.1007/s10980-018-0745-6</w:t>
      </w:r>
    </w:p>
    <w:p w14:paraId="5848006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Taheriazad, L., Moghadas, H., Sanchez-Azofeifa, A., 2019. Calculation of leaf area index in a Canadian boreal forest using adaptive voxelization and terrestrial LiDAR. Int. J. Appl. Earth Obs. Geoinformation 83, 101923. https://doi.org/10.1016/j.jag.2019.101923</w:t>
      </w:r>
    </w:p>
    <w:p w14:paraId="5D44A81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Teixeira, F.Z., Bachi, L., Blanco, J., Zimmermann, I., Welle, I., Carvalho-Ribeiro, S.M., 2019. Perceived ecosystem services (ES) and ecosystem disservices (EDS) from trees: insights from three case studies in Brazil and France. Landsc. Ecol. 34, 1583–1600. https://doi.org/10.1007/s10980-019-00778-y</w:t>
      </w:r>
    </w:p>
    <w:p w14:paraId="2DF256E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Tonyaloğlu, E.E., 2020. Spatiotemporal dynamics of urban ecosystem services in Turkey: The case of Bornova, Izmir. Urban For. Urban Green. 49, 126631. https://doi.org/10.1016/j.ufug.2020.126631</w:t>
      </w:r>
    </w:p>
    <w:p w14:paraId="44FD7546"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UNEP (Ed.), 2010. Mainstreaming the economics of nature: a synthesis of the approach, conclusions and recommendations of teeb, The economics of ecosystems &amp; biodiversity. UNEP, Geneva.</w:t>
      </w:r>
    </w:p>
    <w:p w14:paraId="4A88DA9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Urban, J., Rubtsov, A.V., Urban, A.V., Shashkin, A.V., Benkova, V.E., 2019. Canopy transpiration of a Larix sibirica and Pinus sylvestris forest in Central Siberia. Agric. For. Meteorol. 271, 64–72. https://doi.org/10.1016/j.agrformet.2019.02.038</w:t>
      </w:r>
    </w:p>
    <w:p w14:paraId="7F36BCB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Valente, F., Gash, J.H., Nóbrega, C., David, J.S., Pereira, F.L., 2020. Modelling rainfall interception by an olive-grove/pasture system with a sparse tree canopy. J. Hydrol. 581, 124417. https://doi.org/10.1016/j.jhydrol.2019.124417</w:t>
      </w:r>
    </w:p>
    <w:p w14:paraId="71F31EA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Valentini, R., Belelli Marchesini, L., Gianelle, D., Sala, G., Yarovslavtsev, A., Vasenev, V., Castaldi, S., 2019. New tree monitoring systems: from Industry 4.0 to Nature 4.0. Ann. Silvic. Res. 43. https://doi.org/10.12899/asr-1847</w:t>
      </w:r>
    </w:p>
    <w:p w14:paraId="16EC133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Oudenhoven, A.P.E., Petz, K., Alkemade, R., Hein, L., de Groot, R.S., 2012. Framework for systematic indicator selection to assess effects of land management on ecosystem services. Ecol. Indic. 21, 110–122. https://doi.org/10.1016/j.ecolind.2012.01.012</w:t>
      </w:r>
    </w:p>
    <w:p w14:paraId="79AAB68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Oudenhoven, A.P.E., Schröter, M., Drakou, E.G., Geijzendorffer, I.R., Jacobs, S., van Bodegom, P.M., Chazee, L., Czúcz, B., Grunewald, K., Lillebø, A.I., Mononen, L., Nogueira, A.J.A., Pacheco-Romero, M., Perennou, C., Remme, R.P., Rova, S., Syrbe, R.-U., Tratalos, J.A., Vallejos, M., Albert, C., 2018. Key criteria for developing ecosystem service indicators to inform decision making. Ecol. Indic. 95, 417–426. https://doi.org/10.1016/j.ecolind.2018.06.020</w:t>
      </w:r>
    </w:p>
    <w:p w14:paraId="2529D2D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Reeth, W., 2013. Ecosystem Service Indicators, in: Ecosystem Services. Elsevier, pp. 41–61. https://doi.org/10.1016/B978-0-12-419964-4.00004-4</w:t>
      </w:r>
    </w:p>
    <w:p w14:paraId="508AE5A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Renterghem, T., 2014. Guidelines for optimizing road traffic noise shielding by non-deep tree belts. Ecol. Eng. 69, 276–286. https://doi.org/10.1016/j.ecoleng.2014.04.029</w:t>
      </w:r>
    </w:p>
    <w:p w14:paraId="7B9976E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Vihervaara, P., Viinikka, A., Brander, L., Santos-Martín, F., Poikolainen, L., Nedkov, S., 2019. Methodological interlinkages for mapping ecosystem services – from data to analysis and decision-support. One Ecosyst. 4. https://doi.org/10.3897/oneeco.4.e26368</w:t>
      </w:r>
    </w:p>
    <w:p w14:paraId="4972AAE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von Döhren, P., Haase, D., 2019. Risk assessment concerning urban ecosystem disservices: The example of street trees in Berlin, Germany. Ecosyst. Serv. 40, 101031. https://doi.org/10.1016/j.ecoser.2019.101031</w:t>
      </w:r>
    </w:p>
    <w:p w14:paraId="4F13EC16"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Wang, R., Chen, J.M., Luo, X., Black, A., Arain, A., 2019. Seasonality of leaf area index and photosynthetic capacity for better estimation of carbon and water fluxes in evergreen conifer forests. Agric. For. Meteorol. 279, 107708. https://doi.org/10.1016/j.agrformet.2019.107708</w:t>
      </w:r>
    </w:p>
    <w:p w14:paraId="4A54E55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Wang, X., Liu, F., Wang, C., 2019. Towards a standardized protocol for measuring leaf area index in deciduous forests with litterfall collection. For. Ecol. Manag. 447, 87–94. https://doi.org/10.1016/j.foreco.2019.05.050</w:t>
      </w:r>
    </w:p>
    <w:p w14:paraId="35EF93F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Wilkinson, C., Saarne, T., Peterson, G.D., Colding, J., 2013. Strategic Spatial Planning and the Ecosystem Services Concept - an Historical Exploration. Ecol. Soc. 18, art37. https://doi.org/10.5751/ES-05368-180137</w:t>
      </w:r>
    </w:p>
    <w:p w14:paraId="430C8EF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 xml:space="preserve">Willcock, S., Hooftman, D., Sitas, N., O’Farrell, P., Hudson, M.D., Reyers, B., Eigenbrod, F., Bullock, J.M., 2016. Do ecosystem service maps and models meet </w:t>
      </w:r>
      <w:r w:rsidRPr="0021405F">
        <w:rPr>
          <w:rFonts w:ascii="Times New Roman" w:hAnsi="Times New Roman" w:cs="Times New Roman"/>
          <w:sz w:val="24"/>
        </w:rPr>
        <w:lastRenderedPageBreak/>
        <w:t>stakeholders’ needs? A preliminary survey across sub-Saharan Africa. Ecosyst. Serv. 18, 110–117. https://doi.org/10.1016/j.ecoser.2016.02.038</w:t>
      </w:r>
    </w:p>
    <w:p w14:paraId="53D5C64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Wissen Hayek, U., Teich, M., Klein, T.M., Grêt-Regamey, A., 2016. Bringing ecosystem services indicators into spatial planning practice: Lessons from collaborative development of a web-based visualization platform. Ecol. Indic. 61, 90–99. https://doi.org/10.1016/j.ecolind.2015.03.035</w:t>
      </w:r>
    </w:p>
    <w:p w14:paraId="4B24EAE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Wu, J., 2013. Landscape sustainability science: ecosystem services and human well-being in changing landscapes. Landsc. Ecol. 28, 999–1023. https://doi.org/10.1007/s10980-013-9894-9</w:t>
      </w:r>
    </w:p>
    <w:p w14:paraId="6255BBC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Yan, G., Hu, R., Luo, J., Weiss, M., Jiang, H., Mu, X., Xie, D., Zhang, W., 2019. Review of indirect optical measurements of leaf area index: Recent advances, challenges, and perspectives. Agric. For. Meteorol. 265, 390–411. https://doi.org/10.1016/j.agrformet.2018.11.033</w:t>
      </w:r>
    </w:p>
    <w:p w14:paraId="0E126D4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Yang, H.-S., Kang, J., Cheal, C., Renterghem, T.V., Botteldooren, D., 2013. Quantifying scattered sound energy from a single tree by means of reverberation time. J. Acoust. Soc. Am. 134, 264–274. https://doi.org/10.1121/1.4808175</w:t>
      </w:r>
    </w:p>
    <w:p w14:paraId="73F82E4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Zhao, C., Sander, H.A., 2018. Assessing the sensitivity of urban ecosystem service maps to input spatial data resolution and method choice. Landsc. Urban Plan. 175, 11–22. https://doi.org/10.1016/j.landurbplan.2018.03.007</w:t>
      </w:r>
    </w:p>
    <w:p w14:paraId="1313B3E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Zhu, X., Skidmore, A.K., Wang, T., Liu, J., Darvishzadeh, R., Shi, Y., Premier, J., Heurich, M., 2018. Improving leaf area index (LAI) estimation by correcting for clumping and woody effects using terrestrial laser scanning. Agric. For. Meteorol. 263, 276–286. https://doi.org/10.1016/j.agrformet.2018.08.026</w:t>
      </w:r>
    </w:p>
    <w:p w14:paraId="6BBDBE16" w14:textId="640138D0" w:rsidR="0021405F" w:rsidRDefault="0021405F"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r>
        <w:rPr>
          <w:rFonts w:ascii="Times New Roman" w:eastAsia="Times New Roman" w:hAnsi="Times New Roman" w:cs="Times New Roman"/>
          <w:b/>
          <w:sz w:val="24"/>
          <w:szCs w:val="24"/>
        </w:rPr>
        <w:t>To add:</w:t>
      </w:r>
    </w:p>
    <w:p w14:paraId="2687797A" w14:textId="77777777" w:rsidR="0021405F" w:rsidRPr="00900D61" w:rsidRDefault="0021405F" w:rsidP="0021405F">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sidRPr="00900D61">
        <w:rPr>
          <w:rFonts w:ascii="Times New Roman" w:hAnsi="Times New Roman" w:cs="Times New Roman"/>
          <w:sz w:val="24"/>
          <w:szCs w:val="24"/>
        </w:rPr>
        <w:t xml:space="preserve">Monsi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U¨ber den Lichtfaktor in den Pflanzengesellschaften und seine Bedeutung fu¨r die Stoffproduktion. Jpn J Bot. 14:22–52. [Republished in English: Monsi M, Saeki T. 2005. On the factor light in plant communities and its importance for matter production. Ann Bot. 95:549–567.]</w:t>
      </w:r>
    </w:p>
    <w:p w14:paraId="3E16A35F" w14:textId="77777777" w:rsidR="0021405F" w:rsidRPr="006B5389" w:rsidRDefault="0021405F" w:rsidP="0021405F">
      <w:pPr>
        <w:numPr>
          <w:ilvl w:val="0"/>
          <w:numId w:val="7"/>
        </w:numPr>
        <w:pBdr>
          <w:between w:val="nil"/>
        </w:pBdr>
        <w:spacing w:after="0"/>
        <w:rPr>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R Core Team (2020). R: A language and environment for statistical computing. R Foundation for Statistical Computing, Vienna, Austria. URL https://www.R-project.org/</w:t>
      </w:r>
    </w:p>
    <w:p w14:paraId="05864EB4" w14:textId="77777777" w:rsidR="0021405F" w:rsidRDefault="0021405F" w:rsidP="0021405F">
      <w:pPr>
        <w:numPr>
          <w:ilvl w:val="0"/>
          <w:numId w:val="7"/>
        </w:numPr>
        <w:pBdr>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Applications,4(4),1994, pp. 629-650.</w:t>
      </w:r>
    </w:p>
    <w:p w14:paraId="040A9F21" w14:textId="77777777" w:rsidR="0021405F" w:rsidRDefault="0021405F"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2596612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dynamics of the air temperature under and outside of the canopy</w:t>
      </w:r>
    </w:p>
    <w:p w14:paraId="58435C96" w14:textId="6981D0D3" w:rsidR="00F5280C" w:rsidRDefault="00AD2F98"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BA449B6" wp14:editId="0B843214">
            <wp:extent cx="5943600" cy="4457700"/>
            <wp:effectExtent l="0" t="0" r="0" b="0"/>
            <wp:docPr id="11" name="Рисунок 7" descr="dTair_vs_Tair_couple_days_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r_vs_Tair_couple_days_fill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BB14BD" w14:textId="77777777" w:rsidR="00F5280C" w:rsidRPr="00B93C86" w:rsidRDefault="00F5280C" w:rsidP="00D12ABE">
      <w:pPr>
        <w:spacing w:after="0"/>
        <w:rPr>
          <w:rFonts w:ascii="Times New Roman" w:eastAsia="Times New Roman" w:hAnsi="Times New Roman" w:cs="Times New Roman"/>
          <w:sz w:val="24"/>
          <w:szCs w:val="24"/>
        </w:rPr>
      </w:pPr>
      <w:r w:rsidRPr="00F5280C">
        <w:rPr>
          <w:rFonts w:ascii="Times New Roman" w:eastAsia="Times New Roman" w:hAnsi="Times New Roman" w:cs="Times New Roman"/>
          <w:sz w:val="24"/>
          <w:szCs w:val="24"/>
        </w:rPr>
        <w:t>Annex 2</w:t>
      </w:r>
      <w:r>
        <w:rPr>
          <w:rFonts w:ascii="Times New Roman" w:eastAsia="Times New Roman" w:hAnsi="Times New Roman" w:cs="Times New Roman"/>
          <w:sz w:val="24"/>
          <w:szCs w:val="24"/>
        </w:rPr>
        <w:t>. Daily and diurnal by month dynamics of the air relative humidity under and outside of the canopy</w:t>
      </w:r>
    </w:p>
    <w:p w14:paraId="14DC4A3C" w14:textId="73F52EA1" w:rsidR="007813BB" w:rsidRPr="007813BB" w:rsidRDefault="00AD2F98" w:rsidP="00D12ABE">
      <w:pPr>
        <w:spacing w:after="0"/>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51B8180" wp14:editId="07A5853D">
            <wp:extent cx="5943600" cy="4457700"/>
            <wp:effectExtent l="0" t="0" r="0" b="0"/>
            <wp:docPr id="10" name="Рисунок 8" descr="drh_vs_rh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h_vs_rh_couple_day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B6605AA" w14:textId="6AE74C62" w:rsidR="000F3010" w:rsidRDefault="00AD2F98" w:rsidP="00F5280C">
      <w:pPr>
        <w:spacing w:after="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ru-RU"/>
        </w:rPr>
        <w:lastRenderedPageBreak/>
        <w:drawing>
          <wp:inline distT="0" distB="0" distL="0" distR="0" wp14:anchorId="30181413" wp14:editId="71E7F678">
            <wp:extent cx="5943600" cy="4457700"/>
            <wp:effectExtent l="0" t="0" r="0" b="0"/>
            <wp:docPr id="9" name="Рисунок 9"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h_diurnal_by_mon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0F3010">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Victor Matasov" w:date="2020-05-04T00:15:00Z" w:initials="VM">
    <w:p w14:paraId="661E06AD" w14:textId="6B4C94C7" w:rsidR="00F428DA" w:rsidRDefault="00F428DA">
      <w:pPr>
        <w:pStyle w:val="a8"/>
      </w:pPr>
      <w:r>
        <w:rPr>
          <w:rStyle w:val="a7"/>
        </w:rPr>
        <w:annotationRef/>
      </w:r>
      <w:r>
        <w:t>Check, please and provide working e-mails</w:t>
      </w:r>
    </w:p>
  </w:comment>
  <w:comment w:id="1" w:author="Victor Matasov" w:date="2020-05-04T13:42:00Z" w:initials="VM">
    <w:p w14:paraId="17A2CF91" w14:textId="3419C850" w:rsidR="00F428DA" w:rsidRDefault="00F428DA">
      <w:pPr>
        <w:pStyle w:val="a8"/>
      </w:pPr>
      <w:r>
        <w:rPr>
          <w:rStyle w:val="a7"/>
        </w:rPr>
        <w:annotationRef/>
      </w:r>
      <w:r>
        <w:t xml:space="preserve">Maybe it is better to have here “cooling effect, carbon sequestration, particulate adsorption, run-off mitigation, LAI”? </w:t>
      </w:r>
    </w:p>
  </w:comment>
  <w:comment w:id="2" w:author="Victor Matasov" w:date="2020-05-04T19:20:00Z" w:initials="VM">
    <w:p w14:paraId="5B1586F1" w14:textId="24AB44C0" w:rsidR="00F428DA" w:rsidRDefault="00F428DA">
      <w:pPr>
        <w:pStyle w:val="a8"/>
      </w:pPr>
      <w:r>
        <w:rPr>
          <w:rStyle w:val="a7"/>
        </w:rPr>
        <w:annotationRef/>
      </w:r>
      <w:r>
        <w:t>?</w:t>
      </w:r>
    </w:p>
  </w:comment>
  <w:comment w:id="3" w:author="Victor Matasov" w:date="2020-05-03T01:17:00Z" w:initials="VM">
    <w:p w14:paraId="7A8E0E4B" w14:textId="77777777" w:rsidR="00F428DA" w:rsidRDefault="00F428DA">
      <w:pPr>
        <w:pStyle w:val="a8"/>
      </w:pPr>
      <w:r>
        <w:rPr>
          <w:rStyle w:val="a7"/>
        </w:rPr>
        <w:annotationRef/>
      </w:r>
      <w:r>
        <w:rPr>
          <w:rStyle w:val="a7"/>
        </w:rPr>
        <w:t>Change for</w:t>
      </w:r>
      <w:r>
        <w:t xml:space="preserve"> better refs</w:t>
      </w:r>
    </w:p>
  </w:comment>
  <w:comment w:id="4" w:author="Victor Matasov" w:date="2020-05-04T13:43:00Z" w:initials="VM">
    <w:p w14:paraId="5C267C47" w14:textId="1FEF10C8" w:rsidR="00F428DA" w:rsidRDefault="00F428DA">
      <w:pPr>
        <w:pStyle w:val="a8"/>
      </w:pPr>
      <w:r>
        <w:rPr>
          <w:rStyle w:val="a7"/>
        </w:rPr>
        <w:annotationRef/>
      </w:r>
      <w:r>
        <w:t>Add smth</w:t>
      </w:r>
    </w:p>
  </w:comment>
  <w:comment w:id="5" w:author="riccardo valentini" w:date="2020-05-04T18:06:00Z" w:initials="rv">
    <w:p w14:paraId="62E3BB5F" w14:textId="77777777" w:rsidR="00F428DA" w:rsidRDefault="00F428DA" w:rsidP="00940AF6">
      <w:pPr>
        <w:pStyle w:val="a8"/>
      </w:pPr>
      <w:r>
        <w:rPr>
          <w:rStyle w:val="a7"/>
        </w:rPr>
        <w:annotationRef/>
      </w:r>
      <w:r w:rsidRPr="003E49BB">
        <w:rPr>
          <w:noProof/>
          <w:highlight w:val="yellow"/>
        </w:rPr>
        <w:t>check consistency with units I gies °C is mssing</w:t>
      </w:r>
    </w:p>
  </w:comment>
  <w:comment w:id="7" w:author="Victor Matasov" w:date="2020-05-04T18:12:00Z" w:initials="VM">
    <w:p w14:paraId="71B433B2" w14:textId="34854160" w:rsidR="00F428DA" w:rsidRDefault="00F428DA">
      <w:pPr>
        <w:pStyle w:val="a8"/>
      </w:pPr>
      <w:r>
        <w:rPr>
          <w:rStyle w:val="a7"/>
        </w:rPr>
        <w:annotationRef/>
      </w:r>
      <w:r>
        <w:t>Describe with canopy area inside equations</w:t>
      </w:r>
    </w:p>
  </w:comment>
  <w:comment w:id="9" w:author="Victor Matasov" w:date="2020-05-04T18:14:00Z" w:initials="VM">
    <w:p w14:paraId="0BBDBE1C" w14:textId="77777777" w:rsidR="00F428DA" w:rsidRDefault="00F428DA" w:rsidP="004E50E7">
      <w:pPr>
        <w:pStyle w:val="a8"/>
      </w:pPr>
      <w:r>
        <w:rPr>
          <w:rStyle w:val="a7"/>
        </w:rPr>
        <w:annotationRef/>
      </w:r>
      <w:r>
        <w:t>According to table 3 and methods section it should go first</w:t>
      </w:r>
    </w:p>
  </w:comment>
  <w:comment w:id="10" w:author="Victor Matasov" w:date="2020-05-04T18:14:00Z" w:initials="VM">
    <w:p w14:paraId="0932FFCF" w14:textId="77777777" w:rsidR="00F428DA" w:rsidRDefault="00F428DA" w:rsidP="004E50E7">
      <w:pPr>
        <w:pStyle w:val="a8"/>
      </w:pPr>
      <w:r>
        <w:rPr>
          <w:rStyle w:val="a7"/>
        </w:rPr>
        <w:annotationRef/>
      </w:r>
      <w:r>
        <w:t>Where is the 5th tilia?</w:t>
      </w:r>
    </w:p>
  </w:comment>
  <w:comment w:id="11" w:author="Victor Matasov" w:date="2020-05-04T19:15:00Z" w:initials="VM">
    <w:p w14:paraId="7BF95ECA" w14:textId="72EB8ECA" w:rsidR="00F428DA" w:rsidRDefault="00F428DA">
      <w:pPr>
        <w:pStyle w:val="a8"/>
      </w:pPr>
      <w:r>
        <w:rPr>
          <w:rStyle w:val="a7"/>
        </w:rPr>
        <w:annotationRef/>
      </w:r>
      <w:r>
        <w:t xml:space="preserve">Add here some discussion on transpiration. </w:t>
      </w:r>
      <w:r>
        <w:rPr>
          <w:rFonts w:ascii="Times New Roman" w:eastAsia="Times New Roman" w:hAnsi="Times New Roman" w:cs="Times New Roman"/>
          <w:sz w:val="24"/>
          <w:szCs w:val="24"/>
        </w:rPr>
        <w:t xml:space="preserve">To go from transpiration to the next section with  LAI it is possible to mention here </w:t>
      </w:r>
      <w:r>
        <w:t xml:space="preserve"> </w:t>
      </w:r>
      <w:r>
        <w:rPr>
          <w:rStyle w:val="a7"/>
        </w:rPr>
        <w:annotationRef/>
      </w:r>
      <w:r>
        <w:t>about rain interception by leaves</w:t>
      </w:r>
    </w:p>
  </w:comment>
  <w:comment w:id="13" w:author="Victor Matasov" w:date="2020-05-03T14:20:00Z" w:initials="VM">
    <w:p w14:paraId="713C8E50" w14:textId="51EE4109" w:rsidR="00F428DA" w:rsidRDefault="00F428DA">
      <w:pPr>
        <w:pStyle w:val="a8"/>
      </w:pPr>
      <w:r>
        <w:rPr>
          <w:rStyle w:val="a7"/>
        </w:rPr>
        <w:annotationRef/>
      </w:r>
      <w:r>
        <w:t>What is the black line stands for? And we have here all 19 TT+ instead of 16…</w:t>
      </w:r>
    </w:p>
  </w:comment>
  <w:comment w:id="14" w:author="Victor Matasov" w:date="2020-05-03T14:20:00Z" w:initials="VM">
    <w:p w14:paraId="3C41D6B4" w14:textId="71F25502" w:rsidR="00F428DA" w:rsidRDefault="00F428DA">
      <w:pPr>
        <w:pStyle w:val="a8"/>
      </w:pPr>
      <w:r>
        <w:rPr>
          <w:rStyle w:val="a7"/>
        </w:rPr>
        <w:annotationRef/>
      </w:r>
      <w:r>
        <w:t>Again 19 TT+</w:t>
      </w:r>
    </w:p>
  </w:comment>
  <w:comment w:id="15" w:author="Victor Matasov" w:date="2020-05-04T00:29:00Z" w:initials="VM">
    <w:p w14:paraId="0CB44C6C" w14:textId="4224A627" w:rsidR="00F428DA" w:rsidRDefault="00F428DA">
      <w:pPr>
        <w:pStyle w:val="a8"/>
      </w:pPr>
      <w:r>
        <w:rPr>
          <w:rStyle w:val="a7"/>
        </w:rPr>
        <w:annotationRef/>
      </w:r>
      <w:r>
        <w:t xml:space="preserve">Fill the names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1E06AD" w15:done="0"/>
  <w15:commentEx w15:paraId="17A2CF91" w15:done="0"/>
  <w15:commentEx w15:paraId="5B1586F1" w15:done="0"/>
  <w15:commentEx w15:paraId="7A8E0E4B" w15:done="0"/>
  <w15:commentEx w15:paraId="5C267C47" w15:done="0"/>
  <w15:commentEx w15:paraId="62E3BB5F" w15:done="0"/>
  <w15:commentEx w15:paraId="71B433B2" w15:done="0"/>
  <w15:commentEx w15:paraId="0BBDBE1C" w15:done="0"/>
  <w15:commentEx w15:paraId="0932FFCF" w15:done="0"/>
  <w15:commentEx w15:paraId="7BF95ECA" w15:done="0"/>
  <w15:commentEx w15:paraId="713C8E50" w15:done="0"/>
  <w15:commentEx w15:paraId="3C41D6B4" w15:done="0"/>
  <w15:commentEx w15:paraId="0CB44C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1E06AD" w16cid:durableId="225B80A4"/>
  <w16cid:commentId w16cid:paraId="17A2CF91" w16cid:durableId="225B80A5"/>
  <w16cid:commentId w16cid:paraId="5B1586F1" w16cid:durableId="225B80A6"/>
  <w16cid:commentId w16cid:paraId="7A8E0E4B" w16cid:durableId="225B80A7"/>
  <w16cid:commentId w16cid:paraId="5C267C47" w16cid:durableId="225B80A8"/>
  <w16cid:commentId w16cid:paraId="62E3BB5F" w16cid:durableId="225B80A9"/>
  <w16cid:commentId w16cid:paraId="71B433B2" w16cid:durableId="225B80AB"/>
  <w16cid:commentId w16cid:paraId="0BBDBE1C" w16cid:durableId="225B80AC"/>
  <w16cid:commentId w16cid:paraId="0932FFCF" w16cid:durableId="225B80AD"/>
  <w16cid:commentId w16cid:paraId="7BF95ECA" w16cid:durableId="225B80AE"/>
  <w16cid:commentId w16cid:paraId="713C8E50" w16cid:durableId="225B80AF"/>
  <w16cid:commentId w16cid:paraId="3C41D6B4" w16cid:durableId="225B80B0"/>
  <w16cid:commentId w16cid:paraId="0CB44C6C" w16cid:durableId="225B8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6C1AF" w14:textId="77777777" w:rsidR="00791E2E" w:rsidRDefault="00791E2E" w:rsidP="00E10EEC">
      <w:pPr>
        <w:spacing w:after="0" w:line="240" w:lineRule="auto"/>
      </w:pPr>
      <w:r>
        <w:separator/>
      </w:r>
    </w:p>
  </w:endnote>
  <w:endnote w:type="continuationSeparator" w:id="0">
    <w:p w14:paraId="1C3FA0BF" w14:textId="77777777" w:rsidR="00791E2E" w:rsidRDefault="00791E2E"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yandex-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5A9C0" w14:textId="77777777" w:rsidR="00791E2E" w:rsidRDefault="00791E2E" w:rsidP="00E10EEC">
      <w:pPr>
        <w:spacing w:after="0" w:line="240" w:lineRule="auto"/>
      </w:pPr>
      <w:r>
        <w:separator/>
      </w:r>
    </w:p>
  </w:footnote>
  <w:footnote w:type="continuationSeparator" w:id="0">
    <w:p w14:paraId="19CDAD92" w14:textId="77777777" w:rsidR="00791E2E" w:rsidRDefault="00791E2E" w:rsidP="00E10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066C15"/>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2" w15:restartNumberingAfterBreak="0">
    <w:nsid w:val="0EFC016D"/>
    <w:multiLevelType w:val="hybridMultilevel"/>
    <w:tmpl w:val="9D16ED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073DE6"/>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5" w15:restartNumberingAfterBreak="0">
    <w:nsid w:val="326F7E4F"/>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6"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7" w15:restartNumberingAfterBreak="0">
    <w:nsid w:val="5F952CA8"/>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8" w15:restartNumberingAfterBreak="0">
    <w:nsid w:val="7B2E62E6"/>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6"/>
  </w:num>
  <w:num w:numId="4">
    <w:abstractNumId w:val="5"/>
  </w:num>
  <w:num w:numId="5">
    <w:abstractNumId w:val="7"/>
  </w:num>
  <w:num w:numId="6">
    <w:abstractNumId w:val="2"/>
  </w:num>
  <w:num w:numId="7">
    <w:abstractNumId w:val="8"/>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cardo valentini">
    <w15:presenceInfo w15:providerId="Windows Live" w15:userId="efdc4af62088c7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59"/>
    <w:rsid w:val="00015FD1"/>
    <w:rsid w:val="00022855"/>
    <w:rsid w:val="00046453"/>
    <w:rsid w:val="000521FC"/>
    <w:rsid w:val="00052344"/>
    <w:rsid w:val="00052C93"/>
    <w:rsid w:val="00056FEA"/>
    <w:rsid w:val="00062E3F"/>
    <w:rsid w:val="000643A1"/>
    <w:rsid w:val="00065D10"/>
    <w:rsid w:val="00073E26"/>
    <w:rsid w:val="00073E32"/>
    <w:rsid w:val="00085C49"/>
    <w:rsid w:val="000936AE"/>
    <w:rsid w:val="000A075E"/>
    <w:rsid w:val="000A749A"/>
    <w:rsid w:val="000B324E"/>
    <w:rsid w:val="000C27A7"/>
    <w:rsid w:val="000D6FA9"/>
    <w:rsid w:val="000E1672"/>
    <w:rsid w:val="000E3FEF"/>
    <w:rsid w:val="000F3010"/>
    <w:rsid w:val="00100303"/>
    <w:rsid w:val="001146ED"/>
    <w:rsid w:val="00120C83"/>
    <w:rsid w:val="00126910"/>
    <w:rsid w:val="00127E9A"/>
    <w:rsid w:val="00134082"/>
    <w:rsid w:val="00134425"/>
    <w:rsid w:val="00144C3D"/>
    <w:rsid w:val="00150077"/>
    <w:rsid w:val="00150945"/>
    <w:rsid w:val="00150B2C"/>
    <w:rsid w:val="00171C17"/>
    <w:rsid w:val="00175DFD"/>
    <w:rsid w:val="00180C42"/>
    <w:rsid w:val="001912A9"/>
    <w:rsid w:val="00191F40"/>
    <w:rsid w:val="00196B96"/>
    <w:rsid w:val="001A124B"/>
    <w:rsid w:val="001A7783"/>
    <w:rsid w:val="001B7DE0"/>
    <w:rsid w:val="001C2F9F"/>
    <w:rsid w:val="001C38DD"/>
    <w:rsid w:val="001D2F2A"/>
    <w:rsid w:val="001D6764"/>
    <w:rsid w:val="001E38A6"/>
    <w:rsid w:val="001E5E1D"/>
    <w:rsid w:val="0020048C"/>
    <w:rsid w:val="0020192C"/>
    <w:rsid w:val="00207112"/>
    <w:rsid w:val="002101FC"/>
    <w:rsid w:val="0021405F"/>
    <w:rsid w:val="00216FE1"/>
    <w:rsid w:val="002242E2"/>
    <w:rsid w:val="00227CF1"/>
    <w:rsid w:val="0025283E"/>
    <w:rsid w:val="0025620A"/>
    <w:rsid w:val="002678F3"/>
    <w:rsid w:val="0027302F"/>
    <w:rsid w:val="00280DD9"/>
    <w:rsid w:val="00285CB4"/>
    <w:rsid w:val="00290198"/>
    <w:rsid w:val="00293F72"/>
    <w:rsid w:val="0029645E"/>
    <w:rsid w:val="002E68F6"/>
    <w:rsid w:val="002F32B4"/>
    <w:rsid w:val="002F4D65"/>
    <w:rsid w:val="00305E07"/>
    <w:rsid w:val="00306544"/>
    <w:rsid w:val="00312C81"/>
    <w:rsid w:val="00321759"/>
    <w:rsid w:val="003247C0"/>
    <w:rsid w:val="00330A73"/>
    <w:rsid w:val="00331846"/>
    <w:rsid w:val="00335AF7"/>
    <w:rsid w:val="00337EF1"/>
    <w:rsid w:val="00343699"/>
    <w:rsid w:val="00356E2D"/>
    <w:rsid w:val="0036060E"/>
    <w:rsid w:val="00360CAC"/>
    <w:rsid w:val="00364A09"/>
    <w:rsid w:val="0037143C"/>
    <w:rsid w:val="00371FA4"/>
    <w:rsid w:val="003723ED"/>
    <w:rsid w:val="00373C5B"/>
    <w:rsid w:val="00381D5A"/>
    <w:rsid w:val="0039589E"/>
    <w:rsid w:val="003A2958"/>
    <w:rsid w:val="003B29EA"/>
    <w:rsid w:val="003C21C6"/>
    <w:rsid w:val="003C30A6"/>
    <w:rsid w:val="003D3103"/>
    <w:rsid w:val="003D4C4F"/>
    <w:rsid w:val="003E49BB"/>
    <w:rsid w:val="003F4AEE"/>
    <w:rsid w:val="00416D6A"/>
    <w:rsid w:val="00421097"/>
    <w:rsid w:val="00437DF0"/>
    <w:rsid w:val="004438A4"/>
    <w:rsid w:val="004609B8"/>
    <w:rsid w:val="00462AB8"/>
    <w:rsid w:val="004656A4"/>
    <w:rsid w:val="00465DD9"/>
    <w:rsid w:val="004660FE"/>
    <w:rsid w:val="004B0F88"/>
    <w:rsid w:val="004E1C43"/>
    <w:rsid w:val="004E3507"/>
    <w:rsid w:val="004E3B0A"/>
    <w:rsid w:val="004E50E7"/>
    <w:rsid w:val="004E7DB3"/>
    <w:rsid w:val="004F37A9"/>
    <w:rsid w:val="004F45F8"/>
    <w:rsid w:val="004F4B1A"/>
    <w:rsid w:val="00504335"/>
    <w:rsid w:val="00507CED"/>
    <w:rsid w:val="00524102"/>
    <w:rsid w:val="00524ECD"/>
    <w:rsid w:val="00541A04"/>
    <w:rsid w:val="00565ED8"/>
    <w:rsid w:val="00574535"/>
    <w:rsid w:val="0057577F"/>
    <w:rsid w:val="005757E8"/>
    <w:rsid w:val="00576E3B"/>
    <w:rsid w:val="00582C89"/>
    <w:rsid w:val="00591A4A"/>
    <w:rsid w:val="005A1218"/>
    <w:rsid w:val="005A64CA"/>
    <w:rsid w:val="005C1798"/>
    <w:rsid w:val="005C5E9D"/>
    <w:rsid w:val="005D30E5"/>
    <w:rsid w:val="005D6428"/>
    <w:rsid w:val="005F6719"/>
    <w:rsid w:val="005F7742"/>
    <w:rsid w:val="006078A6"/>
    <w:rsid w:val="00613AD3"/>
    <w:rsid w:val="00625FA9"/>
    <w:rsid w:val="00634232"/>
    <w:rsid w:val="006447BC"/>
    <w:rsid w:val="00647620"/>
    <w:rsid w:val="006613D5"/>
    <w:rsid w:val="00662EE9"/>
    <w:rsid w:val="0066682F"/>
    <w:rsid w:val="00667A36"/>
    <w:rsid w:val="00675322"/>
    <w:rsid w:val="00680419"/>
    <w:rsid w:val="00683D4D"/>
    <w:rsid w:val="00694084"/>
    <w:rsid w:val="006940CE"/>
    <w:rsid w:val="006A565F"/>
    <w:rsid w:val="006B5389"/>
    <w:rsid w:val="006C1541"/>
    <w:rsid w:val="006D1FF7"/>
    <w:rsid w:val="006D4A13"/>
    <w:rsid w:val="006E12F1"/>
    <w:rsid w:val="006E32F4"/>
    <w:rsid w:val="006F75E1"/>
    <w:rsid w:val="00707780"/>
    <w:rsid w:val="0072688E"/>
    <w:rsid w:val="007271B5"/>
    <w:rsid w:val="00730F1A"/>
    <w:rsid w:val="0077191C"/>
    <w:rsid w:val="00777205"/>
    <w:rsid w:val="007813BB"/>
    <w:rsid w:val="00785847"/>
    <w:rsid w:val="00791E2E"/>
    <w:rsid w:val="00795334"/>
    <w:rsid w:val="007A74A0"/>
    <w:rsid w:val="007B5295"/>
    <w:rsid w:val="007C0EB3"/>
    <w:rsid w:val="007C557A"/>
    <w:rsid w:val="007D111A"/>
    <w:rsid w:val="007E456B"/>
    <w:rsid w:val="007E4F73"/>
    <w:rsid w:val="007F2074"/>
    <w:rsid w:val="008027A8"/>
    <w:rsid w:val="00802884"/>
    <w:rsid w:val="00802C4E"/>
    <w:rsid w:val="0080697E"/>
    <w:rsid w:val="00806DDE"/>
    <w:rsid w:val="00811B56"/>
    <w:rsid w:val="0081280B"/>
    <w:rsid w:val="00843960"/>
    <w:rsid w:val="00853AC1"/>
    <w:rsid w:val="008618E1"/>
    <w:rsid w:val="008659E7"/>
    <w:rsid w:val="00871684"/>
    <w:rsid w:val="00876D75"/>
    <w:rsid w:val="0089775C"/>
    <w:rsid w:val="008A1731"/>
    <w:rsid w:val="008C338F"/>
    <w:rsid w:val="008C46BC"/>
    <w:rsid w:val="008C478E"/>
    <w:rsid w:val="008C793F"/>
    <w:rsid w:val="008D4FFD"/>
    <w:rsid w:val="008D6B3F"/>
    <w:rsid w:val="008F103E"/>
    <w:rsid w:val="008F5D16"/>
    <w:rsid w:val="00900D61"/>
    <w:rsid w:val="009149D9"/>
    <w:rsid w:val="009156B0"/>
    <w:rsid w:val="00926114"/>
    <w:rsid w:val="009300B3"/>
    <w:rsid w:val="00940AF6"/>
    <w:rsid w:val="00940EFB"/>
    <w:rsid w:val="00947EE5"/>
    <w:rsid w:val="00951AE6"/>
    <w:rsid w:val="0096354D"/>
    <w:rsid w:val="00972A3F"/>
    <w:rsid w:val="00974279"/>
    <w:rsid w:val="00983329"/>
    <w:rsid w:val="0098571D"/>
    <w:rsid w:val="00995940"/>
    <w:rsid w:val="009A2819"/>
    <w:rsid w:val="009C2C8B"/>
    <w:rsid w:val="009C3D46"/>
    <w:rsid w:val="009C7B00"/>
    <w:rsid w:val="009E4150"/>
    <w:rsid w:val="009F4D1B"/>
    <w:rsid w:val="00A02D49"/>
    <w:rsid w:val="00A11C13"/>
    <w:rsid w:val="00A14704"/>
    <w:rsid w:val="00A44E5E"/>
    <w:rsid w:val="00A55798"/>
    <w:rsid w:val="00A55DA5"/>
    <w:rsid w:val="00A72E93"/>
    <w:rsid w:val="00A80DD7"/>
    <w:rsid w:val="00A8735B"/>
    <w:rsid w:val="00A91143"/>
    <w:rsid w:val="00A92C28"/>
    <w:rsid w:val="00AA1824"/>
    <w:rsid w:val="00AB0FF3"/>
    <w:rsid w:val="00AB1F3D"/>
    <w:rsid w:val="00AC0807"/>
    <w:rsid w:val="00AC14A4"/>
    <w:rsid w:val="00AD2F98"/>
    <w:rsid w:val="00AD6DAE"/>
    <w:rsid w:val="00AF0258"/>
    <w:rsid w:val="00AF1ED9"/>
    <w:rsid w:val="00B00DD3"/>
    <w:rsid w:val="00B033F6"/>
    <w:rsid w:val="00B10A3D"/>
    <w:rsid w:val="00B30CF7"/>
    <w:rsid w:val="00B51E72"/>
    <w:rsid w:val="00B529AE"/>
    <w:rsid w:val="00B63109"/>
    <w:rsid w:val="00B739EB"/>
    <w:rsid w:val="00B75BE3"/>
    <w:rsid w:val="00B93C86"/>
    <w:rsid w:val="00BE4138"/>
    <w:rsid w:val="00BF4985"/>
    <w:rsid w:val="00BF5367"/>
    <w:rsid w:val="00BF6A66"/>
    <w:rsid w:val="00C058EB"/>
    <w:rsid w:val="00C22360"/>
    <w:rsid w:val="00C2351F"/>
    <w:rsid w:val="00C34498"/>
    <w:rsid w:val="00C73913"/>
    <w:rsid w:val="00C76D48"/>
    <w:rsid w:val="00C96FCD"/>
    <w:rsid w:val="00CC1EE3"/>
    <w:rsid w:val="00CE414D"/>
    <w:rsid w:val="00CF0BB3"/>
    <w:rsid w:val="00CF1243"/>
    <w:rsid w:val="00CF5F5C"/>
    <w:rsid w:val="00D01F0A"/>
    <w:rsid w:val="00D07E28"/>
    <w:rsid w:val="00D12ABE"/>
    <w:rsid w:val="00D2347F"/>
    <w:rsid w:val="00D244A4"/>
    <w:rsid w:val="00D2592E"/>
    <w:rsid w:val="00D428FB"/>
    <w:rsid w:val="00D45467"/>
    <w:rsid w:val="00D51C3D"/>
    <w:rsid w:val="00D56879"/>
    <w:rsid w:val="00D647F0"/>
    <w:rsid w:val="00D7217A"/>
    <w:rsid w:val="00D76ECA"/>
    <w:rsid w:val="00D77250"/>
    <w:rsid w:val="00D87B8E"/>
    <w:rsid w:val="00D87C11"/>
    <w:rsid w:val="00DD3DDC"/>
    <w:rsid w:val="00DE16FC"/>
    <w:rsid w:val="00E0539B"/>
    <w:rsid w:val="00E05C4D"/>
    <w:rsid w:val="00E05F1D"/>
    <w:rsid w:val="00E10EEC"/>
    <w:rsid w:val="00E3596A"/>
    <w:rsid w:val="00E363DE"/>
    <w:rsid w:val="00E36C13"/>
    <w:rsid w:val="00E427CB"/>
    <w:rsid w:val="00E47A25"/>
    <w:rsid w:val="00E51496"/>
    <w:rsid w:val="00E53664"/>
    <w:rsid w:val="00E6034C"/>
    <w:rsid w:val="00EA311D"/>
    <w:rsid w:val="00EA66B8"/>
    <w:rsid w:val="00EB0100"/>
    <w:rsid w:val="00EC4A55"/>
    <w:rsid w:val="00EC7201"/>
    <w:rsid w:val="00EF056B"/>
    <w:rsid w:val="00EF3FA9"/>
    <w:rsid w:val="00F01B59"/>
    <w:rsid w:val="00F0605C"/>
    <w:rsid w:val="00F157C3"/>
    <w:rsid w:val="00F16A13"/>
    <w:rsid w:val="00F22F79"/>
    <w:rsid w:val="00F2341F"/>
    <w:rsid w:val="00F327CE"/>
    <w:rsid w:val="00F428DA"/>
    <w:rsid w:val="00F45856"/>
    <w:rsid w:val="00F5280C"/>
    <w:rsid w:val="00F52D03"/>
    <w:rsid w:val="00F744F2"/>
    <w:rsid w:val="00F806CD"/>
    <w:rsid w:val="00F902A5"/>
    <w:rsid w:val="00FA32C6"/>
    <w:rsid w:val="00FB1AB3"/>
    <w:rsid w:val="00FB39AC"/>
    <w:rsid w:val="00FB523C"/>
    <w:rsid w:val="00FB71A9"/>
    <w:rsid w:val="00FC2A56"/>
    <w:rsid w:val="00FC5DDC"/>
    <w:rsid w:val="00FC5FFC"/>
    <w:rsid w:val="00FC7F09"/>
    <w:rsid w:val="00FD1B43"/>
    <w:rsid w:val="00FD64A8"/>
    <w:rsid w:val="00FE1630"/>
    <w:rsid w:val="00FE3B78"/>
    <w:rsid w:val="00FE4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486D1179-14E6-40E6-A768-AB1EA165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10">
    <w:name w:val="Текст примечания Знак1"/>
    <w:link w:val="a8"/>
    <w:uiPriority w:val="99"/>
    <w:semiHidden/>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11">
    <w:name w:val="Тема примечания Знак1"/>
    <w:basedOn w:val="10"/>
    <w:link w:val="aa"/>
    <w:uiPriority w:val="99"/>
    <w:semiHidden/>
    <w:rPr>
      <w:b/>
      <w:bCs/>
      <w:sz w:val="20"/>
      <w:szCs w:val="20"/>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left w:w="108" w:type="dxa"/>
        <w:right w:w="108" w:type="dxa"/>
      </w:tblCellMar>
    </w:tblPr>
  </w:style>
  <w:style w:type="table" w:customStyle="1" w:styleId="50">
    <w:name w:val="5"/>
    <w:basedOn w:val="TableNormal10"/>
    <w:pPr>
      <w:spacing w:after="0" w:line="240" w:lineRule="auto"/>
    </w:pPr>
    <w:tblPr>
      <w:tblStyleRowBandSize w:val="1"/>
      <w:tblStyleColBandSize w:val="1"/>
      <w:tblCellMar>
        <w:left w:w="108" w:type="dxa"/>
        <w:right w:w="108" w:type="dxa"/>
      </w:tblCellMar>
    </w:tblPr>
  </w:style>
  <w:style w:type="table" w:customStyle="1" w:styleId="40">
    <w:name w:val="4"/>
    <w:basedOn w:val="TableNormal10"/>
    <w:pPr>
      <w:spacing w:after="0" w:line="240" w:lineRule="auto"/>
    </w:pPr>
    <w:tblPr>
      <w:tblStyleRowBandSize w:val="1"/>
      <w:tblStyleColBandSize w:val="1"/>
      <w:tblCellMar>
        <w:left w:w="108" w:type="dxa"/>
        <w:right w:w="108" w:type="dxa"/>
      </w:tblCellMar>
    </w:tblPr>
  </w:style>
  <w:style w:type="table" w:customStyle="1" w:styleId="30">
    <w:name w:val="3"/>
    <w:basedOn w:val="TableNormal10"/>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0" w:line="240" w:lineRule="auto"/>
      <w:ind w:left="720" w:hanging="720"/>
    </w:pPr>
  </w:style>
  <w:style w:type="table" w:customStyle="1" w:styleId="20">
    <w:name w:val="2"/>
    <w:basedOn w:val="TableNormal2"/>
    <w:pPr>
      <w:spacing w:after="0" w:line="240" w:lineRule="auto"/>
    </w:pPr>
    <w:tblPr>
      <w:tblStyleRowBandSize w:val="1"/>
      <w:tblStyleColBandSize w:val="1"/>
      <w:tblCellMar>
        <w:left w:w="108" w:type="dxa"/>
        <w:right w:w="108" w:type="dxa"/>
      </w:tblCellMar>
    </w:tblPr>
  </w:style>
  <w:style w:type="table" w:customStyle="1" w:styleId="12">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 w:type="paragraph" w:customStyle="1" w:styleId="MDPI62Acknowledgments">
    <w:name w:val="MDPI_6.2_Acknowledgments"/>
    <w:qFormat/>
    <w:rsid w:val="0098571D"/>
    <w:pPr>
      <w:adjustRightInd w:val="0"/>
      <w:snapToGrid w:val="0"/>
      <w:spacing w:before="120" w:after="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64CoI">
    <w:name w:val="MDPI_6.4_CoI"/>
    <w:basedOn w:val="MDPI62Acknowledgments"/>
    <w:qFormat/>
    <w:rsid w:val="00985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76874534">
      <w:bodyDiv w:val="1"/>
      <w:marLeft w:val="0"/>
      <w:marRight w:val="0"/>
      <w:marTop w:val="0"/>
      <w:marBottom w:val="0"/>
      <w:divBdr>
        <w:top w:val="none" w:sz="0" w:space="0" w:color="auto"/>
        <w:left w:val="none" w:sz="0" w:space="0" w:color="auto"/>
        <w:bottom w:val="none" w:sz="0" w:space="0" w:color="auto"/>
        <w:right w:val="none" w:sz="0" w:space="0" w:color="auto"/>
      </w:divBdr>
    </w:div>
    <w:div w:id="136266523">
      <w:bodyDiv w:val="1"/>
      <w:marLeft w:val="0"/>
      <w:marRight w:val="0"/>
      <w:marTop w:val="0"/>
      <w:marBottom w:val="0"/>
      <w:divBdr>
        <w:top w:val="none" w:sz="0" w:space="0" w:color="auto"/>
        <w:left w:val="none" w:sz="0" w:space="0" w:color="auto"/>
        <w:bottom w:val="none" w:sz="0" w:space="0" w:color="auto"/>
        <w:right w:val="none" w:sz="0" w:space="0" w:color="auto"/>
      </w:divBdr>
    </w:div>
    <w:div w:id="153300142">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29295043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360939441">
      <w:bodyDiv w:val="1"/>
      <w:marLeft w:val="0"/>
      <w:marRight w:val="0"/>
      <w:marTop w:val="0"/>
      <w:marBottom w:val="0"/>
      <w:divBdr>
        <w:top w:val="none" w:sz="0" w:space="0" w:color="auto"/>
        <w:left w:val="none" w:sz="0" w:space="0" w:color="auto"/>
        <w:bottom w:val="none" w:sz="0" w:space="0" w:color="auto"/>
        <w:right w:val="none" w:sz="0" w:space="0" w:color="auto"/>
      </w:divBdr>
    </w:div>
    <w:div w:id="444082592">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07065728">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36573080">
      <w:bodyDiv w:val="1"/>
      <w:marLeft w:val="0"/>
      <w:marRight w:val="0"/>
      <w:marTop w:val="0"/>
      <w:marBottom w:val="0"/>
      <w:divBdr>
        <w:top w:val="none" w:sz="0" w:space="0" w:color="auto"/>
        <w:left w:val="none" w:sz="0" w:space="0" w:color="auto"/>
        <w:bottom w:val="none" w:sz="0" w:space="0" w:color="auto"/>
        <w:right w:val="none" w:sz="0" w:space="0" w:color="auto"/>
      </w:divBdr>
    </w:div>
    <w:div w:id="652217708">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07534318">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783378041">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41377836">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26979679">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071973087">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158765721">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307321111">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53747432">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2818077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6152438">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75658652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19000058">
      <w:bodyDiv w:val="1"/>
      <w:marLeft w:val="0"/>
      <w:marRight w:val="0"/>
      <w:marTop w:val="0"/>
      <w:marBottom w:val="0"/>
      <w:divBdr>
        <w:top w:val="none" w:sz="0" w:space="0" w:color="auto"/>
        <w:left w:val="none" w:sz="0" w:space="0" w:color="auto"/>
        <w:bottom w:val="none" w:sz="0" w:space="0" w:color="auto"/>
        <w:right w:val="none" w:sz="0" w:space="0" w:color="auto"/>
      </w:divBdr>
    </w:div>
    <w:div w:id="2118482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itreetools.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sensor.community/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FC88BA3-56E9-466E-88CE-B17AAC6A8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57144</Words>
  <Characters>325722</Characters>
  <Application>Microsoft Office Word</Application>
  <DocSecurity>0</DocSecurity>
  <Lines>2714</Lines>
  <Paragraphs>764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1</Company>
  <LinksUpToDate>false</LinksUpToDate>
  <CharactersWithSpaces>382102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Алексей Ярославцев</cp:lastModifiedBy>
  <cp:revision>2</cp:revision>
  <dcterms:created xsi:type="dcterms:W3CDTF">2020-05-05T05:05:00Z</dcterms:created>
  <dcterms:modified xsi:type="dcterms:W3CDTF">2020-05-05T05:05:00Z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id="TrBMNjxA"/&gt;&lt;style id="http://www.zotero.org/styles/ecosystem-services"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