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BE" w:rsidRPr="00E2327A" w:rsidRDefault="009176BE" w:rsidP="009176BE">
      <w:pPr>
        <w:pStyle w:val="NoSpacing"/>
        <w:rPr>
          <w:rFonts w:ascii="Times New Roman" w:hAnsi="Times New Roman" w:cs="Times New Roman"/>
          <w:b/>
          <w:bCs/>
          <w:szCs w:val="22"/>
        </w:rPr>
      </w:pPr>
      <w:r w:rsidRPr="00E2327A">
        <w:rPr>
          <w:rFonts w:ascii="Times New Roman" w:hAnsi="Times New Roman" w:cs="Times New Roman"/>
          <w:b/>
          <w:bCs/>
          <w:szCs w:val="22"/>
        </w:rPr>
        <w:t xml:space="preserve">Agency: </w:t>
      </w:r>
      <w:r w:rsidRPr="00E2327A">
        <w:rPr>
          <w:rFonts w:ascii="Times New Roman" w:hAnsi="Times New Roman" w:cs="Times New Roman"/>
          <w:b/>
          <w:bCs/>
          <w:szCs w:val="22"/>
        </w:rPr>
        <w:tab/>
      </w:r>
      <w:r w:rsidRPr="00E2327A">
        <w:rPr>
          <w:rFonts w:ascii="Times New Roman" w:hAnsi="Times New Roman" w:cs="Times New Roman"/>
          <w:b/>
          <w:bCs/>
          <w:szCs w:val="22"/>
        </w:rPr>
        <w:tab/>
        <w:t>Bhutan Postal Corporation Limited, Thimphu.</w:t>
      </w:r>
    </w:p>
    <w:p w:rsidR="009176BE" w:rsidRPr="00E2327A" w:rsidRDefault="009176BE" w:rsidP="009176BE">
      <w:pPr>
        <w:pStyle w:val="NoSpacing"/>
        <w:rPr>
          <w:rFonts w:ascii="Times New Roman" w:hAnsi="Times New Roman" w:cs="Times New Roman"/>
          <w:b/>
          <w:bCs/>
          <w:szCs w:val="22"/>
        </w:rPr>
      </w:pPr>
      <w:r w:rsidRPr="00E2327A">
        <w:rPr>
          <w:rFonts w:ascii="Times New Roman" w:hAnsi="Times New Roman" w:cs="Times New Roman"/>
          <w:b/>
          <w:bCs/>
          <w:szCs w:val="22"/>
        </w:rPr>
        <w:t xml:space="preserve">Report no: </w:t>
      </w:r>
      <w:r w:rsidRPr="00E2327A">
        <w:rPr>
          <w:rFonts w:ascii="Times New Roman" w:hAnsi="Times New Roman" w:cs="Times New Roman"/>
          <w:b/>
          <w:bCs/>
          <w:szCs w:val="22"/>
        </w:rPr>
        <w:tab/>
      </w:r>
      <w:r w:rsidRPr="00E2327A">
        <w:rPr>
          <w:rFonts w:ascii="Times New Roman" w:hAnsi="Times New Roman" w:cs="Times New Roman"/>
          <w:b/>
          <w:bCs/>
          <w:szCs w:val="22"/>
        </w:rPr>
        <w:tab/>
        <w:t>RAA/(AR-</w:t>
      </w:r>
      <w:r w:rsidR="0010702C" w:rsidRPr="00E2327A">
        <w:rPr>
          <w:rFonts w:ascii="Times New Roman" w:hAnsi="Times New Roman" w:cs="Times New Roman"/>
          <w:b/>
          <w:bCs/>
          <w:szCs w:val="22"/>
        </w:rPr>
        <w:t>28) CIFD</w:t>
      </w:r>
      <w:r w:rsidRPr="00E2327A">
        <w:rPr>
          <w:rFonts w:ascii="Times New Roman" w:hAnsi="Times New Roman" w:cs="Times New Roman"/>
          <w:b/>
          <w:bCs/>
          <w:szCs w:val="22"/>
        </w:rPr>
        <w:t>/2019/3077 dated 25.12.2019</w:t>
      </w:r>
    </w:p>
    <w:p w:rsidR="009176BE" w:rsidRPr="00E2327A" w:rsidRDefault="009176BE" w:rsidP="009176BE">
      <w:pPr>
        <w:pStyle w:val="NoSpacing"/>
        <w:rPr>
          <w:rFonts w:ascii="Times New Roman" w:hAnsi="Times New Roman" w:cs="Times New Roman"/>
          <w:b/>
          <w:bCs/>
          <w:szCs w:val="22"/>
        </w:rPr>
      </w:pPr>
      <w:r w:rsidRPr="00E2327A">
        <w:rPr>
          <w:rFonts w:ascii="Times New Roman" w:hAnsi="Times New Roman" w:cs="Times New Roman"/>
          <w:b/>
          <w:bCs/>
          <w:szCs w:val="22"/>
        </w:rPr>
        <w:t xml:space="preserve">Period covered: </w:t>
      </w:r>
      <w:r w:rsidRPr="00E2327A">
        <w:rPr>
          <w:rFonts w:ascii="Times New Roman" w:hAnsi="Times New Roman" w:cs="Times New Roman"/>
          <w:b/>
          <w:bCs/>
          <w:szCs w:val="22"/>
        </w:rPr>
        <w:tab/>
        <w:t>1.1.2015 to 31.12.2018</w:t>
      </w:r>
    </w:p>
    <w:p w:rsidR="009176BE" w:rsidRPr="00E2327A" w:rsidRDefault="009176BE" w:rsidP="009176BE">
      <w:pPr>
        <w:pStyle w:val="NoSpacing"/>
        <w:rPr>
          <w:rFonts w:ascii="Times New Roman" w:hAnsi="Times New Roman" w:cs="Times New Roman"/>
          <w:b/>
          <w:bCs/>
          <w:szCs w:val="22"/>
        </w:rPr>
      </w:pPr>
      <w:r w:rsidRPr="00E2327A">
        <w:rPr>
          <w:rFonts w:ascii="Times New Roman" w:hAnsi="Times New Roman" w:cs="Times New Roman"/>
          <w:b/>
          <w:bCs/>
          <w:szCs w:val="22"/>
        </w:rPr>
        <w:t xml:space="preserve">AIN </w:t>
      </w:r>
      <w:r w:rsidR="0010702C" w:rsidRPr="00E2327A">
        <w:rPr>
          <w:rFonts w:ascii="Times New Roman" w:hAnsi="Times New Roman" w:cs="Times New Roman"/>
          <w:b/>
          <w:bCs/>
          <w:szCs w:val="22"/>
        </w:rPr>
        <w:t>no:</w:t>
      </w:r>
      <w:r w:rsidRPr="00E2327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E2327A">
        <w:rPr>
          <w:rFonts w:ascii="Times New Roman" w:hAnsi="Times New Roman" w:cs="Times New Roman"/>
          <w:b/>
          <w:bCs/>
          <w:szCs w:val="22"/>
        </w:rPr>
        <w:tab/>
      </w:r>
      <w:r w:rsidRPr="00E2327A">
        <w:rPr>
          <w:rFonts w:ascii="Times New Roman" w:hAnsi="Times New Roman" w:cs="Times New Roman"/>
          <w:b/>
          <w:bCs/>
          <w:szCs w:val="22"/>
        </w:rPr>
        <w:tab/>
        <w:t>16401</w:t>
      </w:r>
    </w:p>
    <w:p w:rsidR="00324540" w:rsidRPr="00E2327A" w:rsidRDefault="0010702C" w:rsidP="009176BE">
      <w:pPr>
        <w:pStyle w:val="NoSpacing"/>
        <w:rPr>
          <w:rFonts w:ascii="Times New Roman" w:hAnsi="Times New Roman" w:cs="Times New Roman"/>
          <w:b/>
          <w:bCs/>
          <w:szCs w:val="22"/>
        </w:rPr>
      </w:pPr>
      <w:r w:rsidRPr="00E2327A">
        <w:rPr>
          <w:rFonts w:ascii="Times New Roman" w:hAnsi="Times New Roman" w:cs="Times New Roman"/>
          <w:b/>
          <w:bCs/>
          <w:szCs w:val="22"/>
        </w:rPr>
        <w:t xml:space="preserve">            </w:t>
      </w:r>
      <w:r w:rsidRPr="00E2327A">
        <w:rPr>
          <w:rFonts w:ascii="Times New Roman" w:hAnsi="Times New Roman" w:cs="Times New Roman"/>
          <w:b/>
          <w:bCs/>
          <w:szCs w:val="22"/>
        </w:rPr>
        <w:tab/>
      </w:r>
      <w:r w:rsidR="008F5802" w:rsidRPr="00E2327A">
        <w:rPr>
          <w:rFonts w:ascii="Times New Roman" w:hAnsi="Times New Roman" w:cs="Times New Roman"/>
          <w:b/>
          <w:bCs/>
          <w:szCs w:val="22"/>
        </w:rPr>
        <w:tab/>
      </w:r>
      <w:r w:rsidR="00E2327A">
        <w:rPr>
          <w:rFonts w:ascii="Times New Roman" w:hAnsi="Times New Roman" w:cs="Times New Roman"/>
          <w:b/>
          <w:bCs/>
          <w:szCs w:val="22"/>
        </w:rPr>
        <w:tab/>
      </w:r>
      <w:r w:rsidR="008F5802" w:rsidRPr="00E2327A">
        <w:rPr>
          <w:rFonts w:ascii="Times New Roman" w:hAnsi="Times New Roman" w:cs="Times New Roman"/>
          <w:b/>
          <w:bCs/>
          <w:szCs w:val="22"/>
        </w:rPr>
        <w:t>Action Taken report</w:t>
      </w:r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715"/>
        <w:gridCol w:w="3240"/>
        <w:gridCol w:w="3462"/>
        <w:gridCol w:w="3648"/>
        <w:gridCol w:w="1440"/>
        <w:gridCol w:w="1080"/>
      </w:tblGrid>
      <w:tr w:rsidR="0010702C" w:rsidTr="00CD24A0">
        <w:tc>
          <w:tcPr>
            <w:tcW w:w="715" w:type="dxa"/>
          </w:tcPr>
          <w:p w:rsidR="0010702C" w:rsidRPr="00E2327A" w:rsidRDefault="00324540" w:rsidP="009176B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2327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Obs.</w:t>
            </w:r>
          </w:p>
          <w:p w:rsidR="00324540" w:rsidRPr="00E2327A" w:rsidRDefault="00324540" w:rsidP="009176B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2327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3240" w:type="dxa"/>
          </w:tcPr>
          <w:p w:rsidR="00324540" w:rsidRPr="00E2327A" w:rsidRDefault="00324540" w:rsidP="009176B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2327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Observation in brief</w:t>
            </w:r>
          </w:p>
        </w:tc>
        <w:tc>
          <w:tcPr>
            <w:tcW w:w="3462" w:type="dxa"/>
          </w:tcPr>
          <w:p w:rsidR="00324540" w:rsidRPr="00E2327A" w:rsidRDefault="00324540" w:rsidP="009176B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2327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RAA’s last comments</w:t>
            </w:r>
          </w:p>
        </w:tc>
        <w:tc>
          <w:tcPr>
            <w:tcW w:w="3648" w:type="dxa"/>
          </w:tcPr>
          <w:p w:rsidR="00324540" w:rsidRPr="00E2327A" w:rsidRDefault="00324540" w:rsidP="009176B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2327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Auditee’s responses</w:t>
            </w:r>
            <w:r w:rsidR="00721F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/Action Taken Report</w:t>
            </w:r>
          </w:p>
        </w:tc>
        <w:tc>
          <w:tcPr>
            <w:tcW w:w="1440" w:type="dxa"/>
          </w:tcPr>
          <w:p w:rsidR="00324540" w:rsidRPr="00E2327A" w:rsidRDefault="00324540" w:rsidP="009176B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2327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RAA’s Further Comments</w:t>
            </w:r>
          </w:p>
        </w:tc>
        <w:tc>
          <w:tcPr>
            <w:tcW w:w="1080" w:type="dxa"/>
          </w:tcPr>
          <w:p w:rsidR="00324540" w:rsidRPr="00E2327A" w:rsidRDefault="00324540" w:rsidP="009176B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2327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Current status</w:t>
            </w:r>
          </w:p>
        </w:tc>
      </w:tr>
      <w:tr w:rsidR="0010702C" w:rsidTr="00CD24A0">
        <w:tc>
          <w:tcPr>
            <w:tcW w:w="715" w:type="dxa"/>
          </w:tcPr>
          <w:p w:rsidR="00324540" w:rsidRPr="009176BE" w:rsidRDefault="00324540" w:rsidP="009176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240" w:type="dxa"/>
          </w:tcPr>
          <w:p w:rsidR="00324540" w:rsidRPr="00E2327A" w:rsidRDefault="00324540" w:rsidP="00CD24A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2327A">
              <w:rPr>
                <w:rFonts w:ascii="Times New Roman" w:hAnsi="Times New Roman" w:cs="Times New Roman"/>
                <w:szCs w:val="22"/>
              </w:rPr>
              <w:t>Non –recovery of the in admissible 50% salary paid during suspension N. 22,296.00</w:t>
            </w:r>
          </w:p>
        </w:tc>
        <w:tc>
          <w:tcPr>
            <w:tcW w:w="3462" w:type="dxa"/>
          </w:tcPr>
          <w:p w:rsidR="00324540" w:rsidRPr="00E2327A" w:rsidRDefault="00324540" w:rsidP="0032454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2327A">
              <w:rPr>
                <w:rFonts w:ascii="Times New Roman" w:hAnsi="Times New Roman" w:cs="Times New Roman"/>
                <w:szCs w:val="22"/>
              </w:rPr>
              <w:t>For necessary action, the auditee agency is requested to re-produce a copy of petition letter submitted to the court</w:t>
            </w:r>
            <w:r w:rsidRPr="00E2327A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  <w:p w:rsidR="00324540" w:rsidRPr="00E2327A" w:rsidRDefault="00324540" w:rsidP="0032454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2327A">
              <w:rPr>
                <w:rFonts w:ascii="Times New Roman" w:hAnsi="Times New Roman" w:cs="Times New Roman"/>
                <w:szCs w:val="22"/>
              </w:rPr>
              <w:t>Till the agency produce the said documents, RAA shall treat the observation as not settled</w:t>
            </w:r>
            <w:r w:rsidRPr="00E2327A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  <w:p w:rsidR="00CD24A0" w:rsidRPr="00E2327A" w:rsidRDefault="00CD24A0" w:rsidP="0032454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648" w:type="dxa"/>
          </w:tcPr>
          <w:p w:rsidR="00324540" w:rsidRPr="00E2327A" w:rsidRDefault="0010702C" w:rsidP="0010702C">
            <w:pPr>
              <w:rPr>
                <w:rFonts w:ascii="Times New Roman" w:hAnsi="Times New Roman" w:cs="Times New Roman"/>
                <w:szCs w:val="22"/>
              </w:rPr>
            </w:pPr>
            <w:r w:rsidRPr="00E2327A">
              <w:rPr>
                <w:rFonts w:ascii="Times New Roman" w:hAnsi="Times New Roman" w:cs="Times New Roman"/>
                <w:szCs w:val="22"/>
              </w:rPr>
              <w:t>Could not trace out where about this employee and could not collect any information and detailed address</w:t>
            </w:r>
            <w:r w:rsidR="00CD24A0" w:rsidRPr="00E2327A">
              <w:rPr>
                <w:rFonts w:ascii="Times New Roman" w:hAnsi="Times New Roman" w:cs="Times New Roman"/>
                <w:szCs w:val="22"/>
              </w:rPr>
              <w:t>.</w:t>
            </w:r>
          </w:p>
          <w:p w:rsidR="00E2327A" w:rsidRPr="00E2327A" w:rsidRDefault="00E2327A" w:rsidP="0010702C">
            <w:pPr>
              <w:rPr>
                <w:rFonts w:ascii="Times New Roman" w:hAnsi="Times New Roman" w:cs="Times New Roman"/>
                <w:szCs w:val="22"/>
              </w:rPr>
            </w:pPr>
          </w:p>
          <w:p w:rsidR="00E2327A" w:rsidRPr="00E2327A" w:rsidRDefault="00E2327A" w:rsidP="0010702C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2327A">
              <w:rPr>
                <w:rFonts w:ascii="Times New Roman" w:hAnsi="Times New Roman" w:cs="Times New Roman"/>
                <w:b/>
                <w:bCs/>
                <w:szCs w:val="22"/>
              </w:rPr>
              <w:t xml:space="preserve">Action Taken Report for seeking advice from RAA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for write off </w:t>
            </w:r>
            <w:r w:rsidRPr="00E2327A">
              <w:rPr>
                <w:rFonts w:ascii="Times New Roman" w:hAnsi="Times New Roman" w:cs="Times New Roman"/>
                <w:b/>
                <w:bCs/>
                <w:szCs w:val="22"/>
              </w:rPr>
              <w:t xml:space="preserve">is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being </w:t>
            </w:r>
            <w:r w:rsidRPr="00E2327A">
              <w:rPr>
                <w:rFonts w:ascii="Times New Roman" w:hAnsi="Times New Roman" w:cs="Times New Roman"/>
                <w:b/>
                <w:bCs/>
                <w:szCs w:val="22"/>
              </w:rPr>
              <w:t>submitted vide our letter no</w:t>
            </w:r>
          </w:p>
          <w:p w:rsidR="00E2327A" w:rsidRPr="00E2327A" w:rsidRDefault="00E2327A" w:rsidP="0010702C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2327A">
              <w:rPr>
                <w:rFonts w:ascii="Times New Roman" w:hAnsi="Times New Roman" w:cs="Times New Roman"/>
                <w:b/>
                <w:bCs/>
                <w:szCs w:val="22"/>
              </w:rPr>
              <w:t>BP/IAU-01/2024/38 dated 2.7.2024</w:t>
            </w:r>
          </w:p>
          <w:p w:rsidR="00CD24A0" w:rsidRPr="00E2327A" w:rsidRDefault="00CD24A0" w:rsidP="0010702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40" w:type="dxa"/>
          </w:tcPr>
          <w:p w:rsidR="00324540" w:rsidRPr="009176BE" w:rsidRDefault="00324540" w:rsidP="009176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324540" w:rsidRPr="00E2327A" w:rsidRDefault="00E2327A" w:rsidP="009176B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32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Waiting for further directives </w:t>
            </w:r>
          </w:p>
        </w:tc>
      </w:tr>
      <w:tr w:rsidR="0010702C" w:rsidTr="00CD24A0">
        <w:tc>
          <w:tcPr>
            <w:tcW w:w="715" w:type="dxa"/>
          </w:tcPr>
          <w:p w:rsidR="00324540" w:rsidRDefault="00324540" w:rsidP="009176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240" w:type="dxa"/>
          </w:tcPr>
          <w:p w:rsidR="00324540" w:rsidRPr="00E2327A" w:rsidRDefault="00324540" w:rsidP="00CD24A0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E2327A">
              <w:rPr>
                <w:rFonts w:ascii="Times New Roman" w:hAnsi="Times New Roman" w:cs="Times New Roman"/>
                <w:szCs w:val="22"/>
              </w:rPr>
              <w:t>Wrong pay fixation resulting in excess payment of Nu. 4,787,280.00</w:t>
            </w:r>
          </w:p>
          <w:p w:rsidR="0010702C" w:rsidRPr="00E2327A" w:rsidRDefault="0010702C" w:rsidP="00CD24A0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  <w:p w:rsidR="00324540" w:rsidRPr="00E2327A" w:rsidRDefault="00324540" w:rsidP="00CD24A0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E2327A">
              <w:rPr>
                <w:rFonts w:ascii="Times New Roman" w:hAnsi="Times New Roman" w:cs="Times New Roman"/>
                <w:szCs w:val="22"/>
              </w:rPr>
              <w:t>Upon RAA’s instruction, the management carried out the actual excess/less payment made to employees as follows:</w:t>
            </w:r>
          </w:p>
          <w:p w:rsidR="00324540" w:rsidRPr="00E2327A" w:rsidRDefault="00324540" w:rsidP="00CD24A0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  <w:p w:rsidR="00324540" w:rsidRPr="00E2327A" w:rsidRDefault="00324540" w:rsidP="00CD24A0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E2327A">
              <w:rPr>
                <w:rFonts w:ascii="Times New Roman" w:hAnsi="Times New Roman" w:cs="Times New Roman"/>
                <w:szCs w:val="22"/>
              </w:rPr>
              <w:t>Excess payment made</w:t>
            </w:r>
          </w:p>
          <w:p w:rsidR="00324540" w:rsidRPr="00E2327A" w:rsidRDefault="00324540" w:rsidP="00CD24A0">
            <w:pPr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2327A">
              <w:rPr>
                <w:rFonts w:ascii="Times New Roman" w:hAnsi="Times New Roman" w:cs="Times New Roman"/>
                <w:b/>
                <w:bCs/>
                <w:szCs w:val="22"/>
              </w:rPr>
              <w:t>Nu. 2,235,604.00</w:t>
            </w:r>
          </w:p>
          <w:p w:rsidR="00CD24A0" w:rsidRPr="00E2327A" w:rsidRDefault="00CD24A0" w:rsidP="00CD24A0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  <w:p w:rsidR="00324540" w:rsidRPr="00E2327A" w:rsidRDefault="00324540" w:rsidP="00CD24A0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E2327A">
              <w:rPr>
                <w:rFonts w:ascii="Times New Roman" w:hAnsi="Times New Roman" w:cs="Times New Roman"/>
                <w:szCs w:val="22"/>
              </w:rPr>
              <w:t xml:space="preserve">Less payment made </w:t>
            </w:r>
          </w:p>
          <w:p w:rsidR="00324540" w:rsidRPr="00E2327A" w:rsidRDefault="00324540" w:rsidP="00CD24A0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 w:rsidRPr="00E2327A">
              <w:rPr>
                <w:rFonts w:ascii="Times New Roman" w:hAnsi="Times New Roman" w:cs="Times New Roman"/>
                <w:b/>
                <w:bCs/>
                <w:szCs w:val="22"/>
              </w:rPr>
              <w:t>Nu. 255,1676.00</w:t>
            </w:r>
          </w:p>
        </w:tc>
        <w:tc>
          <w:tcPr>
            <w:tcW w:w="3462" w:type="dxa"/>
          </w:tcPr>
          <w:p w:rsidR="001E6BD7" w:rsidRPr="00E2327A" w:rsidRDefault="001E6BD7" w:rsidP="00324540">
            <w:pPr>
              <w:rPr>
                <w:rFonts w:ascii="Times New Roman" w:hAnsi="Times New Roman" w:cs="Times New Roman"/>
                <w:szCs w:val="22"/>
              </w:rPr>
            </w:pPr>
            <w:r w:rsidRPr="00E2327A">
              <w:rPr>
                <w:rFonts w:ascii="Times New Roman" w:hAnsi="Times New Roman" w:cs="Times New Roman"/>
                <w:szCs w:val="22"/>
              </w:rPr>
              <w:t xml:space="preserve">Recovered </w:t>
            </w:r>
            <w:r w:rsidRPr="00E2327A">
              <w:rPr>
                <w:rFonts w:ascii="Times New Roman" w:hAnsi="Times New Roman" w:cs="Times New Roman"/>
                <w:b/>
                <w:bCs/>
                <w:szCs w:val="22"/>
              </w:rPr>
              <w:t>Nu. 20</w:t>
            </w:r>
            <w:r w:rsidR="00742329" w:rsidRPr="00E2327A">
              <w:rPr>
                <w:rFonts w:ascii="Times New Roman" w:hAnsi="Times New Roman" w:cs="Times New Roman"/>
                <w:b/>
                <w:bCs/>
                <w:szCs w:val="22"/>
              </w:rPr>
              <w:t>,</w:t>
            </w:r>
            <w:r w:rsidRPr="00E2327A">
              <w:rPr>
                <w:rFonts w:ascii="Times New Roman" w:hAnsi="Times New Roman" w:cs="Times New Roman"/>
                <w:b/>
                <w:bCs/>
                <w:szCs w:val="22"/>
              </w:rPr>
              <w:t>65</w:t>
            </w:r>
            <w:r w:rsidR="00742329" w:rsidRPr="00E2327A">
              <w:rPr>
                <w:rFonts w:ascii="Times New Roman" w:hAnsi="Times New Roman" w:cs="Times New Roman"/>
                <w:b/>
                <w:bCs/>
                <w:szCs w:val="22"/>
              </w:rPr>
              <w:t>,</w:t>
            </w:r>
            <w:r w:rsidRPr="00E2327A">
              <w:rPr>
                <w:rFonts w:ascii="Times New Roman" w:hAnsi="Times New Roman" w:cs="Times New Roman"/>
                <w:b/>
                <w:bCs/>
                <w:szCs w:val="22"/>
              </w:rPr>
              <w:t>619.00</w:t>
            </w:r>
          </w:p>
          <w:p w:rsidR="001E6BD7" w:rsidRPr="00E2327A" w:rsidRDefault="001E6BD7" w:rsidP="00324540">
            <w:pPr>
              <w:rPr>
                <w:rFonts w:ascii="Times New Roman" w:hAnsi="Times New Roman" w:cs="Times New Roman"/>
                <w:szCs w:val="22"/>
              </w:rPr>
            </w:pPr>
          </w:p>
          <w:p w:rsidR="001E6BD7" w:rsidRPr="00E2327A" w:rsidRDefault="00324540" w:rsidP="00324540">
            <w:pPr>
              <w:rPr>
                <w:rFonts w:ascii="Times New Roman" w:hAnsi="Times New Roman" w:cs="Times New Roman"/>
                <w:szCs w:val="22"/>
              </w:rPr>
            </w:pPr>
            <w:r w:rsidRPr="00E2327A">
              <w:rPr>
                <w:rFonts w:ascii="Times New Roman" w:hAnsi="Times New Roman" w:cs="Times New Roman"/>
                <w:szCs w:val="22"/>
              </w:rPr>
              <w:t xml:space="preserve">As of the audit period, there is balance amount of </w:t>
            </w:r>
          </w:p>
          <w:p w:rsidR="00324540" w:rsidRPr="00E2327A" w:rsidRDefault="00324540" w:rsidP="00324540">
            <w:pPr>
              <w:rPr>
                <w:rFonts w:ascii="Times New Roman" w:hAnsi="Times New Roman" w:cs="Times New Roman"/>
                <w:szCs w:val="22"/>
              </w:rPr>
            </w:pPr>
            <w:r w:rsidRPr="00E2327A">
              <w:rPr>
                <w:rFonts w:ascii="Times New Roman" w:hAnsi="Times New Roman" w:cs="Times New Roman"/>
                <w:b/>
                <w:bCs/>
                <w:szCs w:val="22"/>
              </w:rPr>
              <w:t>Nu. 169,985.00</w:t>
            </w:r>
            <w:r w:rsidRPr="00E2327A">
              <w:rPr>
                <w:rFonts w:ascii="Times New Roman" w:hAnsi="Times New Roman" w:cs="Times New Roman"/>
                <w:szCs w:val="22"/>
              </w:rPr>
              <w:t xml:space="preserve"> to be recover. There are difficulties in the collection and facing strong resistance from employee. </w:t>
            </w:r>
          </w:p>
          <w:p w:rsidR="001E6BD7" w:rsidRPr="00E2327A" w:rsidRDefault="001E6BD7" w:rsidP="00324540">
            <w:pPr>
              <w:rPr>
                <w:rFonts w:ascii="Times New Roman" w:hAnsi="Times New Roman" w:cs="Times New Roman"/>
                <w:szCs w:val="22"/>
              </w:rPr>
            </w:pPr>
          </w:p>
          <w:p w:rsidR="00324540" w:rsidRPr="00E2327A" w:rsidRDefault="00324540" w:rsidP="0032454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2327A">
              <w:rPr>
                <w:rFonts w:ascii="Times New Roman" w:hAnsi="Times New Roman" w:cs="Times New Roman"/>
                <w:szCs w:val="22"/>
              </w:rPr>
              <w:t>Therefore, agency forwarded the case to legal unit</w:t>
            </w:r>
            <w:r w:rsidRPr="00E2327A"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r w:rsidRPr="00E2327A">
              <w:rPr>
                <w:rFonts w:ascii="Times New Roman" w:hAnsi="Times New Roman" w:cs="Times New Roman"/>
                <w:szCs w:val="22"/>
              </w:rPr>
              <w:t>to take action accordingly. RAA waits the court verdict and till</w:t>
            </w:r>
            <w:r w:rsidRPr="00E2327A"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r w:rsidRPr="00E2327A">
              <w:rPr>
                <w:rFonts w:ascii="Times New Roman" w:hAnsi="Times New Roman" w:cs="Times New Roman"/>
                <w:szCs w:val="22"/>
              </w:rPr>
              <w:t>then the observations will be treated as not settled.</w:t>
            </w:r>
          </w:p>
        </w:tc>
        <w:tc>
          <w:tcPr>
            <w:tcW w:w="3648" w:type="dxa"/>
          </w:tcPr>
          <w:p w:rsidR="0010702C" w:rsidRPr="00E2327A" w:rsidRDefault="0010702C" w:rsidP="0010702C">
            <w:pPr>
              <w:rPr>
                <w:rFonts w:ascii="Times New Roman" w:hAnsi="Times New Roman" w:cs="Times New Roman"/>
                <w:szCs w:val="22"/>
              </w:rPr>
            </w:pPr>
            <w:r w:rsidRPr="00E2327A">
              <w:rPr>
                <w:rFonts w:ascii="Times New Roman" w:hAnsi="Times New Roman" w:cs="Times New Roman"/>
                <w:szCs w:val="22"/>
              </w:rPr>
              <w:t xml:space="preserve">Based on the recommendation from RAA, the case has been forwarded to legal unit for taking necessary legal action. </w:t>
            </w:r>
          </w:p>
          <w:p w:rsidR="00324540" w:rsidRDefault="0010702C" w:rsidP="0010702C">
            <w:pPr>
              <w:rPr>
                <w:rFonts w:ascii="Times New Roman" w:hAnsi="Times New Roman" w:cs="Times New Roman"/>
                <w:szCs w:val="22"/>
              </w:rPr>
            </w:pPr>
            <w:r w:rsidRPr="00E2327A">
              <w:rPr>
                <w:rFonts w:ascii="Times New Roman" w:hAnsi="Times New Roman" w:cs="Times New Roman"/>
                <w:szCs w:val="22"/>
              </w:rPr>
              <w:t>However, despite of repeated follow up with separated employees of Bhutan Post &amp; CBS through different mode of social media, none of the employees responded. Therefore,</w:t>
            </w:r>
            <w:r w:rsidR="003372D4" w:rsidRPr="00E2327A">
              <w:rPr>
                <w:rFonts w:ascii="Times New Roman" w:hAnsi="Times New Roman" w:cs="Times New Roman"/>
                <w:szCs w:val="22"/>
              </w:rPr>
              <w:t xml:space="preserve"> due to lack of the </w:t>
            </w:r>
            <w:r w:rsidR="00CD24A0" w:rsidRPr="00E2327A">
              <w:rPr>
                <w:rFonts w:ascii="Times New Roman" w:hAnsi="Times New Roman" w:cs="Times New Roman"/>
                <w:szCs w:val="22"/>
              </w:rPr>
              <w:t xml:space="preserve">detailed </w:t>
            </w:r>
            <w:r w:rsidR="003372D4" w:rsidRPr="00E2327A">
              <w:rPr>
                <w:rFonts w:ascii="Times New Roman" w:hAnsi="Times New Roman" w:cs="Times New Roman"/>
                <w:szCs w:val="22"/>
              </w:rPr>
              <w:t>information,</w:t>
            </w:r>
            <w:r w:rsidRPr="00E2327A">
              <w:rPr>
                <w:rFonts w:ascii="Times New Roman" w:hAnsi="Times New Roman" w:cs="Times New Roman"/>
                <w:szCs w:val="22"/>
              </w:rPr>
              <w:t xml:space="preserve"> legal unit could not process for submission of petition, instead forwarded the case back </w:t>
            </w:r>
            <w:r w:rsidR="003372D4" w:rsidRPr="00E2327A">
              <w:rPr>
                <w:rFonts w:ascii="Times New Roman" w:hAnsi="Times New Roman" w:cs="Times New Roman"/>
                <w:szCs w:val="22"/>
              </w:rPr>
              <w:t xml:space="preserve">to Management to initiate further </w:t>
            </w:r>
            <w:r w:rsidRPr="00E2327A">
              <w:rPr>
                <w:rFonts w:ascii="Times New Roman" w:hAnsi="Times New Roman" w:cs="Times New Roman"/>
                <w:szCs w:val="22"/>
              </w:rPr>
              <w:t>action.</w:t>
            </w:r>
          </w:p>
          <w:p w:rsidR="00E2327A" w:rsidRDefault="00E2327A" w:rsidP="0010702C">
            <w:pPr>
              <w:rPr>
                <w:rFonts w:ascii="Times New Roman" w:hAnsi="Times New Roman" w:cs="Times New Roman"/>
                <w:szCs w:val="22"/>
              </w:rPr>
            </w:pPr>
          </w:p>
          <w:p w:rsidR="00E2327A" w:rsidRPr="00E2327A" w:rsidRDefault="00E2327A" w:rsidP="0010702C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2327A">
              <w:rPr>
                <w:rFonts w:ascii="Times New Roman" w:hAnsi="Times New Roman" w:cs="Times New Roman"/>
                <w:b/>
                <w:bCs/>
                <w:szCs w:val="22"/>
              </w:rPr>
              <w:t>Action Taken Report for seeking advice from for write off is being submitted vide our letter no BP/IAU-01/2024/38 dated 2.7.2024</w:t>
            </w:r>
          </w:p>
          <w:p w:rsidR="00CD24A0" w:rsidRPr="00E2327A" w:rsidRDefault="00CD24A0" w:rsidP="0010702C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440" w:type="dxa"/>
          </w:tcPr>
          <w:p w:rsidR="00324540" w:rsidRPr="009176BE" w:rsidRDefault="00324540" w:rsidP="009176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324540" w:rsidRPr="00E2327A" w:rsidRDefault="00E2327A" w:rsidP="009176B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32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Waiting for further directives</w:t>
            </w:r>
          </w:p>
        </w:tc>
      </w:tr>
    </w:tbl>
    <w:p w:rsidR="004B27CC" w:rsidRDefault="004B27CC" w:rsidP="004B27CC">
      <w:pPr>
        <w:pStyle w:val="NoSpacing"/>
      </w:pPr>
      <w:bookmarkStart w:id="0" w:name="_GoBack"/>
      <w:bookmarkEnd w:id="0"/>
    </w:p>
    <w:sectPr w:rsidR="004B27CC" w:rsidSect="009176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AB9" w:rsidRDefault="00692AB9" w:rsidP="00CD24A0">
      <w:pPr>
        <w:spacing w:after="0" w:line="240" w:lineRule="auto"/>
      </w:pPr>
      <w:r>
        <w:separator/>
      </w:r>
    </w:p>
  </w:endnote>
  <w:endnote w:type="continuationSeparator" w:id="0">
    <w:p w:rsidR="00692AB9" w:rsidRDefault="00692AB9" w:rsidP="00CD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AB9" w:rsidRDefault="00692AB9" w:rsidP="00CD24A0">
      <w:pPr>
        <w:spacing w:after="0" w:line="240" w:lineRule="auto"/>
      </w:pPr>
      <w:r>
        <w:separator/>
      </w:r>
    </w:p>
  </w:footnote>
  <w:footnote w:type="continuationSeparator" w:id="0">
    <w:p w:rsidR="00692AB9" w:rsidRDefault="00692AB9" w:rsidP="00CD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80AA2"/>
    <w:multiLevelType w:val="hybridMultilevel"/>
    <w:tmpl w:val="384AD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42461"/>
    <w:multiLevelType w:val="hybridMultilevel"/>
    <w:tmpl w:val="BC4AF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BE"/>
    <w:rsid w:val="00026985"/>
    <w:rsid w:val="00076C14"/>
    <w:rsid w:val="00092E68"/>
    <w:rsid w:val="000A119F"/>
    <w:rsid w:val="000D5690"/>
    <w:rsid w:val="000E1D0F"/>
    <w:rsid w:val="0010702C"/>
    <w:rsid w:val="001700E9"/>
    <w:rsid w:val="0018751F"/>
    <w:rsid w:val="001D0740"/>
    <w:rsid w:val="001E6784"/>
    <w:rsid w:val="001E6BD7"/>
    <w:rsid w:val="00324540"/>
    <w:rsid w:val="003322AA"/>
    <w:rsid w:val="003372D4"/>
    <w:rsid w:val="004B27CC"/>
    <w:rsid w:val="00553533"/>
    <w:rsid w:val="006523D1"/>
    <w:rsid w:val="006556F0"/>
    <w:rsid w:val="00692AB9"/>
    <w:rsid w:val="007129B9"/>
    <w:rsid w:val="00713A2B"/>
    <w:rsid w:val="00721F4A"/>
    <w:rsid w:val="00742329"/>
    <w:rsid w:val="00772F82"/>
    <w:rsid w:val="007E54D6"/>
    <w:rsid w:val="007E69B5"/>
    <w:rsid w:val="008F5802"/>
    <w:rsid w:val="00912E5A"/>
    <w:rsid w:val="009176BE"/>
    <w:rsid w:val="00A933E4"/>
    <w:rsid w:val="00AA483B"/>
    <w:rsid w:val="00AB3F4C"/>
    <w:rsid w:val="00B76DD3"/>
    <w:rsid w:val="00BE6A1D"/>
    <w:rsid w:val="00C519F5"/>
    <w:rsid w:val="00C52183"/>
    <w:rsid w:val="00C75350"/>
    <w:rsid w:val="00CD24A0"/>
    <w:rsid w:val="00D45CBD"/>
    <w:rsid w:val="00D60922"/>
    <w:rsid w:val="00E2327A"/>
    <w:rsid w:val="00E2498A"/>
    <w:rsid w:val="00E43041"/>
    <w:rsid w:val="00E53D92"/>
    <w:rsid w:val="00E64584"/>
    <w:rsid w:val="00FA1FEC"/>
    <w:rsid w:val="00F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B4C35-311E-4C85-A29A-37E692DD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76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4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4A0"/>
  </w:style>
  <w:style w:type="paragraph" w:styleId="Footer">
    <w:name w:val="footer"/>
    <w:basedOn w:val="Normal"/>
    <w:link w:val="FooterChar"/>
    <w:uiPriority w:val="99"/>
    <w:unhideWhenUsed/>
    <w:rsid w:val="00CD2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4A0"/>
  </w:style>
  <w:style w:type="paragraph" w:styleId="BalloonText">
    <w:name w:val="Balloon Text"/>
    <w:basedOn w:val="Normal"/>
    <w:link w:val="BalloonTextChar"/>
    <w:uiPriority w:val="99"/>
    <w:semiHidden/>
    <w:unhideWhenUsed/>
    <w:rsid w:val="008F5802"/>
    <w:pPr>
      <w:spacing w:after="0" w:line="240" w:lineRule="auto"/>
    </w:pPr>
    <w:rPr>
      <w:rFonts w:ascii="Segoe UI" w:hAnsi="Segoe UI" w:cs="Segoe UI"/>
      <w:sz w:val="1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02"/>
    <w:rPr>
      <w:rFonts w:ascii="Segoe UI" w:hAnsi="Segoe UI" w:cs="Segoe UI"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Penjor</dc:creator>
  <cp:keywords/>
  <dc:description/>
  <cp:lastModifiedBy>Sonam Penjor</cp:lastModifiedBy>
  <cp:revision>20</cp:revision>
  <cp:lastPrinted>2024-07-19T05:53:00Z</cp:lastPrinted>
  <dcterms:created xsi:type="dcterms:W3CDTF">2024-07-02T04:33:00Z</dcterms:created>
  <dcterms:modified xsi:type="dcterms:W3CDTF">2024-07-30T10:32:00Z</dcterms:modified>
</cp:coreProperties>
</file>