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Arial"/>
          <w:b/>
          <w:color w:val="000000"/>
          <w:sz w:val="56"/>
        </w:rPr>
        <w:t>Аналитический отчет по ассистенту прайсера</w:t>
      </w:r>
    </w:p>
    <w:p>
      <w:pPr>
        <w:pStyle w:val="Subtitle"/>
      </w:pPr>
      <w:r>
        <w:rPr>
          <w:rFonts w:ascii="Arial" w:hAnsi="Arial" w:eastAsia="Arial"/>
          <w:color w:val="000000"/>
          <w:sz w:val="30"/>
        </w:rPr>
        <w:t>Данные, модель ценовой вилки, бизнес эффект и требования к эксплуатации</w:t>
      </w:r>
    </w:p>
    <w:p/>
    <w:p>
      <w:pPr>
        <w:pStyle w:val="Metric"/>
      </w:pPr>
      <w:r>
        <w:rPr>
          <w:rFonts w:ascii="Arial" w:hAnsi="Arial" w:eastAsia="Arial"/>
          <w:b/>
          <w:color w:val="148A8A"/>
          <w:sz w:val="38"/>
        </w:rPr>
        <w:t>164 400</w:t>
      </w:r>
    </w:p>
    <w:p>
      <w:r>
        <w:rPr>
          <w:rFonts w:ascii="Arial" w:hAnsi="Arial" w:eastAsia="Arial"/>
          <w:color w:val="607086"/>
          <w:sz w:val="20"/>
        </w:rPr>
        <w:t>оценок в исходной таблице</w:t>
      </w:r>
    </w:p>
    <w:p>
      <w:pPr>
        <w:pStyle w:val="Metric"/>
      </w:pPr>
      <w:r>
        <w:rPr>
          <w:rFonts w:ascii="Arial" w:hAnsi="Arial" w:eastAsia="Arial"/>
          <w:b/>
          <w:color w:val="148A8A"/>
          <w:sz w:val="38"/>
        </w:rPr>
        <w:t>17 065</w:t>
      </w:r>
    </w:p>
    <w:p>
      <w:r>
        <w:rPr>
          <w:rFonts w:ascii="Arial" w:hAnsi="Arial" w:eastAsia="Arial"/>
          <w:color w:val="607086"/>
          <w:sz w:val="20"/>
        </w:rPr>
        <w:t>сделок в leakage safe датасете</w:t>
      </w:r>
    </w:p>
    <w:p>
      <w:pPr>
        <w:pStyle w:val="Metric"/>
      </w:pPr>
      <w:r>
        <w:rPr>
          <w:rFonts w:ascii="Arial" w:hAnsi="Arial" w:eastAsia="Arial"/>
          <w:b/>
          <w:color w:val="148A8A"/>
          <w:sz w:val="38"/>
        </w:rPr>
        <w:t>38,03%</w:t>
      </w:r>
    </w:p>
    <w:p>
      <w:r>
        <w:rPr>
          <w:rFonts w:ascii="Arial" w:hAnsi="Arial" w:eastAsia="Arial"/>
          <w:color w:val="607086"/>
          <w:sz w:val="20"/>
        </w:rPr>
        <w:t>покрытие основной модели</w:t>
      </w:r>
    </w:p>
    <w:p>
      <w:pPr>
        <w:pStyle w:val="Metric"/>
      </w:pPr>
      <w:r>
        <w:rPr>
          <w:rFonts w:ascii="Arial" w:hAnsi="Arial" w:eastAsia="Arial"/>
          <w:b/>
          <w:color w:val="148A8A"/>
          <w:sz w:val="38"/>
        </w:rPr>
        <w:t>22,67 мс</w:t>
      </w:r>
    </w:p>
    <w:p>
      <w:r>
        <w:rPr>
          <w:rFonts w:ascii="Arial" w:hAnsi="Arial" w:eastAsia="Arial"/>
          <w:color w:val="607086"/>
          <w:sz w:val="20"/>
        </w:rPr>
        <w:t>p50 latency сервиса</w:t>
      </w:r>
    </w:p>
    <w:p/>
    <w:p>
      <w:pPr>
        <w:keepLines w:val="0"/>
      </w:pPr>
      <w:r>
        <w:rPr>
          <w:rFonts w:ascii="Arial" w:hAnsi="Arial" w:eastAsia="Arial"/>
          <w:color w:val="607086"/>
        </w:rPr>
        <w:t>Период исходных данных 01.09.2024–07.09.2026</w:t>
      </w:r>
    </w:p>
    <w:p>
      <w:pPr>
        <w:keepLines w:val="0"/>
      </w:pPr>
      <w:r>
        <w:rPr>
          <w:rFonts w:ascii="Arial" w:hAnsi="Arial" w:eastAsia="Arial"/>
          <w:color w:val="607086"/>
        </w:rPr>
        <w:t>Дата отчета 17.09.2026</w:t>
      </w:r>
    </w:p>
    <w:p>
      <w:r>
        <w:br w:type="page"/>
      </w:r>
    </w:p>
    <w:p>
      <w:pPr>
        <w:pStyle w:val="Heading1"/>
      </w:pPr>
      <w:r>
        <w:t>Резюме</w:t>
      </w:r>
    </w:p>
    <w:p>
      <w:pPr>
        <w:keepLines w:val="0"/>
      </w:pPr>
      <w:r>
        <w:rPr>
          <w:rFonts w:ascii="Arial" w:hAnsi="Arial" w:eastAsia="Arial"/>
          <w:color w:val="17243A"/>
        </w:rPr>
        <w:t>Текущая модель повышает статистическое качество ценовой вилки относительно процессного бейзлайна, но пока не готова к автоматическому ценообразованию. На временном тесте квантильная модель покрывает 38,03% фактических цен при медианной ширине 19,70% от цены. Бейзлайн покрывает 26,99% при ширине 24,19%. Улучшение одновременно затрагивает покрытие и точность вилки, однако фактическое покрытие остается ниже номинальных 50%.</w:t>
      </w:r>
    </w:p>
    <w:p>
      <w:pPr>
        <w:keepLines w:val="0"/>
      </w:pPr>
      <w:r>
        <w:rPr>
          <w:rFonts w:ascii="Arial" w:hAnsi="Arial" w:eastAsia="Arial"/>
          <w:color w:val="17243A"/>
        </w:rPr>
        <w:t>Историческая симуляция midpoint за последние три месяца теста дает отрицательный результат: GM2 снижается на 194,9 млн KZT, или 12,7%, а доля сделок с отрицательной GM2 растет с 2,1% до 26,4%. Это не причинный прогноз, потому что симуляция не моделирует реакцию клиента на новую цену, но результат служит достаточным стоп сигналом для автоматической публикации рекомендаций.</w:t>
      </w:r>
    </w:p>
    <w:p>
      <w:pPr>
        <w:keepLines w:val="0"/>
      </w:pPr>
      <w:r>
        <w:rPr>
          <w:rFonts w:ascii="Arial" w:hAnsi="Arial" w:eastAsia="Arial"/>
          <w:color w:val="17243A"/>
        </w:rPr>
        <w:t>Рекомендуемый режим запуска: shadow mode. Сервис должен рассчитывать вилку без показа прайсеру, пока команда не подтвердит стабильность данных, покрытие и бизнес метрики на новых сделках. Следующая модельная итерация должна включать калибровку, оценку по сегментам и маркам, а также контролируемый A/B тест после периода скрытого наблюдения.</w:t>
      </w:r>
    </w:p>
    <w:p>
      <w:pPr>
        <w:pStyle w:val="Heading2"/>
      </w:pPr>
      <w:r>
        <w:t>Ключевые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7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448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5184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Интерпретация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Конверсия в выкуп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18,4%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30 188 выкупов из 164 400 оценок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Медианная длительность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9,33 дня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Для выкупа 1,15 дня; без выкупа 9,39 дня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Основная модель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38,03% / 19,70%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Покрытие / медианная ширина вилки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Лучший эксперимент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LightGBM 42,84%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Лучшее покрытие и median APE 11,93%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Сценарная GM2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−194,9 млн KZT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Стоп сигнал для автоматического режима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Latency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p50 22,67 мс; p95 28,33 мс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Локальный warm тест на 200 запросах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 Цель и границы анализа</w:t>
      </w:r>
    </w:p>
    <w:p>
      <w:pPr>
        <w:keepLines w:val="0"/>
      </w:pPr>
      <w:r>
        <w:rPr>
          <w:rFonts w:ascii="Arial" w:hAnsi="Arial" w:eastAsia="Arial"/>
          <w:color w:val="17243A"/>
        </w:rPr>
        <w:t>Цель работы состоит в том, чтобы построить воспроизводимую вилку цены выкупа автомобиля на момент первой оценки. Модель использует только сведения, доступные до первой человеческой цены. Результат должен помогать прайсеру оценить диапазон, а не заменять решение без проверки качества и бизнес эффекта.</w:t>
      </w:r>
    </w:p>
    <w:p>
      <w:pPr>
        <w:pStyle w:val="Heading2"/>
      </w:pPr>
      <w:r>
        <w:t>1.1 Скоуп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В модель входят сделки transaction_group purchase, trade_in и trade_up.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Из анализа исключен незрелый хвост за последние 15 дней, поскольку p95 длительности процесса составляет около 15 дней.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Таргет buy_price моделируется в логарифмическом пространстве из-за диапазона от 1 000 до 51 млн KZT.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Интервал price_from–price_to соответствует условным квантилям q25 и q75 и номинально должен покрывать 50% фактических цен.</w:t>
      </w:r>
    </w:p>
    <w:p>
      <w:pPr>
        <w:pStyle w:val="Heading2"/>
      </w:pPr>
      <w:r>
        <w:t>1.2 Исходные таблицы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304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44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Строк</w:t>
            </w:r>
          </w:p>
        </w:tc>
        <w:tc>
          <w:tcPr>
            <w:tcW w:type="dxa" w:w="115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Полей</w:t>
            </w:r>
          </w:p>
        </w:tc>
        <w:tc>
          <w:tcPr>
            <w:tcW w:type="dxa" w:w="504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evaluations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164 400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86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Оценки, карточка авто и ценовой процесс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car_outcomes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27 426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42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Фактический исход и GM2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market_kolesa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1 137 602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19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Рыночный контекст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tech_inspection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1 497 772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11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Осмотр, доступен только за последние 6 недель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stage_times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176 674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53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Достижение этапов и длительность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pricing_policy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8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14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Сегменты и политика маржи</w:t>
            </w:r>
          </w:p>
        </w:tc>
      </w:tr>
    </w:tbl>
    <w:p>
      <w:pPr>
        <w:spacing w:after="20"/>
      </w:pPr>
    </w:p>
    <w:p>
      <w:pPr>
        <w:pStyle w:val="Heading1"/>
      </w:pPr>
      <w:r>
        <w:t>2 Качество данных и защита от утечки</w:t>
      </w:r>
    </w:p>
    <w:p>
      <w:pPr>
        <w:pStyle w:val="Heading2"/>
      </w:pPr>
      <w:r>
        <w:t>2.1 Утечка через ценовую цепочку</w:t>
      </w:r>
    </w:p>
    <w:p>
      <w:pPr>
        <w:keepLines w:val="0"/>
      </w:pPr>
      <w:r>
        <w:rPr>
          <w:rFonts w:ascii="Arial" w:hAnsi="Arial" w:eastAsia="Arial"/>
          <w:color w:val="17243A"/>
        </w:rPr>
        <w:t>Поля согласования цены почти всегда заполнены при выкупе и редко заполнены без выкупа. Поэтому они кодируют исход сделки и не могут использоваться как входные признаки.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4608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73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Заполнено при выкупе</w:t>
            </w:r>
          </w:p>
        </w:tc>
        <w:tc>
          <w:tcPr>
            <w:tcW w:type="dxa" w:w="273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Заполнено без выкупа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first_pricer_buy_price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99,78%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98,50%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second_pricer_buy_price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99,80%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8,45%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confirmed_pricer_buy_price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99,73%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8,45%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confirmed_rgv_buy_price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99,18%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1,21%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rov_buy_price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99,78%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1,20%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head_branch_buy_price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99,79%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1,07%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17243A"/>
        </w:rPr>
        <w:t>Контракт признаков содержит 30 разрешенных, 34 запрещенных и 5 мертвых полей. Обучение прекращается при появлении утечки, неизвестной колонки или полностью пустого признака.</w:t>
      </w:r>
    </w:p>
    <w:p>
      <w:pPr>
        <w:pStyle w:val="Heading2"/>
      </w:pPr>
      <w:r>
        <w:t>2.2 Другие ограничения данных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Пять колонок evaluations полностью пусты на всех 164 400 строках: is_approved_by_rop, is_turbo, is_gas, seats_count и is_pledge.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median_price_w, q1_price и q3_price заполнены только на 2,4% строк market_kolesa; stdev_price_avg заполнен на 29,7%.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tech_inspection охватывает 27.07–07.09.2026, тогда как evaluations охватывает 01.09.2024–07.09.2026.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deal_completed достигается в 99,3% записей и обозначает закрытие процесса при любом исходе, а не факт выкупа.</w:t>
      </w:r>
    </w:p>
    <w:p>
      <w:r>
        <w:br w:type="page"/>
      </w:r>
    </w:p>
    <w:p>
      <w:pPr>
        <w:pStyle w:val="Heading1"/>
      </w:pPr>
      <w:r>
        <w:t>3 Процесс оценки и воронка</w:t>
      </w:r>
    </w:p>
    <w:p>
      <w:pPr>
        <w:keepLines w:val="0"/>
      </w:pPr>
      <w:r>
        <w:rPr>
          <w:rFonts w:ascii="Arial" w:hAnsi="Arial" w:eastAsia="Arial"/>
          <w:color w:val="17243A"/>
        </w:rPr>
        <w:t>Из 164 400 оценок выкупом завершились 30 188, то есть 18,4%. Прайсер выполняет первичную оценку для 97,6% процессов, поэтому главный отвал происходит после первого расчета. До client_thinking доходят 72,1%, до диагностики около 27%, а до финального согласования и оформления 17–18%.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367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165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Дошли</w:t>
            </w:r>
          </w:p>
        </w:tc>
        <w:tc>
          <w:tcPr>
            <w:tcW w:type="dxa" w:w="151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Доля</w:t>
            </w:r>
          </w:p>
        </w:tc>
        <w:tc>
          <w:tcPr>
            <w:tcW w:type="dxa" w:w="180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Медиана</w:t>
            </w:r>
          </w:p>
        </w:tc>
        <w:tc>
          <w:tcPr>
            <w:tcW w:type="dxa" w:w="165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p95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Первичный осмотр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176 494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99,90%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24 мин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50 мин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Первичная оценка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172 470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97,62%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 мин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8 мин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Клиент думает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127 415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72,12%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9,28 дня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14,30 дня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Диагностика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47 662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26,98%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47 мин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169 мин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Финальная оценка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42 247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23,91%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 мин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7 мин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Согласование РОВ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30 941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17,51%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 мин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32 мин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Подпись руководителя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30 442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17,23%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 мин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41 мин</w:t>
            </w:r>
          </w:p>
        </w:tc>
      </w:tr>
      <w:tr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ОСС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31 923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18,07%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414 мин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5 260 мин</w:t>
            </w:r>
          </w:p>
        </w:tc>
      </w:tr>
    </w:tbl>
    <w:p>
      <w:pPr>
        <w:spacing w:after="20"/>
      </w:pPr>
    </w:p>
    <w:p>
      <w:pPr>
        <w:pStyle w:val="Heading2"/>
      </w:pPr>
      <w:r>
        <w:t>3.1 Полная длительность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403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Группа</w:t>
            </w:r>
          </w:p>
        </w:tc>
        <w:tc>
          <w:tcPr>
            <w:tcW w:type="dxa" w:w="180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n</w:t>
            </w:r>
          </w:p>
        </w:tc>
        <w:tc>
          <w:tcPr>
            <w:tcW w:type="dxa" w:w="216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Медиана</w:t>
            </w:r>
          </w:p>
        </w:tc>
        <w:tc>
          <w:tcPr>
            <w:tcW w:type="dxa" w:w="216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p95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9"/>
              </w:rPr>
              <w:t>Все процессы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163 878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9,33 дня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14,48 дня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9"/>
              </w:rPr>
              <w:t>Завершились выкупом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30 113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1,15 дня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9,04 дня</w:t>
            </w:r>
          </w:p>
        </w:tc>
      </w:tr>
      <w:tr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9"/>
              </w:rPr>
              <w:t>Без выкупа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133 765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9,39 дня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15,54 дня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17243A"/>
        </w:rPr>
        <w:t>Состоявшиеся сделки разрешаются почти в восемь раз быстрее по медиане. Основная задержка сосредоточена в client_thinking. Этот результат обосновывает отсечение последних 15 дней перед формированием обучающей выборки.</w:t>
      </w:r>
    </w:p>
    <w:p>
      <w:pPr>
        <w:pStyle w:val="Heading1"/>
      </w:pPr>
      <w:r>
        <w:t>4 Подготовка модельного датасета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561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1944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Строк</w:t>
            </w:r>
          </w:p>
        </w:tc>
        <w:tc>
          <w:tcPr>
            <w:tcW w:type="dxa" w:w="259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Доля от предыдущего шага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9"/>
              </w:rPr>
              <w:t>evaluations всего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164 400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100%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9"/>
              </w:rPr>
              <w:t>Скоуп, возраст более 15 дней и наличие выкупа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20 568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9"/>
              </w:rPr>
              <w:t>12,5% от evaluations</w:t>
            </w:r>
          </w:p>
        </w:tc>
      </w:tr>
      <w:tr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9"/>
              </w:rPr>
              <w:t>Исход найден в car_outcomes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17 065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83,0% от скоупа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17243A"/>
        </w:rPr>
        <w:t>Итоговый датасет содержит 17 065 строк и 33 колонки. В нем остаются полностью пустыми рыночные квантили, 28,47% значений on_guarantee, 22,35% keys_count и 19,15% рыночных признаков avg_price, ads_cnt и avg_mileage.</w:t>
      </w:r>
    </w:p>
    <w:p>
      <w:pPr>
        <w:pStyle w:val="Heading2"/>
      </w:pPr>
      <w:r>
        <w:t>4.1 Распределение таргета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504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Статистика buy_price</w:t>
            </w:r>
          </w:p>
        </w:tc>
        <w:tc>
          <w:tcPr>
            <w:tcW w:type="dxa" w:w="432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Среднее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4 893 182 KZT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Стандартное отклонение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3 263 273 KZT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Минимум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1 000 KZT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Q1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2 600 000 KZT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Медиана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4 400 000 KZT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Q3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6 600 000 KZT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Максимум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51 000 000 KZT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Доля GM2 &lt; 0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10,77%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 Валидация и бейзлайн</w:t>
      </w:r>
    </w:p>
    <w:p>
      <w:pPr>
        <w:pStyle w:val="Heading2"/>
      </w:pPr>
      <w:r>
        <w:t>5.1 Временное разделение</w:t>
      </w:r>
    </w:p>
    <w:p>
      <w:pPr>
        <w:keepLines w:val="0"/>
      </w:pPr>
      <w:r>
        <w:rPr>
          <w:rFonts w:ascii="Arial" w:hAnsi="Arial" w:eastAsia="Arial"/>
          <w:color w:val="17243A"/>
        </w:rPr>
        <w:t>Данные разделены по времени, чтобы модель обучалась на прошлом и оценивалась на более позднем рынке. Cutoff соответствует 02.04.2026 16:28.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48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Выборка</w:t>
            </w:r>
          </w:p>
        </w:tc>
        <w:tc>
          <w:tcPr>
            <w:tcW w:type="dxa" w:w="187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Строк</w:t>
            </w:r>
          </w:p>
        </w:tc>
        <w:tc>
          <w:tcPr>
            <w:tcW w:type="dxa" w:w="547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Период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9"/>
              </w:rPr>
              <w:t>Train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13 652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9"/>
              </w:rPr>
              <w:t>01.09.2024–02.04.2026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9"/>
              </w:rPr>
              <w:t>Test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9"/>
              </w:rPr>
              <w:t>3 413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9"/>
              </w:rPr>
              <w:t>02.04.2026–23.08.2026</w:t>
            </w:r>
          </w:p>
        </w:tc>
      </w:tr>
    </w:tbl>
    <w:p>
      <w:pPr>
        <w:spacing w:after="20"/>
      </w:pPr>
    </w:p>
    <w:p>
      <w:pPr>
        <w:pStyle w:val="Heading2"/>
      </w:pPr>
      <w:r>
        <w:t>5.2 Процессный бейзлайн</w:t>
      </w:r>
    </w:p>
    <w:p>
      <w:pPr>
        <w:keepLines w:val="0"/>
      </w:pPr>
      <w:r>
        <w:rPr>
          <w:rFonts w:ascii="Arial" w:hAnsi="Arial" w:eastAsia="Arial"/>
          <w:color w:val="17243A"/>
        </w:rPr>
        <w:t>Первый бейзлайн использовал перцентили buy_price внутри сегмента pricing_policy, определенного по сырой market_avg_price. Покрытие составило 8,32%, поскольку рыночная цена систематически выше цены выкупа. После однократного дисконтирования market_avg_price на маржу сырого сегмента совпадение сегмента выросло с 18,31% до 47,93%.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4104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1728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Покрытие</w:t>
            </w:r>
          </w:p>
        </w:tc>
        <w:tc>
          <w:tcPr>
            <w:tcW w:type="dxa" w:w="237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Медианная ширина</w:t>
            </w:r>
          </w:p>
        </w:tc>
        <w:tc>
          <w:tcPr>
            <w:tcW w:type="dxa" w:w="223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Ширина к buy_price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Сырой сегмент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8,32%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905 000 KZT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22,65%</w:t>
            </w:r>
          </w:p>
        </w:tc>
      </w:tr>
      <w:t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Сегмент с поправкой на маржу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26,99%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905 000 KZT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24,19%</w:t>
            </w:r>
          </w:p>
        </w:tc>
      </w:tr>
    </w:tbl>
    <w:p>
      <w:pPr>
        <w:spacing w:after="20"/>
      </w:pPr>
    </w:p>
    <w:p>
      <w:pPr>
        <w:pStyle w:val="Heading1"/>
      </w:pPr>
      <w:r>
        <w:t>6 Основная модель</w:t>
      </w:r>
    </w:p>
    <w:p>
      <w:pPr>
        <w:keepLines w:val="0"/>
      </w:pPr>
      <w:r>
        <w:rPr>
          <w:rFonts w:ascii="Arial" w:hAnsi="Arial" w:eastAsia="Arial"/>
          <w:color w:val="17243A"/>
        </w:rPr>
        <w:t>Основная модель состоит из двух HistGradientBoostingRegressor с квантильной функцией потерь для q25 и q75. Она обучается на log buy_price. Вход включает 26 признаков, в том числе month_idx. Модель и поколение автомобиля кодируются target encoding со сглаживанием 20, остальные 13 категориальных признаков обрабатываются нативно. Максимальная кардинальность нативных категорий равна 86.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547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464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Количество признаков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26</w:t>
            </w:r>
          </w:p>
        </w:tc>
      </w:tr>
      <w:t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Квантили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0,25 и 0,75</w:t>
            </w:r>
          </w:p>
        </w:tc>
      </w:tr>
      <w:t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Итерации / learning rate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300 / 0,05</w:t>
            </w:r>
          </w:p>
        </w:tc>
      </w:tr>
      <w:t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Target encoded признаки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model, generation</w:t>
            </w:r>
          </w:p>
        </w:tc>
      </w:tr>
      <w:t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Кардинальность model / generation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748 / 1 534</w:t>
            </w:r>
          </w:p>
        </w:tc>
      </w:tr>
      <w:tr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Пересечение квантилей до сортировки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59 случаев</w:t>
            </w:r>
          </w:p>
        </w:tc>
      </w:tr>
    </w:tbl>
    <w:p>
      <w:pPr>
        <w:spacing w:after="20"/>
      </w:pPr>
    </w:p>
    <w:p>
      <w:pPr>
        <w:pStyle w:val="Heading2"/>
      </w:pPr>
      <w:r>
        <w:t>6.1 Результат на holdout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888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180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Покрытие</w:t>
            </w:r>
          </w:p>
        </w:tc>
        <w:tc>
          <w:tcPr>
            <w:tcW w:type="dxa" w:w="237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Медианная ширина</w:t>
            </w:r>
          </w:p>
        </w:tc>
        <w:tc>
          <w:tcPr>
            <w:tcW w:type="dxa" w:w="223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Ширина к buy_price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Бейзлайн с маржой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26,99%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905 000 KZT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24,19%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Квантильная модель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38,03%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670 631 KZT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19,70%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17243A"/>
        </w:rPr>
        <w:t>Модель превосходит бейзлайн по обоим критериям: чаще покрывает фактическую цену и одновременно предлагает более узкую вилку. При этом она не достигает номинальных 50%, поэтому результат следует считать промежуточным.</w:t>
      </w:r>
    </w:p>
    <w:p>
      <w:r>
        <w:br w:type="page"/>
      </w:r>
    </w:p>
    <w:p>
      <w:pPr>
        <w:pStyle w:val="Heading1"/>
      </w:pPr>
      <w:r>
        <w:t>7 Ошибки по сегментам и маркам</w:t>
      </w:r>
    </w:p>
    <w:p>
      <w:pPr>
        <w:pStyle w:val="Heading2"/>
      </w:pPr>
      <w:r>
        <w:t>7.1 Ценовые сегменты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115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Сегмент</w:t>
            </w:r>
          </w:p>
        </w:tc>
        <w:tc>
          <w:tcPr>
            <w:tcW w:type="dxa" w:w="108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n</w:t>
            </w:r>
          </w:p>
        </w:tc>
        <w:tc>
          <w:tcPr>
            <w:tcW w:type="dxa" w:w="2088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Покрытие модели</w:t>
            </w:r>
          </w:p>
        </w:tc>
        <w:tc>
          <w:tcPr>
            <w:tcW w:type="dxa" w:w="165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Бейзлайн</w:t>
            </w:r>
          </w:p>
        </w:tc>
        <w:tc>
          <w:tcPr>
            <w:tcW w:type="dxa" w:w="180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Median APE</w:t>
            </w:r>
          </w:p>
        </w:tc>
        <w:tc>
          <w:tcPr>
            <w:tcW w:type="dxa" w:w="1728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Смещение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7"/>
              </w:rPr>
              <w:t>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127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41,7%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41,7%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36,8%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+2,0%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7"/>
              </w:rPr>
              <w:t>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484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38,4%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28,7%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25,6%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+10,9%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7"/>
              </w:rPr>
              <w:t>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1 009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43,9%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35,0%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10,9%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+5,9%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7"/>
              </w:rPr>
              <w:t>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543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41,3%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26,0%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9,8%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+5,7%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7"/>
              </w:rPr>
              <w:t>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409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39,9%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35,7%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7,2%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+1,5%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7"/>
              </w:rPr>
              <w:t>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155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37,4%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18,7%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6,5%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−0,5%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7"/>
              </w:rPr>
              <w:t>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179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40,2%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26,8%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7,6%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−0,5%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7"/>
              </w:rPr>
              <w:t>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72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23,6%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16,7%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11,8%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−2,8%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17243A"/>
        </w:rPr>
        <w:t>Сегмент 8 показывает минимальное покрытие 23,6%. В сегменте 2 медианное смещение +10,9% указывает на риск систематического завышения рекомендации. Сегмент 1 требует отдельной диагностики из-за median APE 36,8%.</w:t>
      </w:r>
    </w:p>
    <w:p>
      <w:pPr>
        <w:pStyle w:val="Heading2"/>
      </w:pPr>
      <w:r>
        <w:t>7.2 Марки с n не менее 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29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1944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Марка</w:t>
            </w:r>
          </w:p>
        </w:tc>
        <w:tc>
          <w:tcPr>
            <w:tcW w:type="dxa" w:w="79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151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Покрытие</w:t>
            </w:r>
          </w:p>
        </w:tc>
        <w:tc>
          <w:tcPr>
            <w:tcW w:type="dxa" w:w="144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Бейзлайн</w:t>
            </w:r>
          </w:p>
        </w:tc>
        <w:tc>
          <w:tcPr>
            <w:tcW w:type="dxa" w:w="151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Median APE</w:t>
            </w:r>
          </w:p>
        </w:tc>
        <w:tc>
          <w:tcPr>
            <w:tcW w:type="dxa" w:w="144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Смещение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Худшие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OMODA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31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12,9%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9,7%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16,6%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+16,2%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Худшие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Audi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65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26,2%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20,0%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25,5%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+1,3%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Худшие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Mitsubishi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103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30,1%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35,0%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14,4%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+4,0%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Худшие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Mercedes-Benz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109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33,9%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16,5%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18,8%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+1,2%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Худшие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Skoda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41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34,1%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22,0%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14,4%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+2,4%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Лучшие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Nissan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241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45,6%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40,7%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10,6%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+4,0%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Лучшие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Renault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126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46,0%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31,0%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11,3%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+11,0%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Лучшие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Chery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32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50,0%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53,1%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7,2%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+4,7%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Лучшие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Changan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30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53,3%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33,3%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8,6%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+5,4%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Лучшие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Daewoo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38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55,3%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18,4%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16,9%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+4,8%</w:t>
            </w:r>
          </w:p>
        </w:tc>
      </w:tr>
    </w:tbl>
    <w:p>
      <w:pPr>
        <w:spacing w:after="20"/>
      </w:pPr>
    </w:p>
    <w:p>
      <w:pPr>
        <w:pStyle w:val="Heading1"/>
      </w:pPr>
      <w:r>
        <w:t>8 Сравнение алгоритмов</w:t>
      </w:r>
    </w:p>
    <w:p>
      <w:pPr>
        <w:keepLines w:val="0"/>
      </w:pPr>
      <w:r>
        <w:rPr>
          <w:rFonts w:ascii="Arial" w:hAnsi="Arial" w:eastAsia="Arial"/>
          <w:color w:val="17243A"/>
        </w:rPr>
        <w:t>Эксперимент сравнивает четыре квантильных бустинга на одном временном split и одинаковых q25/q75. Каждая модель использует 300 итераций или деревьев и learning rate 0,05. Гиперпараметры не оптимизировались.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288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Алгоритм</w:t>
            </w:r>
          </w:p>
        </w:tc>
        <w:tc>
          <w:tcPr>
            <w:tcW w:type="dxa" w:w="144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Покрытие</w:t>
            </w:r>
          </w:p>
        </w:tc>
        <w:tc>
          <w:tcPr>
            <w:tcW w:type="dxa" w:w="144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Ширина</w:t>
            </w:r>
          </w:p>
        </w:tc>
        <w:tc>
          <w:tcPr>
            <w:tcW w:type="dxa" w:w="165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Median APE</w:t>
            </w:r>
          </w:p>
        </w:tc>
        <w:tc>
          <w:tcPr>
            <w:tcW w:type="dxa" w:w="1944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Δ GM2, млн KZT</w:t>
            </w:r>
          </w:p>
        </w:tc>
        <w:tc>
          <w:tcPr>
            <w:tcW w:type="dxa" w:w="144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GM2 &lt; 0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7"/>
              </w:rPr>
              <w:t>HistGradientBoosting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38,32%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19,85%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12,42%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−191,6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26,68%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7"/>
              </w:rPr>
              <w:t>CatBoost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42,05%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20,24%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11,96%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−119,2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24,23%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7"/>
              </w:rPr>
              <w:t>LightGBM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42,84%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21,22%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11,93%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−2,6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22,56%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7"/>
              </w:rPr>
              <w:t>XGBoost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37,42%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19,88%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13,01%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−366,9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7"/>
              </w:rPr>
              <w:t>29,37%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17243A"/>
        </w:rPr>
        <w:t>LightGBM лидирует по покрытию и median APE и почти нейтрален по сценарной GM2. Однако покрытие 42,84% остается ниже 50%, а доля отрицательной GM2 в симуляции составляет 22,56%. Модель следует рассматривать как кандидата на следующую итерацию, а не как готовую замену.</w:t>
      </w:r>
    </w:p>
    <w:p>
      <w:pPr>
        <w:keepLines w:val="0"/>
      </w:pPr>
      <w:r>
        <w:rPr>
          <w:rFonts w:ascii="Arial" w:hAnsi="Arial" w:eastAsia="Arial"/>
          <w:b/>
          <w:color w:val="17243A"/>
        </w:rPr>
        <w:t>Примечание к воспроизводимости.</w:t>
      </w:r>
      <w:r>
        <w:rPr>
          <w:rFonts w:ascii="Arial" w:hAnsi="Arial" w:eastAsia="Arial"/>
          <w:color w:val="17243A"/>
        </w:rPr>
        <w:t xml:space="preserve"> experiments README содержит старое значение −194,9 млн KZT для HistGradientBoosting, тогда как машинный JSON артефакт содержит −191,6 млн KZT. В сравнительной таблице использовано значение JSON.</w:t>
      </w:r>
    </w:p>
    <w:p>
      <w:pPr>
        <w:pStyle w:val="Heading1"/>
      </w:pPr>
      <w:r>
        <w:t>9 Сценарная оценка бизнес эффекта</w:t>
      </w:r>
    </w:p>
    <w:p>
      <w:pPr>
        <w:keepLines w:val="0"/>
      </w:pPr>
      <w:r>
        <w:rPr>
          <w:rFonts w:ascii="Arial" w:hAnsi="Arial" w:eastAsia="Arial"/>
          <w:color w:val="17243A"/>
        </w:rPr>
        <w:t>Для сделок за 23.05–23.08.2026 фактическая цена выкупа заменена на midpoint модельной вилки. GM2 пересчитывается при неизменных цене продажи и расходах. Выборка содержит 2 043 сделки.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168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7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Факт</w:t>
            </w:r>
          </w:p>
        </w:tc>
        <w:tc>
          <w:tcPr>
            <w:tcW w:type="dxa" w:w="252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Симуляция</w:t>
            </w:r>
          </w:p>
        </w:tc>
        <w:tc>
          <w:tcPr>
            <w:tcW w:type="dxa" w:w="223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Изменение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Сумма GM2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1 533 462 177 KZT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1 338 558 077 KZT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−194 904 100 KZT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Доля GM2 &lt; 0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2,1%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26,4%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+24,3 п.п.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17243A"/>
        </w:rPr>
        <w:t>Разница GM2 составляет −12,7%. Модель в среднем предлагает midpoint выше исторической цены покупки. На всем тесте средняя фактическая buy_price равна 4 367 114 KZT, а средний midpoint модели 4 470 072 KZT, что выше факта примерно на 2,4%.</w:t>
      </w:r>
    </w:p>
    <w:p>
      <w:r>
        <w:br w:type="page"/>
      </w:r>
    </w:p>
    <w:p>
      <w:pPr>
        <w:pStyle w:val="Heading2"/>
      </w:pPr>
      <w:r>
        <w:t>9.1 Ограничения симуляции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В анализ входят только исторически состоявшиеся сделки, поэтому присутствует selection bias.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Реакция клиента на другую цену неизвестна; новая цена может изменить конверсию и состав сделок.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Цена продажи и расходы зафиксированы, хотя они могут зависеть от срока хранения и состава автомобилей.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Midpoint выбран как демонстрационная политика. Использование нижней или верхней границы изменит баланс конверсии и маржи.</w:t>
      </w:r>
    </w:p>
    <w:p>
      <w:pPr>
        <w:pStyle w:val="Heading1"/>
      </w:pPr>
      <w:r>
        <w:t>10 Временной сдвиг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888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01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Train</w:t>
            </w:r>
          </w:p>
        </w:tc>
        <w:tc>
          <w:tcPr>
            <w:tcW w:type="dxa" w:w="201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088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Изменение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Средняя buy_price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5 024 700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4 367 114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−13,1%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Медиана buy_price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4 500 000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3 800 000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−15,6%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Медиана market_avg_price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5 945 215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5 389 093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−9,4%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Средняя midpoint модели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—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4 470 072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+2,4% к факту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17243A"/>
        </w:rPr>
        <w:t>Цена выкупа в тесте снизилась сильнее рыночной цены. Следовательно, изменилось не только распределение автомобилей, но и отношение buy_price к market_avg_price. month_idx частично отражает общий тренд, но не заменяет мониторинг и регулярную перекалибровку.</w:t>
      </w:r>
    </w:p>
    <w:p>
      <w:pPr>
        <w:pStyle w:val="Heading1"/>
      </w:pPr>
      <w:r>
        <w:t>11 API и техническая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464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5472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Запросы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200 последовательных warm запросов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p50 latency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22,67 мс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p95 latency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28,33 мс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Максимум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31,35 мс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Метод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8"/>
              </w:rPr>
              <w:t>FastAPI TestClient, локальная машина</w:t>
            </w:r>
          </w:p>
        </w:tc>
      </w:tr>
      <w:t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8"/>
              </w:rPr>
              <w:t>Автотесты</w:t>
            </w:r>
          </w:p>
        </w:tc>
        <w:tc>
          <w:tcPr>
            <w:tcW w:type="dxa" w:w="54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8"/>
              </w:rPr>
              <w:t>11 passed за 7,59 с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17243A"/>
        </w:rPr>
        <w:t>API возвращает положительную упорядоченную вилку в KZT. Пустой запрос, отрицательный пробег и leakage поля отклоняются со статусом 422. Сохраненный модельный артефакт не содержит запрещенных признаков.</w:t>
      </w:r>
    </w:p>
    <w:p>
      <w:pPr>
        <w:pStyle w:val="Heading1"/>
      </w:pPr>
      <w:r>
        <w:t>12 Рекомендации по запуску и мониторингу</w:t>
      </w:r>
    </w:p>
    <w:p>
      <w:pPr>
        <w:keepLines w:val="0"/>
      </w:pPr>
      <w:r>
        <w:rPr>
          <w:rFonts w:ascii="Arial" w:hAnsi="Arial" w:eastAsia="Arial"/>
          <w:color w:val="17243A"/>
        </w:rPr>
        <w:t>Первый режим запуска должен быть скрытым. Сервис рассчитывает вилку, но прайсер не видит ее до завершения периода наблюдения и проверки стабильности.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96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Сигнал</w:t>
            </w:r>
          </w:p>
        </w:tc>
        <w:tc>
          <w:tcPr>
            <w:tcW w:type="dxa" w:w="252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Порог или период</w:t>
            </w:r>
          </w:p>
        </w:tc>
        <w:tc>
          <w:tcPr>
            <w:tcW w:type="dxa" w:w="396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Покрытие вилкой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&lt; 40% два недельных окна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Диагностика и внеплановое переобучение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Абсолютное медианное смещение midpoint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&gt; 5%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Проверка калибровки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Медиана buy_price / market_avg_price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изменение &gt; 10% от train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Проверка смены маржинальной политики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PSI ключевого признака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&gt; 0,2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Анализ входного дрейфа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Неизвестные категории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&gt; 5%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Обновление словарей и модели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HTTP 5xx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&gt; 1%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Технический стоп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p95 latency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&gt; 100 мс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Технический стоп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Неустойчивый срез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n &lt; 30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Не принимать решение по срезу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Плановое переобучение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6"/>
              </w:rPr>
              <w:t>ежемесячно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6"/>
              </w:rPr>
              <w:t>Расширяющееся временное окно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Оценка качества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rolling 4 недели после 15 дней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6"/>
              </w:rPr>
              <w:t>Покрытие, ширина, bias, MAE, GM2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17243A"/>
        </w:rPr>
        <w:t>Новая модель публикуется только после проверки на свежем time based backtest, прохождения тестов утечки и API и отсутствия ухудшения сценарной GM2. Для причинной оценки эффекта после shadow периода нужен контролируемый A/B тест с рандомизацией по заявкам или по филиал дням.</w:t>
      </w:r>
    </w:p>
    <w:p>
      <w:r>
        <w:br w:type="page"/>
      </w:r>
    </w:p>
    <w:p>
      <w:pPr>
        <w:pStyle w:val="Heading1"/>
      </w:pPr>
      <w:r>
        <w:t>Приложение А Полная воронка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417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144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5"/>
              </w:rPr>
              <w:t>Дошли</w:t>
            </w:r>
          </w:p>
        </w:tc>
        <w:tc>
          <w:tcPr>
            <w:tcW w:type="dxa" w:w="129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5"/>
              </w:rPr>
              <w:t>Доля</w:t>
            </w:r>
          </w:p>
        </w:tc>
        <w:tc>
          <w:tcPr>
            <w:tcW w:type="dxa" w:w="1656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5"/>
              </w:rPr>
              <w:t>Медиана, мин</w:t>
            </w:r>
          </w:p>
        </w:tc>
        <w:tc>
          <w:tcPr>
            <w:tcW w:type="dxa" w:w="1440"/>
            <w:shd w:fill="17243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5"/>
              </w:rPr>
              <w:t>p95, мин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initial_inspection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176 494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99,90%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24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50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5"/>
              </w:rPr>
              <w:t>on_complete_for_init_inspection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24 076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13,63%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6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46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first_check_eval_rgv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37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0,02%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79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5"/>
              </w:rPr>
              <w:t>initial_evaluation_queue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172 490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97,63%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6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24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initial_evaluation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172 470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97,62%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8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5"/>
              </w:rPr>
              <w:t>first_eval_approve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32 726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18,52%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13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148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rework_first_check_eval_rgv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14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0,01%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4,5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74,85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5"/>
              </w:rPr>
              <w:t>initial_evaluation_completed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172 753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97,78%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23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13 197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client_thinking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127 415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72,12%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13 366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20 591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5"/>
              </w:rPr>
              <w:t>queue_for_mp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50 206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28,42%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6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773,75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test_drive_mp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48 092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27,22%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22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5"/>
              </w:rPr>
              <w:t>on_diagnostics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47 662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26,98%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47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169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cost_estimatation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46 707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26,44%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11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39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5"/>
              </w:rPr>
              <w:t>final_evaluation_mov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324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0,18%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15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13 216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final_evaluation_rgv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46 239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26,17%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19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9 567,7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5"/>
              </w:rPr>
              <w:t>queue_for_final_evaluation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42 259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23,92%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6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24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at_the_final_evaluation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42 247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23,91%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7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5"/>
              </w:rPr>
              <w:t>final_evaluation_completed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42 128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23,85%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0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final_evaluation_on_approval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42 133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23,85%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7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38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5"/>
              </w:rPr>
              <w:t>deal_to_approve_by_rgv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42 202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23,89%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53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13 501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deal_to_approve_by_rov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30 941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17,51%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32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5"/>
              </w:rPr>
              <w:t>sign_by_head_manager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30 442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17,23%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41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on_oss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31 923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18,07%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414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5 260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r>
              <w:rPr>
                <w:rFonts w:ascii="Arial" w:hAnsi="Arial" w:eastAsia="Arial"/>
                <w:color w:val="17243A"/>
                <w:sz w:val="15"/>
              </w:rPr>
              <w:t>deal_completed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175 369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99,26%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0</w:t>
            </w:r>
          </w:p>
        </w:tc>
      </w:tr>
      <w:tr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color w:val="17243A"/>
                <w:sz w:val="15"/>
              </w:rPr>
              <w:t>criminalist_check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44 629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25,26%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57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17243A"/>
                <w:sz w:val="15"/>
              </w:rPr>
              <w:t>3 401,2</w:t>
            </w:r>
          </w:p>
        </w:tc>
      </w:tr>
    </w:tbl>
    <w:p>
      <w:pPr>
        <w:spacing w:after="20"/>
      </w:pPr>
    </w:p>
    <w:p>
      <w:pPr>
        <w:pStyle w:val="Heading1"/>
      </w:pPr>
      <w:r>
        <w:t>Приложение Б Источники и воспроизводимость</w:t>
      </w:r>
    </w:p>
    <w:p>
      <w:pPr>
        <w:keepLines w:val="0"/>
      </w:pPr>
      <w:r>
        <w:rPr>
          <w:rFonts w:ascii="Arial" w:hAnsi="Arial" w:eastAsia="Arial"/>
          <w:color w:val="17243A"/>
        </w:rPr>
        <w:t>Числа воспроизводятся из следующих файлов проекта: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notebooks/01_eda_and_data_diary.ipynb — размеры таблиц, качество данных, воронка и длительность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notebooks/02_data_prep.ipynb и src/data_prep.py — фильтрация и сборка датасета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notebooks/03_price_band_model.ipynb и src/pricing_model.py — split, бейзлайн, модель, срезы и симуляция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src/funnel.py — полная таблица этапов и длительность процесса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experiments/compare_boosters.py и experiments/booster_results.json — сравнение алгоритмов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scripts/measure_latency.py — локальный latency тест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tests/test_api.py и tests/test_feature_contract.py — проверки API и защиты от утечки</w:t>
      </w:r>
    </w:p>
    <w:p>
      <w:pPr>
        <w:pStyle w:val="ListBullet"/>
        <w:spacing w:after="60"/>
      </w:pPr>
      <w:r>
        <w:rPr>
          <w:rFonts w:ascii="Arial" w:hAnsi="Arial" w:eastAsia="Arial"/>
          <w:color w:val="17243A"/>
          <w:sz w:val="21"/>
        </w:rPr>
        <w:t>report.md, assumptions.md и data_diary.md — интерпретация, допущения и эксплуатационные пороги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07086"/>
        <w:sz w:val="16"/>
      </w:rPr>
      <w:t xml:space="preserve">Ассистент прайсера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1" w:lineRule="auto"/>
    </w:pPr>
    <w:rPr>
      <w:rFonts w:ascii="Arial" w:hAnsi="Arial"/>
      <w:b w:val="0"/>
      <w:color w:val="172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ric">
    <w:name w:val="Metric"/>
    <w:pPr>
      <w:spacing w:after="20"/>
    </w:pPr>
    <w:rPr>
      <w:rFonts w:ascii="Arial" w:hAnsi="Arial"/>
      <w:b/>
      <w:color w:val="148A8A"/>
      <w:sz w:val="3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Аналитический отчет по ассистенту прайсера</dc:title>
  <dc:subject>Данные, модель ценовой вилки, бизнес эффект и эксплуатация</dc:subject>
  <dc:creator/>
  <cp:keywords>pricing, quantile regression, GM2,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