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Naskh Arabic" w:hAnsi="Noto Naskh Arabic" w:cs="Noto Naskh Arabic"/>
          <w:b/>
          <w:sz w:val="23"/>
        </w:rPr>
        <w:t>جدول ۵. طبقه‌بندی چندسطحی عوامل مرتبط با شکست و ناپایداری مداخلات رباتیک آموزشی در STEM</w:t>
      </w:r>
    </w:p>
    <w:p>
      <w:pPr>
        <w:spacing w:after="100" w:line="240" w:lineRule="auto"/>
        <w:jc w:val="both"/>
      </w:pPr>
      <w:r>
        <w:rPr>
          <w:rFonts w:ascii="Noto Naskh Arabic" w:hAnsi="Noto Naskh Arabic" w:cs="Noto Naskh Arabic"/>
          <w:sz w:val="17"/>
        </w:rPr>
        <w:t>این جدول با حفظ کامل ۲۰۴ مفهوم و ۲۰۹ رخداد کدگذاری‌شده جدول اولیه بازطراحی شده است. مضامین اصلی مطابق سطوح بوم‌شناختی مبانی نظری سازمان یافته‌اند و محدودیت‌های صریحاً روش‌شناختی از عوامل واقعی شکست جدا و در بُعد فراسطحی شواهد قرار گرفته‌اند. فراوانی هر مضمون فرعی از جمع مستقیم فراوانی مفاهیم همان ردیف محاسبه شده است.</w:t>
      </w:r>
    </w:p>
    <w:tbl>
      <w:tblPr>
        <w:tblStyle w:val="TableGrid"/>
        <w:tblW w:type="auto" w:w="0"/>
        <w:jc w:val="center"/>
        <w:tblLayout w:type="autofit"/>
        <w:tblLook w:firstColumn="1" w:firstRow="1" w:lastColumn="0" w:lastRow="0" w:noHBand="0" w:noVBand="1" w:val="04A0"/>
      </w:tblPr>
      <w:tblGrid>
        <w:gridCol w:w="2164"/>
        <w:gridCol w:w="2164"/>
        <w:gridCol w:w="2164"/>
        <w:gridCol w:w="2164"/>
        <w:gridCol w:w="2164"/>
      </w:tblGrid>
      <w:tr>
        <w:trPr>
          <w:tblHeader w:val="true"/>
        </w:trPr>
        <w:tc>
          <w:tcPr>
            <w:tcW w:type="dxa" w:w="2164"/>
            <w:vAlign w:val="center"/>
            <w:shd w:fill="D9EAF7"/>
          </w:tcPr>
          <w:p>
            <w:pPr>
              <w:spacing w:after="0" w:line="240" w:lineRule="auto"/>
              <w:jc w:val="center"/>
              <w:bidi/>
            </w:pPr>
            <w:r>
              <w:rPr>
                <w:rFonts w:ascii="Noto Naskh Arabic" w:hAnsi="Noto Naskh Arabic" w:cs="Noto Naskh Arabic"/>
                <w:b/>
                <w:sz w:val="16"/>
              </w:rPr>
              <w:t>مضمون اصلی</w:t>
            </w:r>
          </w:p>
        </w:tc>
        <w:tc>
          <w:tcPr>
            <w:tcW w:type="dxa" w:w="2164"/>
            <w:vAlign w:val="center"/>
            <w:shd w:fill="D9EAF7"/>
          </w:tcPr>
          <w:p>
            <w:pPr>
              <w:spacing w:after="0" w:line="240" w:lineRule="auto"/>
              <w:jc w:val="center"/>
              <w:bidi/>
            </w:pPr>
            <w:r>
              <w:rPr>
                <w:rFonts w:ascii="Noto Naskh Arabic" w:hAnsi="Noto Naskh Arabic" w:cs="Noto Naskh Arabic"/>
                <w:b/>
                <w:sz w:val="16"/>
              </w:rPr>
              <w:t>مضمون فرعی</w:t>
            </w:r>
          </w:p>
        </w:tc>
        <w:tc>
          <w:tcPr>
            <w:tcW w:type="dxa" w:w="2164"/>
            <w:vAlign w:val="center"/>
            <w:shd w:fill="D9EAF7"/>
          </w:tcPr>
          <w:p>
            <w:pPr>
              <w:spacing w:after="0" w:line="240" w:lineRule="auto"/>
              <w:jc w:val="center"/>
              <w:bidi/>
            </w:pPr>
            <w:r>
              <w:rPr>
                <w:rFonts w:ascii="Noto Naskh Arabic" w:hAnsi="Noto Naskh Arabic" w:cs="Noto Naskh Arabic"/>
                <w:b/>
                <w:sz w:val="16"/>
              </w:rPr>
              <w:t>مفاهیم (با فراوانی و توضیح) – جداشده با /</w:t>
            </w:r>
          </w:p>
        </w:tc>
        <w:tc>
          <w:tcPr>
            <w:tcW w:type="dxa" w:w="2164"/>
            <w:vAlign w:val="center"/>
            <w:shd w:fill="D9EAF7"/>
          </w:tcPr>
          <w:p>
            <w:pPr>
              <w:spacing w:after="0" w:line="240" w:lineRule="auto"/>
              <w:jc w:val="center"/>
              <w:bidi/>
            </w:pPr>
            <w:r>
              <w:rPr>
                <w:rFonts w:ascii="Noto Naskh Arabic" w:hAnsi="Noto Naskh Arabic" w:cs="Noto Naskh Arabic"/>
                <w:b/>
                <w:sz w:val="16"/>
              </w:rPr>
              <w:t>منابع</w:t>
            </w:r>
          </w:p>
        </w:tc>
        <w:tc>
          <w:tcPr>
            <w:tcW w:type="dxa" w:w="2164"/>
            <w:vAlign w:val="center"/>
            <w:shd w:fill="D9EAF7"/>
          </w:tcPr>
          <w:p>
            <w:pPr>
              <w:spacing w:after="0" w:line="240" w:lineRule="auto"/>
              <w:jc w:val="center"/>
              <w:bidi/>
            </w:pPr>
            <w:r>
              <w:rPr>
                <w:rFonts w:ascii="Noto Naskh Arabic" w:hAnsi="Noto Naskh Arabic" w:cs="Noto Naskh Arabic"/>
                <w:b/>
                <w:sz w:val="16"/>
              </w:rPr>
              <w:t>جمع فراوانی</w:t>
            </w:r>
          </w:p>
        </w:tc>
      </w:tr>
      <w:tr>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۱. سطح فردی–مجریان: نارسایی ظرفیت و آمادگی معلم</w:t>
            </w:r>
          </w:p>
        </w:tc>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کاستی دانش و مهارت تخصصی–فناورانه معلم</w:t>
            </w:r>
          </w:p>
        </w:tc>
        <w:tc>
          <w:tcPr>
            <w:tcW w:type="dxa" w:w="2164"/>
            <w:shd w:fill="EAF2F8"/>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کمبود دانش محتوایی و آموزشی معلمان برای ادغام رباتیک (فراوانی: ۲): معلمان فاقد دانش فناوری و مهندسی هستند و به متخصص تکیه دارند / کمبود دانش و صلاحیت معلمان در حوزهٔ محاسبات و رباتیک (۱): معلمان درک ضعیفی از تفکر محاسباتی دارند / عدم آمادگی و آموزش معلمان برای تدریس مفاهیم مهندسی (۱): معلمان آموزش کافی برای گنجاندن مهندسی در درس ندیده اند / نیاز به زمان بیشتر معلمان نسبت به دانش آموزان برای یادگیری برنامه نویسی (۱): معلمان ۶۴ ساعت در مقابل ۱۶ ساعت دانش آموزان نیاز داشتند / کمبود تجربهٔ قبلی معلمان پیش خدمت در برنامه نویسی و رباتیک (۱): معلمان بدون تجربهٔ قبلی وارد دوره شدند / کمبود دانش و تجربهٔ معلمان در زمینهٔ کدنویسی (۱): بیش از ۷۵٪ معلمان تجربهٔ کمی در کدنویسی دارند</w:t>
            </w:r>
          </w:p>
        </w:tc>
        <w:tc>
          <w:tcPr>
            <w:tcW w:type="dxa" w:w="2164"/>
            <w:shd w:fill="EAF2F8"/>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Ziaeefard et al., 2017; Korte et al., 2025; Zaharin et al., 2019; Jaipal-Jamani, 2023; Kopcha et al., 2017; Kaya et al., 2017; Ragusa &amp; Leung, 2023</w:t>
            </w:r>
          </w:p>
        </w:tc>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۷</w:t>
            </w:r>
          </w:p>
        </w:tc>
      </w:tr>
      <w:tr>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ضعف صلاحیت پداگوژیک و تلفیق برنامه درسی</w:t>
            </w:r>
          </w:p>
        </w:tc>
        <w:tc>
          <w:tcPr>
            <w:tcW w:type="dxa" w:w="2164"/>
            <w:shd w:fill="EAF2F8"/>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کمبود تخصص معلمان در طراحی فعالیت های یکپارچهٔ فناورانه (۱): معلمان فاقد تخصص برای طراحی درس های یکپارچه با فناوری هستند / کمبود آموزش معلمان برای اجرای یکپارچهٔ STEM در برنامهٔ درسی (۱): کمبود آموزش منجر به ترجمهٔ نادرست STEM می شود / کمبود آموزش معلمان برای ترجمه STEM در برنامه های درسی (۱): معلمان نمی توانند محتوای STEM را به درستی به برنامهٔ درسی تبدیل کنند / کمبود تجربه و مهارت معلمان در کاربرد مدل های نوین آموزشی (۱): مدل های مهندسی معکوس و عیب یابی به ندرت به کار گرفته می شوند / نیاز به عقب نشینی معلمان و اجازهٔ تلاش به دانش آموزان (۱): معلمان باید کنترل کمتری اعمال کنند</w:t>
            </w:r>
          </w:p>
        </w:tc>
        <w:tc>
          <w:tcPr>
            <w:tcW w:type="dxa" w:w="2164"/>
            <w:shd w:fill="EAF2F8"/>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Kopcha et al., 2017; Sung et al., 2022; Cahyono et al., 2021a; Zhong et al., 2022; Cahyono et al., 2021b</w:t>
            </w:r>
          </w:p>
        </w:tc>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۵</w:t>
            </w:r>
          </w:p>
        </w:tc>
      </w:tr>
      <w:tr>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خودکارآمدی پایین، آمادگی ناکافی و وابستگی به پشتیبانی حرفه‌ای</w:t>
            </w:r>
          </w:p>
        </w:tc>
        <w:tc>
          <w:tcPr>
            <w:tcW w:type="dxa" w:w="2164"/>
            <w:shd w:fill="EAF2F8"/>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کمبود اعتمادبه نفس معلمان در استفاده از ربات و برنامه نویسی (۱): معلمان نگران توانایی خود در مدیریت فناوری هستند / آموزش ناکافی مربیان و کمبود مدرسان ماهر (۱): کمبود متخصص برای آموزش برنامه نویسی به معلمان / وابستگی شدید به متخصص خارجی و نبود پشتیبانی مستمر (۱): برنامه بدون متخصص خارجی فرو می پاشد / کمبود آمادگی معلمان برای استفاده از رباتیک در تدریس (۱): برنامه های سنتی معلمان را آماده نکرده اند / آموزش ناکافی معلمان (کارگاه کوتاه و ناهماهنگ) (۱): کارگاه دو روزه با کیت قدیمی برگزار شد</w:t>
            </w:r>
          </w:p>
        </w:tc>
        <w:tc>
          <w:tcPr>
            <w:tcW w:type="dxa" w:w="2164"/>
            <w:shd w:fill="EAF2F8"/>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Zaharin et al., 2019; Nannim et al., 2025; Ntemngwa &amp; Oliver, 2018; Ki Kim et al., 2019</w:t>
            </w:r>
          </w:p>
        </w:tc>
        <w:tc>
          <w:tcPr>
            <w:tcW w:type="dxa" w:w="2164"/>
            <w:shd w:fill="EAF2F8"/>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۵</w:t>
            </w:r>
          </w:p>
        </w:tc>
      </w:tr>
      <w:tr>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۲. سطح فردی–یادگیرندگان: آسیب‌پذیری‌های شناختی، انگیزشی و مشارکتی</w:t>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بار شناختی و دشواری‌های شناختی–فراشناختی</w:t>
            </w:r>
          </w:p>
        </w:tc>
        <w:tc>
          <w:tcPr>
            <w:tcW w:type="dxa" w:w="2164"/>
            <w:shd w:fill="E8F5E9"/>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پیچیدگی درک شده و سطح دشواری فعالیت ها (۱): علاقهٔ دانش آموزان به درک آن ها از دشواری بستگی دارد / دشواری درک مفاهیم و تولید کد مناسب (۱): مشکلاتی مانند ناتوانی در تشخیص خطاهای کدنویسی / بار شناختی بالا و زمان محدود آزمون (۱): بار شناختی بالا و زمان محدود یادگیری را مختل می کند / کاربرد نادرست یا بیش ازحد مهارت تجزیه (۱): تجزیهٔ بیش ازحد منجر به کدهای قطعه قطعه می شود / اشکال زدایی و ارزیابی بیش ازحد (۱): صرف زمان زیاد برای اشکال زدایی عملکرد کلی را کاهش می دهد / بار شناختی ناشی از تجزیهٔ بیش ازحد (۱): تجزیهٔ زیاد بار شناختی ایجاد می کند / دشواری درک ساختارهای برنامه نویسی پیشرفته (حلقه ها و شرطی ها) (۱): توانایی درک کد با افزایش پیچیدگی کاهش می یابد / ضعف حافظهٔ کاری کودکان و نیاز به سیستم های حافظهٔ خارجی (۱): بار شناختی سنگین بر حافظهٔ محدود کودکان / دشواری آموزش مراجع فضایی «چپ» و «راست» به کودکان (۱): کودکان در استفاده از برچسب های جهت دار مشکل دارند / ناسازگاری مفاهیم انتزاعی تفکر محاسباتی با سطح رشد شناختی کودکان (۱): کودکان قبل از ۷ سالگی منطق عینی را درک می کنند، نه انتزاعی / دشواری یادگیری ریاضیات و برنامه نویسی کامپیوتر در مقایسه با سایر حوزه ها (۱): ریاضیات دشوارتر و علوم نظری تر هستند / چالش های ذاتی یادگیری برنامه نویسی: پیچیدگی، زمان بری و دشواری (۱): برنامه نویسی نیازمند دانش گستردهٔ قوانین نحوی و معنایی است / تفسیر نادرست داده های عددی و مختصات در محیط برنامه نویسی (۱): تبدیل دستورات زبانی به ورودی های عددی چالش برانگیز است / سردرگمی در کارکرد جعبه های برنامه نویسی و تشخیص شباهت های نامی (۱): اشتباه گرفتن جعبه های مختلف برنامه نویسی / عدم تطابق بین دستورالعمل وظیفه و کد نوشته شده (۱): کد نوشته شده با دستورالعمل مطابقت ندارد / کمبود دانش ریاضی پیش نیاز برای درک مختصات و زوایا (۱): دانش محدود دربارهٔ سیستم مختصات کارتزین / چالش در تفسیر ساختار کلی کد و تشخیص نیاز به ساختارهای شرطی (۱): دانش آموزان اغلب کدهای توالی ای می نویسند / بازگشت به برنامه نویسی خطی و عدم درونی سازی مفاهیم پیچیده (۱): دانش آموزان به سرعت به برنامه نویسی توالی ساده تر باز می گردند / نگاه یک طرفه به برنامه نویسی به عنوان رفتار ورودی به جای تعامل دوسویه (۱): غفلت از بازخورد ربات / رویکرد غیرآموزشی و حلقهٔ آزمون-خطا (۱): دانش آموزان بدون درک مسئله، آزمون و خطا می کنند / چالش در انتقال مفاهیم تفکر محاسباتی به فعالیت های عملی (۱): دانشجویان نتوانستند نمودار جریان تهیه کنند / بار شناختی ناشی از تعاملات غنی و جسمانی سازی مستقیم (۱): غنای بیشتر بار شناختی بالاتری تحمیل می کند / شکاف بین عملکرد عینی و خودپندارهٔ منفی (۱): با وجود عملکرد بالا، خودتعیین گری کاهش یافت / عدم تأثیر برنامه نویسی SRA بر خودکارآمدی (۱): تفاوت معناداری در خودکارآمدی پیش آزمون و پس آزمون وجود نداشت / بار شناختی ناشی از ابزارها و محتوای پیچیده (۱): پیچیدگی بیش از حد محتوا یا ابزارها بار شناختی بالا ایجاد می کند</w:t>
            </w:r>
          </w:p>
        </w:tc>
        <w:tc>
          <w:tcPr>
            <w:tcW w:type="dxa" w:w="2164"/>
            <w:shd w:fill="E8F5E9"/>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Ziaeefard et al., 2017; Durak et al., 2019; Su et al., 2025; Nannim et al., 2026; Zviel-Girshin et al., 2026; Chang &amp; Chen, 2020; Angeli &amp; Valanides, 2020; Nannim et al., 2024; Barth-Cohen et al., 2018; Fanchamps et al., 2021; Qu &amp; Fok, 2022; Chevalier et al., 2020; Boya-Lara et al., 2022; Sung et al., 2022; Liu et al., 2022</w:t>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۲۵</w:t>
            </w:r>
          </w:p>
        </w:tc>
      </w:tr>
      <w:tr>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ناهمگونی دانش، توانایی و تجربه پیشین</w:t>
            </w:r>
          </w:p>
        </w:tc>
        <w:tc>
          <w:tcPr>
            <w:tcW w:type="dxa" w:w="2164"/>
            <w:shd w:fill="E8F5E9"/>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تجربه و پیشینهٔ نابرابر دانش آموزان (۱): دانش آموزان با پیشینهٔ STEM عملکرد بهتری دارند / کمبود تجربهٔ پیشین دانشجویان در برنامه نویسی و رباتیک (۱): همهٔ شرکت کنندگان با تفکر محاسباتی ناآشنا بودند / نابرابری در سطح درک و توانایی دانش آموزان (۱): برخی دانش آموزان فرایند را بهتر درک می کنند / تفاوت در دانش قبلی دانش آموزان و تأثیر آن بر اثربخشی (۱): یادگیری موفق به دانش قبلی وابسته است / کمبود تجربهٔ قبلی دانشجویان در لحیم کاری و ساخت مدار (۱): ۸۰٪ دانشجویان تجربهٔ قبلی نداشتند / ناهمگونی کلاس و نیاز به تمایز در تکالیف (۱): کلاس از نظر پیشینهٔ یادگیری کاملاً ناهمگن بود / تفاوت بین دانش آموزان در توانایی یادگیری خودراهبر از طریق پروژه (۱): فقط ۲۰٪ دانش آموزان پروژه را در سطح پیشرفته تعریف کردند / عدم تأثیر برنامه بر دانش آموزان با سطح اولیه بالا (اثر سقف) (۱): دوره برای یادگیرندگان مبتدی طراحی شده بود / شکاف بین خودادراکی و عملکرد واقعی در مهارت تجزیه (۱): دانش آموزان خود را ماهر می دانند اما عملکرد بالایی ندارند / عدم تناسب بین توانایی درک کد و انگیزهٔ ادامهٔ برنامه (۱): تمایل به ادامه مستقل از توانایی واقعی بود</w:t>
            </w:r>
          </w:p>
        </w:tc>
        <w:tc>
          <w:tcPr>
            <w:tcW w:type="dxa" w:w="2164"/>
            <w:shd w:fill="E8F5E9"/>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Ziaeefard et al., 2017; Korte et al., 2025; Durak et al., 2019; Nannim et al., 2026; Zviel-Girshin et al., 2026; Barak &amp; Assal, 2018; Ching et al., 2019; Noh &amp; Lee, 2020; Boya-Lara et al., 2022</w:t>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۱۰</w:t>
            </w:r>
          </w:p>
        </w:tc>
      </w:tr>
      <w:tr>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فرسایش انگیزشی، عاطفی و نگرشی</w:t>
            </w:r>
          </w:p>
        </w:tc>
        <w:tc>
          <w:tcPr>
            <w:tcW w:type="dxa" w:w="2164"/>
            <w:shd w:fill="E8F5E9"/>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خستگی و فشار روانی ناشی از فعالیت های چالش برانگیز (۱): دانش آموزان فعالیت ها را خسته کننده توصیف کردند / تأثیر منفی پیش دانش قبلی بر انگیزه و تلاش (۱): دانش آموزان با پیش دانش، محتوا را تکراری می یابند / وابستگی شدید عملکرد به نگرش یادگیری مثبت (۱): نگرش مثبت قوی ترین پیش بینی کنندهٔ عملکرد است / کاهش اثربخشی رباتیک با افزایش سن دانش آموزان (۱): علاقه به STEM با افزایش سن کاهش می یابد / عدم تأثیر بر علاقهٔ آینده به STEM و خودادراکی توانایی ساخت (۱): پروژهٔ پایانی تأثیری فراتر از برنامهٔ اصلی نداشت / عدم تأثیر برنامه بر دانش آموزان با سطح اولیه بالا در تفکر محاسباتی (۱): میانگین نمرات پس آزمون کاهش یافت / کاهش انگیزهٔ دانش آموزان با سطح انگیزهٔ اولیهٔ متوسط (۱): میانگین نمرات انگیزه به طور معناداری کاهش یافت / عدم تأثیر معنادار بر کاهش نگرش منفی نسبت به کدنویسی (۱): با وجود افزایش نگرش مثبت، نگرش منفی باقی ماند / دلسردی ناشی از پیچیدگی فنی و مشکلات اولیه در کار با ربات (۱): مشکلات فنی در جلسات اولیه باعث ناامیدی شد / کاهش انگیزه و خودکارآمدی ناشی از درک پیچیدگی واقعی تکلیف (۱): درک پیچیدگی ممکن است انگیزه را کاهش دهد / عدم تأثیر معنادار بر انگیزه و ادراک دانش آموزان در دوره های کوتاه مدت (۱): تفاوت معناداری در ادراک از محاسبات ایجاد نشد / سطح بالای پیش دانش و اثر سقف (Ceiling Effect) (۱): جای کمی برای بهبود باقی مانده بود / نگرانی های والدین و جامعه دربارهٔ اثرات منفی فناوری بر کودکان (۱): نگرانی از چاقی، اختلال خواب و کاهش تعاملات اجتماعی / عدم تأثیر برنامه بر زیرمقیاس کار تیمی در نگرش به رباتیک (۱): انگیزه بر کار تیمی تأثیر معناداری نداشت</w:t>
            </w:r>
          </w:p>
        </w:tc>
        <w:tc>
          <w:tcPr>
            <w:tcW w:type="dxa" w:w="2164"/>
            <w:shd w:fill="E8F5E9"/>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Durak et al., 2019; Su et al., 2025; Merkouris &amp; Chorianopoulos, 2019; Barak &amp; Assal, 2018; Dorouka et al., 2020; Van Wassenaer et al., 2023; Zviel-Girshin &amp; Rosenberg, 2025; Noh &amp; Lee, 2020; Selcuk et al., 2024; Sung et al., 2022; Yıldız &amp; Seferoğlu, 2021; Yilmaz Ince &amp; Koc, 2021</w:t>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۱۴</w:t>
            </w:r>
          </w:p>
        </w:tc>
      </w:tr>
      <w:tr>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اختلال در پویایی گروهی و توزیع مشارکت</w:t>
            </w:r>
          </w:p>
        </w:tc>
        <w:tc>
          <w:tcPr>
            <w:tcW w:type="dxa" w:w="2164"/>
            <w:shd w:fill="E8F5E9"/>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پویایی های جنسیتی و گروهی در کار تیمی (۱): تفاوت در علایق دختران و پسران تنش ایجاد می کند / چالش های کار گروهی و نیاز به جفت سازی هدفمند (۱): کار گروهی بدون برنامه ریزی مانع یادگیری می شود / چالش های کار تیمی و توزیع نابرابر فرصت های یادگیری (۱): دانش آموزان ماهرتر رهبری را بر عهده می گیرند / تفاوت در نحوهٔ درگیرشدن دانش آموزان با تعاملات دانش آموز-ربات (۱): برخی دانش آموزان رفتارهای نادرست ربات را نادیده می گیرند / عدم تأثیر برنامه بر زیرمقیاس کار تیمی در نگرش به رباتیک (۱): گروه بندی جفتی محیط تیمی کافی فراهم نکرد / چالش های کار تیمی و وابستگی به کار گروهی اجباری (۱): محدودیت کیت ها منجر به کار گروهی اجباری و تعارض می شود</w:t>
            </w:r>
          </w:p>
        </w:tc>
        <w:tc>
          <w:tcPr>
            <w:tcW w:type="dxa" w:w="2164"/>
            <w:shd w:fill="E8F5E9"/>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Ziaeefard et al., 2017; Durak et al., 2019; Ching et al., 2019; Selcuk et al., 2024; Qu &amp; Fok, 2022; Yıldız &amp; Seferoğlu, 2021</w:t>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۶</w:t>
            </w:r>
          </w:p>
        </w:tc>
      </w:tr>
      <w:tr>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نابرابری جنسیتی و مشارکت نامتوازن</w:t>
            </w:r>
          </w:p>
        </w:tc>
        <w:tc>
          <w:tcPr>
            <w:tcW w:type="dxa" w:w="2164"/>
            <w:shd w:fill="E8F5E9"/>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شکاف جنسیتی در مهارت تفکر محاسباتی (۱): پسران به طور معناداری بهتر از دختران بودند / تفاوت جنسیتی در عملکرد علیرغم اعتمادبه نفس مشابه (۱): دختران عملکرد بهتری در خواندن کد داشتند / شکاف جنسیتی پایدار در نگرش به فناوری و مهندسی و مشاغل STEM (۱): پسران نگرش مثبت تری داشتند / شکاف جنسیتی در عملکرد تفکر محاسباتی به نفع پسران (۱): دانشجویان پسر میانگین نمرات بالاتری داشتند / تفاوت جنسیتی در خلاقیت به نفع دختران و عدم تناسب برنامه برای پسران (۱): برنامه برای دختران مؤثرتر بود / عدم توجه به تفاوت های فردی و جنسیتی در طراحی آموزشی (۱): یک روش آموزشی یکسان برای همه به کار رفته است</w:t>
            </w:r>
          </w:p>
        </w:tc>
        <w:tc>
          <w:tcPr>
            <w:tcW w:type="dxa" w:w="2164"/>
            <w:shd w:fill="E8F5E9"/>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Su et al., 2025; Zviel-Girshin et al., 2026; Van Wassenaer et al., 2023; Nannim et al., 2024; Noh &amp; Lee, 2020; Liu et al., 2022</w:t>
            </w:r>
          </w:p>
        </w:tc>
        <w:tc>
          <w:tcPr>
            <w:tcW w:type="dxa" w:w="2164"/>
            <w:shd w:fill="E8F5E9"/>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۶</w:t>
            </w:r>
          </w:p>
        </w:tc>
      </w:tr>
      <w:tr>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۳. سطح آموزشی: ناهم‌ترازی طراحی آموزشی و برنامه درسی</w:t>
            </w:r>
          </w:p>
        </w:tc>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گسست یکپارچگی STEM، برنامه درسی و ارتباط با زمینه واقعی</w:t>
            </w:r>
          </w:p>
        </w:tc>
        <w:tc>
          <w:tcPr>
            <w:tcW w:type="dxa" w:w="2164"/>
            <w:shd w:fill="FFF8E1"/>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غلبهٔ ریاضیات بر سایر حوزه های STEM در فعالیت های طراحی شده (فراوانی: ۲): ریاضی غالب است و ابعاد دیگر کمرنگ می شوند / عدم ارتباط محتوای آموزشی با نیازهای شغلی آیندهٔ دانشجویان (۱): بی ارتباطی درس با آیندهٔ شغلی / کمبود ایده و خلاقیت در تلفیق ربات با برنامهٔ درسی (۱): معلمان نمی دانند چگونه رباتیک را تلفیق کنند / تمرکز بیش ازحد معلمان بر بخش رباتیک و غفلت از سایر ابعاد (۱): ۸۸٪ معلمان رباتیک را انگیزه بخش ترین بخش می دانند / یادگیری ناقص مفاهیم علمی به دلیل عدم تأکید بر آموزش رسمی (۱): مفاهیم به صورت شهودی یاد گرفته می شوند / کمبود مفاهیم علمی و ریاضی ملموس در برنامه های درسی رباتیک (۱): برنامه ها بر مونتاژ متمرکزند، نه مفاهیم علمی / کمبود ادغام بین رشته ای در برنامه های درسی رباتیک (۱): ارتباط معنی داری بین رشته ها برقرار نمی شود / عدم ادغام رباتیک در برنامهٔ درسی (۱): رباتیک به عنوان فعالیت جانبی باقی می ماند / کمبود برنامه های درسی رباتیک مناسب سن و یکپارچه با STEM (۱): برنامه ها برای دورهٔ راهنمایی و دبیرستان طراحی شده اند / عدم انعطاف پذیری و کیفیت ناکافی برنامه های درسی (۱): برنامه ها با نیازهای قرن ۲۱ تطابق ندارند / کمبود آموزش عملی و کاربردپذیری دانش در برنامه های درسی سنتی (۱): رویکردهای سنتی فاقد کاربرد عملی هستند / شکاف بین نظریه و کاربرد عملی در آموزش STEM (۱): ارتباط پیچیده بین نظریه و عمل / نبود الگوهای عملی برای اجرای میان رشته ای STEM در کلاس (۱): چگونگی ارائهٔ فعالیت های میان درسی مشخص نیست / مشکل گزینش و جذب دانشجویان به دلیل عدم آشنایی با رباتیک BEAM (۱): برخی دانشجویان تصور نادرست از دوره داشتند و ثبت نام نکردند / عدم ارتباط سناریوی طراحی با زندگی واقعی دانش آموزان (۱): سناریوی تنیس برای دانش آموزان محروم بی ربط بود</w:t>
            </w:r>
          </w:p>
        </w:tc>
        <w:tc>
          <w:tcPr>
            <w:tcW w:type="dxa" w:w="2164"/>
            <w:shd w:fill="FFF8E1"/>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Korte et al., 2025; Zaharin et al., 2019; Barak &amp; Assal, 2018; Chang &amp; Chen, 2020; Dorouka et al., 2020; Arís &amp; Orcos, 2019; Ching et al., 2019; Torres &amp; Inga, 2025; Boya-Lara et al., 2022; Torres et al., 2025; Cahyono et al., 2021a; Cahyono et al., 2021b</w:t>
            </w:r>
          </w:p>
        </w:tc>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۱۶</w:t>
            </w:r>
          </w:p>
        </w:tc>
      </w:tr>
      <w:tr>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عدم تناسب طراحی فعالیت با سطح رشد، توانایی و نیاز یادگیرنده</w:t>
            </w:r>
          </w:p>
        </w:tc>
        <w:tc>
          <w:tcPr>
            <w:tcW w:type="dxa" w:w="2164"/>
            <w:shd w:fill="FFF8E1"/>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عدم تطابق بین سطح چالش و توانایی دانش آموزان (۱): چالش یا بسیار کم یا بسیار زیاد است / عدم تناسب سطح فعالیت های رباتیک با سطح رشد شناختی دانش آموزان (۱): فعالیت ها برای دانش آموزان بزرگتر چالش برانگیز نیست / عدم مشاهدهٔ برخی ابعاد تفکر محاسباتی به دلیل محدودیت وظیفه (۱): ابعادی مانند کارایی و تفکر الگوریتمی مشاهده نشد / طراحی دوره برای مبتدیان و عدم تناسب با سطوح بالاتر (۱): محتوای پایه برای دانش آموزان پیشرفته کافی نیست / عدم تناسب سطح جسمانی سازی با سن و توانایی شناختی یادگیرندگان (۱): جسمانی سازی کامل برای یادگیرندگان خردسال بار شناختی بالا ایجاد می کند / ناهماهنگی مدل آموزشی با محتوا و سطح دانش آموزان (۱): انتخاب مدل باید بر اساس سطح دانش آموزان باشد</w:t>
            </w:r>
          </w:p>
        </w:tc>
        <w:tc>
          <w:tcPr>
            <w:tcW w:type="dxa" w:w="2164"/>
            <w:shd w:fill="FFF8E1"/>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Ziaeefard et al., 2017; Chiazzese et al., 2019; Barth-Cohen et al., 2018; Noh &amp; Lee, 2020; Sung et al., 2022; Zhong et al., 2022</w:t>
            </w:r>
          </w:p>
        </w:tc>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۶</w:t>
            </w:r>
          </w:p>
        </w:tc>
      </w:tr>
      <w:tr>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ضعف راهبرد تدریس، داربست‌بندی و سازمان‌دهی اجرا</w:t>
            </w:r>
          </w:p>
        </w:tc>
        <w:tc>
          <w:tcPr>
            <w:tcW w:type="dxa" w:w="2164"/>
            <w:shd w:fill="FFF8E1"/>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غفلت از فازهای پیش از برنامه نویسی در طراحی فعالیت های رباتیک (۱): تمرکز بر برنامه نویسی، نه درک مسئله / روش های تدریس القایی و معلم محور (روش سنتی نمایش-تمرین) (۱): آموزش القایی منجر به فقدان تفکر انتقادی می شود / تمرکز بیش ازحد بر محصول در مدل های محصول محور و غفلت از دانش نظری (۱): دانش آموزان صرفاً بر ساخت محصول متمرکز می شوند / نبود داربست های کافی در برنامه های رایانه ای رباتیک (۱): برنامهٔ WeDo برای داربست سازی مفاهیم علمی مؤثر نبود / کمبود داربست و معیارهای موفقیت روشن در فعالیت های میانی (۱): فقدان معیار موفقیت باعث ناراحتی دانش آموزان می شود / کاهش انگیزه و مشارکت دانش آموزان در روش های سنتی در مقایسه با روش مبتنی بر پروژه (۱): روش سنتی انگیزهٔ کوتاه مدت ایجاد می کند / نیاز به زمان بیشتر و دشواری های اجرایی در روش مبتنی بر پروژه (۱): روش پروژه محور برای برخی دانش آموزان جدید و دشوار است / وابستگی به آمادگی و مهارت معلمان برای اجرای مؤثر روش مبتنی بر پروژه (۱): موفقیت روش پروژه محور به مهارت معلم بستگی دارد / تعارض بین زمان بر بودن مونتاژ و ارزش آموزشی آن (۱): برخی معلمان مونتاژ را خسته کننده و کم ارزش می دانستند</w:t>
            </w:r>
          </w:p>
        </w:tc>
        <w:tc>
          <w:tcPr>
            <w:tcW w:type="dxa" w:w="2164"/>
            <w:shd w:fill="FFF8E1"/>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Jaipal-Jamani, 2023; Coufal, 2022; Chevalier et al., 2020; Torres et al., 2025; Liu et al., 2022; Zhong et al., 2022</w:t>
            </w:r>
          </w:p>
        </w:tc>
        <w:tc>
          <w:tcPr>
            <w:tcW w:type="dxa" w:w="2164"/>
            <w:shd w:fill="FFF8E1"/>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۹</w:t>
            </w:r>
          </w:p>
        </w:tc>
      </w:tr>
      <w:tr>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۴. سطح فناورانه: پیچیدگی، قابلیت استفاده و شکنندگی فناوری</w:t>
            </w:r>
          </w:p>
        </w:tc>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پیچیدگی فنی و بار شناختی–تعاملی فناوری</w:t>
            </w:r>
          </w:p>
        </w:tc>
        <w:tc>
          <w:tcPr>
            <w:tcW w:type="dxa" w:w="2164"/>
            <w:shd w:fill="FCE4EC"/>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پیچیدگی فنی و دشواری درک شدهٔ ساخت و برنامه نویسی ربات (۱): دانشجویان ساخت ربات را «سرگرم کننده اما مشکل» توصیف کردند / پیچیدگی درک شدهٔ محتوای مرتبط با الکترونیک و مدار (۱): دانش آموزان در درک مدار الکتریکی مشکل داشتند / پیچیدگی فنی در بخش رباتیک، به ویژه سنسورها و اجرای مأموریت ها (۱): ۴۷.۵٪ معلمان این بخش را چالش برانگیزترین یافتند / پیچیدگی ذاتی مفاهیم انتزاعی STEM و لزوم طراحی دقیق تصویرسازی های رباتیک (۱): تصویرسازی های نامناسب تصورات غلط ایجاد می کنند / پیچیدگی فنی و بار شناختی بالا در فعالیت های رباتیک (۱): پیچیدگی فنی فعالیت ها را برای کلاس نامناسب می کند / خستگی و کاهش انگیزه ناشی از سیم کشی و مونتاژ (۱): فرایند مونتاژ خسته کننده تلقی شد / مصالحه بین جذابیت تعامل جسم انگار غنی و سود شناختی (۱): رابط های تمام بدن پروژه های کم پیچیده تری تولید کردند / افزایش بار شناختی ناشی از هماهنگی حرکتی-شناختی در تعاملات جسم انگار بالا (۱): هماهنگی حرکتی-شناختی اضافی بار شناختی را افزایش می دهد</w:t>
            </w:r>
          </w:p>
        </w:tc>
        <w:tc>
          <w:tcPr>
            <w:tcW w:type="dxa" w:w="2164"/>
            <w:shd w:fill="FCE4EC"/>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Korte et al., 2025; Durak et al., 2019; Merkouris &amp; Chorianopoulos, 2019; Arís &amp; Orcos, 2019; Rahman, 2021; Selcuk et al., 2024; Torres et al., 2025</w:t>
            </w:r>
          </w:p>
        </w:tc>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۸</w:t>
            </w:r>
          </w:p>
        </w:tc>
      </w:tr>
      <w:tr>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نقص، شکنندگی، دشواری عیب‌یابی و قابلیت اطمینان پایین</w:t>
            </w:r>
          </w:p>
        </w:tc>
        <w:tc>
          <w:tcPr>
            <w:tcW w:type="dxa" w:w="2164"/>
            <w:shd w:fill="FCE4EC"/>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پیچیدگی سخت افزاری و شکنندگی قطعات الکترونیکی (۱): سیم کشی خسته کننده است و مدارها شکننده هستند / دشواری عیب یابی حسگر EMG و ماهیت «جعبه سیاه» آن (۱): حسگر EMG یک جعبه سیاه بود / کیفیت اتصال اینترنت و مشکلات فنی در محیط مجازی (۱): قطع ارتباط منجر به احساس انزوا می شود</w:t>
            </w:r>
          </w:p>
        </w:tc>
        <w:tc>
          <w:tcPr>
            <w:tcW w:type="dxa" w:w="2164"/>
            <w:shd w:fill="FCE4EC"/>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Alsoliman, 2022; Torres et al., 2025</w:t>
            </w:r>
          </w:p>
        </w:tc>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۳</w:t>
            </w:r>
          </w:p>
        </w:tc>
      </w:tr>
      <w:tr>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ناسازگاری، محدودیت پلتفرم و اصطکاک کاربردپذیری</w:t>
            </w:r>
          </w:p>
        </w:tc>
        <w:tc>
          <w:tcPr>
            <w:tcW w:type="dxa" w:w="2164"/>
            <w:shd w:fill="FCE4EC"/>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محدودیت های پلتفرم مجازی در شبیه سازی محیط واقعی (۱): زمین های بازی مجازی محدود هستند / ناسازگاری زبانی (راست به چپ بودن زبان عبری با محیط برنامه نویسی چپ به راست) (۱): زبان عبری از راست به چپ نوشته می شود / مشکلات کاربردپذیری پورتال های آموزشی و نیاز به طراحی مناسب (۱): ناوبری نامشخص و سردرگمی در آپلود</w:t>
            </w:r>
          </w:p>
        </w:tc>
        <w:tc>
          <w:tcPr>
            <w:tcW w:type="dxa" w:w="2164"/>
            <w:shd w:fill="FCE4EC"/>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Zviel-Girshin et al., 2026; Alsoliman, 2022; Ki Kim et al., 2019</w:t>
            </w:r>
          </w:p>
        </w:tc>
        <w:tc>
          <w:tcPr>
            <w:tcW w:type="dxa" w:w="2164"/>
            <w:shd w:fill="FCE4EC"/>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۳</w:t>
            </w:r>
          </w:p>
        </w:tc>
      </w:tr>
      <w:tr>
        <w:tc>
          <w:tcPr>
            <w:tcW w:type="dxa" w:w="2164"/>
            <w:shd w:fill="EDE7F6"/>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۵. سطح سازمانی–اجرایی: کسری منابع و فشار زمانی</w:t>
            </w:r>
          </w:p>
        </w:tc>
        <w:tc>
          <w:tcPr>
            <w:tcW w:type="dxa" w:w="2164"/>
            <w:shd w:fill="EDE7F6"/>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کسری منابع، زیرساخت و پایداری مالی</w:t>
            </w:r>
          </w:p>
        </w:tc>
        <w:tc>
          <w:tcPr>
            <w:tcW w:type="dxa" w:w="2164"/>
            <w:shd w:fill="EDE7F6"/>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وابستگی به ابزارهای خاص و هزینه بر (مانند Lego Mindstorms EV3) (فراوانی: ۲): بیشتر طرح ها با این کیت طراحی شده اند / کمبود بودجه و زیرساخت در مناطق روستایی (۱): مدارس روستایی فاقد بودجه و تخصص هستند / وابستگی به تأمین مالی خارجی و حمایت های موقت (۱): تداوم برنامه به بودجهٔ NSF وابسته است / کمبود منابع سخت افزاری (کیت های رباتیک) به دلیل افزایش جمعیت دانشجویی (۱): دسترسی محدود به کیت ها / هزینه های بالای سخت افزار و نرم افزار رباتیک (۱): هزینه ها بودجهٔ مؤسسات را تحت فشار می گذارد / هزینه و پیچیدگی ساخت سیستم های برنامه نویسی ملموس (۱): ساخت سیستم های ملموس منابع بر است / هزینه بالا و زمان بر بودن مونتاژ ربات (۱): هزینهٔ قطعات بالاست و مونتاژ زمان بر است / هزینه های بالای رقابت های رباتیک و محدودیت دسترسی (۱): مسابقات هزینه بر هستند / هزینه های بالا و نیاز به سرمایه گذاری قابل توجه برای پیاده سازی (۱): معلمان سرمایه گذاری مالی بالاتر را درک کردند / کمبود منابع آموزشی و سخت افزاری برای آموزش رباتیک (۱): چالش دسترسی به منابع در نیجریه / هزینه بالای تجهیزات رباتیک (۱): کیت ها گران هستند و به بودجه بستگی دارد / هزینه های بالا و محدودیت های زیرساختی رباتیک فیزیکی (۱): هزینه ها معلمان را از استفاده منصرف کرده است / هزینه اشتراک پلتفرم رباتیک مجازی و محدودیت دورهٔ آزمایشی (۱): دورهٔ آزمایشی ۱۵ روزه محدودیت ایجاد می کند / کمبود تجهیزات و نیاز به اشتراک گذاری منابع (۱): سه دانش آموز یک کیت را به اشتراک می گذاشتند / شکاف دیجیتال و کمبود دسترسی به فناوری در مناطق روستایی (۱): نابرابری در دسترسی و دانش فناوری / کمبود منابع فناوری در خانه (۱): کمتر از ۳۵٪ خانواده ها فناوری در خانه دارند / هزینهٔ بالای کیت های رباتیک و محدودیت دسترسی (۱): دستیابی به کیت ها برای هر مدرسه ای دشوار است / محدودیت تعداد کیت های رباتیک و وابستگی به کار گروهی اجباری (۱): فقط ۳ کیت برای کل کلاس موجود بود / وابستگی به ابزارها و بسترهای خاص با قابلیت تعمیم پذیری محدود (۱): استفاده از ابزارهای خاص مانند mBot / نیاز به منابع مالی و تجهیزات گران قیمت (۱): برنامه نیازمند تأمین مالی برای خرید کیت هاست / محدودیت های دسترسی به ابزارها و محیط های یادگیری (۱): همه مدارس به آزمایشگاه های مجهز دسترسی ندارند / کمبود منابع و تخصص در برنامه نویسی (۱): مالزی تعداد محدودی متخصص برنامه نویسی دارد / کمبود منابع و راهنماهای آموزشی مناسب برای معلمان (۱): معلمان خواستار ویدئوهای آموزشی بودند</w:t>
            </w:r>
          </w:p>
        </w:tc>
        <w:tc>
          <w:tcPr>
            <w:tcW w:type="dxa" w:w="2164"/>
            <w:shd w:fill="EDE7F6"/>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Ziaeefard et al., 2017; Zaharin et al., 2019; Nannim et al., 2025; Sapounidis et al., 2015; Chang &amp; Chen, 2020; Dorouka et al., 2020; Rahman, 2021; Nannim et al., 2024; Ntemngwa &amp; Oliver, 2018; Ching et al., 2019; Alsoliman, 2022; Kopcha et al., 2017; Kaya et al., 2017; Castro et al., 2023; Ragusa &amp; Leung, 2023; Yıldız &amp; Seferoğlu, 2021; Cahyono et al., 2021a; Zhong et al., 2022; Cahyono et al., 2021b</w:t>
            </w:r>
          </w:p>
        </w:tc>
        <w:tc>
          <w:tcPr>
            <w:tcW w:type="dxa" w:w="2164"/>
            <w:shd w:fill="EDE7F6"/>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۲۴</w:t>
            </w:r>
          </w:p>
        </w:tc>
      </w:tr>
      <w:tr>
        <w:tc>
          <w:tcPr>
            <w:tcW w:type="dxa" w:w="2164"/>
            <w:shd w:fill="EDE7F6"/>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EDE7F6"/>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فشار زمانی، بار اجرایی و تراکم ساختاری</w:t>
            </w:r>
          </w:p>
        </w:tc>
        <w:tc>
          <w:tcPr>
            <w:tcW w:type="dxa" w:w="2164"/>
            <w:shd w:fill="EDE7F6"/>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کمبود زمان کافی برای یادگیری و تمرین (۱): دانش آموزان زمان ناکافی را دلیل اصلی عدم علاقه ذکر کردند / نگرانی از کمبود زمان و منابع برای اجرای فعالیت های رباتیک (۱): معلمان نگران زمان بر بودن برنامه هستند / کمبود زمان کلاس و ساعات ناکافی آموزش (۱): ساعات درس کمتر به عنوان جنبهٔ منفی ذکر شد / محدودیت زمانی برای استفاده از ربات در کلاس (۱): معلمان باید برنامهٔ درسی را در بازهٔ زمانی مشخص تکمیل کنند / زمان بر بودن پروژه و نیاز به تعهد طولانی مدت (۱): ۱۲ تا ۲۰ هفته، هفته ای ۵ ساعت زمان صرف شد / کوتاهی دورهٔ مداخله و عدم تأثیر بر نگرش (۱): دورهٔ ۱ تا ۴ هفته ای تأثیر معناداری بر نگرش نداشت / کوتاهی مدت زمان پروژه و فقدان اندازه گیری اثرات بلندمدت (۱): اثرات بلندمدت بررسی نشد / زمان ناکافی برای برنامه ریزی و اجرا (۱): سه نفر از چهار معلم زمان کافی نداشتند / کمبود زمان و پیچیدگی اجرایی در دوره های کوتاه مدت (۱): دانشجویان در آستانهٔ تمرین قطع می شوند / زمان ناکافی برای یادگیری و تمرین در برنامهٔ درسی یکپارچه (۱): یافتن زمان کافی برای هر رشته چالش برانگیز بود / عدم امکان تمرین دانش آموزان خارج از ساعات کلاس (۱): دسترسی به تجهیزات فقط در کلاس ممکن بود / محدودیت های زمانی برای تعمیق یادگیری (۱): زمان محدود مانع تعمیق درک مفاهیم شد / محدودیت زمانی برنامه و عدم امکان ارزیابی تأثیر بلندمدت (۱): برنامهٔ ۱.۵ ساعته هفتگی محدودیت ایجاد کرد / زمان بر بودن مدل های معکوس و کاهش کارایی در دوره های کوتاه مدت (۱): مدل های مهندسی معکوس و عیب یابی زمان بیشتری نیاز دارند / کوتاهی مدت زمان مداخله (۱): کارگاه ۱۰ روزه برای توسعهٔ کامل کافی نبود / زمان ناکافی برای تکمیل برنامهٔ درسی (۱): یک معلم به درس آخر نرسید</w:t>
            </w:r>
          </w:p>
        </w:tc>
        <w:tc>
          <w:tcPr>
            <w:tcW w:type="dxa" w:w="2164"/>
            <w:shd w:fill="EDE7F6"/>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Ziaeefard et al., 2017; Korte et al., 2025; Durak et al., 2019; Zaharin et al., 2019; Arís &amp; Orcos, 2019; Van Wassenaer et al., 2023; Zviel-Girshin &amp; Rosenberg, 2025; Ntemngwa &amp; Oliver, 2018; Chen et al., 2023; Ching et al., 2019; Kopcha et al., 2017; Selcuk et al., 2024; Castro et al., 2023; Ragusa &amp; Leung, 2023; Yilmaz Ince &amp; Koc, 2021; Zhong et al., 2022</w:t>
            </w:r>
          </w:p>
        </w:tc>
        <w:tc>
          <w:tcPr>
            <w:tcW w:type="dxa" w:w="2164"/>
            <w:shd w:fill="EDE7F6"/>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۱۶</w:t>
            </w:r>
          </w:p>
        </w:tc>
      </w:tr>
      <w:tr>
        <w:tc>
          <w:tcPr>
            <w:tcW w:type="dxa" w:w="2164"/>
            <w:shd w:fill="E0F7FA"/>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۶. سطح کلان و زمینه‌ای: محدودیت‌های سیاستی، فرهنگی و دسترسی</w:t>
            </w:r>
          </w:p>
        </w:tc>
        <w:tc>
          <w:tcPr>
            <w:tcW w:type="dxa" w:w="2164"/>
            <w:shd w:fill="E0F7FA"/>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ضعف سیاست‌گذاری، راهبری، شبکه پشتیبان و انطباق بافتی</w:t>
            </w:r>
          </w:p>
        </w:tc>
        <w:tc>
          <w:tcPr>
            <w:tcW w:type="dxa" w:w="2164"/>
            <w:shd w:fill="E0F7FA"/>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کمبود ابتکارات نوآورانه و جامع در آموزش STEM مبتنی بر ربات (۱): مشارکت های فعلی محدود و ناپخته هستند / نبود شبکه سازی فعال و اشتراک گذاری منابع بین معلمان (۱): شبکه سازی می تواند به اشتراک منابع منجر شود / وابستگی به محتوای تولیدشده توسط کاربر و چالش های حفظ کیفیت (۱): پلتفرم برای تداوم به محتوای کاربران وابسته است / نیاز به سیاست های آموزشی حمایت کننده و زیرساخت های فناورانه (۱): دولت باید سیاست های آموزشی را توسعه دهد / نبود برنامه های درسی و راهنماهای متناسب با کلاس های چندپایه (۱): پیشنهادهای موجود فقط در سطح نظری هستند / کمبود برنامه های درسی STEM در آموزش ابتدایی (۱): برنامه های درسی در دوران کودکی توسعه نیافته هستند / دشواری ارائه فعالیت های بین رشته ای یکپارچه در STEM (۱): چگونگی اجرای یکپارچه چالش است / کمبود آمادگی معلمان و منابع آموزشی مناسب برای بافت چندپایه (۱): تدریس هم زمان چند پایه پیچیدگی را افزایش می دهد / نبود برنامه های درسی و راهنماهای متناسب با کلاس های چندپایه (۱): پیشنهادهای موجود برای این هدف طراحی نشده اند</w:t>
            </w:r>
          </w:p>
        </w:tc>
        <w:tc>
          <w:tcPr>
            <w:tcW w:type="dxa" w:w="2164"/>
            <w:shd w:fill="E0F7FA"/>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Rahman, 2021; Torres &amp; Inga, 2025; Ki Kim et al., 2019; Castro et al., 2023; Ragusa &amp; Leung, 2023; Cahyono et al., 2021b</w:t>
            </w:r>
          </w:p>
        </w:tc>
        <w:tc>
          <w:tcPr>
            <w:tcW w:type="dxa" w:w="2164"/>
            <w:shd w:fill="E0F7FA"/>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۹</w:t>
            </w:r>
          </w:p>
        </w:tc>
      </w:tr>
      <w:tr>
        <w:tc>
          <w:tcPr>
            <w:tcW w:type="dxa" w:w="2164"/>
            <w:shd w:fill="E0F7FA"/>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E0F7FA"/>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موانع فرهنگی–اجتماعی و نابرابری دسترسی</w:t>
            </w:r>
          </w:p>
        </w:tc>
        <w:tc>
          <w:tcPr>
            <w:tcW w:type="dxa" w:w="2164"/>
            <w:shd w:fill="E0F7FA"/>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تأثیر منفی زمینهٔ فرهنگی (هلند با کلیشه های جنسیتی قوی) (۱): کلیشه های جنسیتی تغییر نگرش را دشوار می کند / هنجارهای فرهنگی و مقررات آموزشی محدودکننده در محیط مجازی (۱): عدم استفاده از دوربین ارتباطات غیرکلامی را محدود می کند / شکاف دیجیتال و کمبود دسترسی به فناوری در مناطق روستایی (۱): شکاف های دیجیتال احتمالاً عمیق تر خواهند شد / نگرانی های والدین و جامعه دربارهٔ اثرات منفی فناوری بر کودکان (۱): بسیاری معتقدند فناوری برای رشد کودکان مضر است</w:t>
            </w:r>
          </w:p>
        </w:tc>
        <w:tc>
          <w:tcPr>
            <w:tcW w:type="dxa" w:w="2164"/>
            <w:shd w:fill="E0F7FA"/>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Dorouka et al., 2020; Van Wassenaer et al., 2023; Alsoliman, 2022; Castro et al., 2023</w:t>
            </w:r>
          </w:p>
        </w:tc>
        <w:tc>
          <w:tcPr>
            <w:tcW w:type="dxa" w:w="2164"/>
            <w:shd w:fill="E0F7FA"/>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۴</w:t>
            </w:r>
          </w:p>
        </w:tc>
      </w:tr>
      <w:tr>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۷. بُعد فراسطحی شواهد: محدودیت در آشکارسازی و ارزیابی شکست</w:t>
            </w:r>
          </w:p>
        </w:tc>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تهدیدهای اعتبار درونی، سوگیری و ضعف طراحی مطالعه</w:t>
            </w:r>
          </w:p>
        </w:tc>
        <w:tc>
          <w:tcPr>
            <w:tcW w:type="dxa" w:w="2164"/>
            <w:shd w:fill="F3E5F5"/>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وابستگی به داده های خودگزارشی و امکان سوگیری (فراوانی: ۳): خودگزارشی ممکن است با سوگیری مطلوبیت اجتماعی همراه باشد / سوگیری انتخاب ناشی از انتساب غیرتصادفی دانش آموزان به گروه ها (۱): دانش آموزان بر اساس ترجیحات شخصی گروه بندی شدند / اثر آزمون ناشی از تکرار آزمون های یکسان (۱): تکرار آزمون ها نمرات پس آزمون را تحت تأثیر قرار داد / اثر تاریخچه ناشی از یادگیری خارج از محیط کلاس (۱): تجارب خارج از مداخله بر نتایج تأثیر گذاشت / حجم نمونه ناکافی برای تشخیص اثرات کوچک (۱): حجم نمونه کوچک شانس تشخیص اثرات کوچک را محدود کرد / مشکل کنترل اثر گروه بندی کلاسی (۱): نمی توان اثر مخدوش کنندهٔ گروه بندی را شناسایی کرد / خودانتخابی دانش آموزان و احتمال سوگیری در نتایج (۱): دانش آموزان داوطلب ممکن است انگیزهٔ بیشتری داشته باشند / عدم کنترل متغیرهای مداخله گر و تأثیر عوامل ناشناخته بر نتایج (۱): وجود متغیرهای غیرقابل کنترل دیگر / عدم قطعیت دربارهٔ تأثیرات خارج از مدرسه و عدم امکان نسبت دهی قطعی نتایج (۱): نمی توان از سایر مواجهه های آموزشی مطمئن بود / فقدان گروه کنترل و محدودیت های روش شناختی (۱): نبود گروه کنترل تهدیدی برای اعتبار داخلی است / نقش دوگانهٔ محقق به عنوان مدرس و گردآورندهٔ داده (۱): سوگیری مثبت احتمالی در نتایج / نادیده گرفتن عوامل زمینه ای (معلم، خانواده، و منطقه) (۱): تأثیر این عوامل در آزمایش نادیده گرفته شد</w:t>
            </w:r>
          </w:p>
        </w:tc>
        <w:tc>
          <w:tcPr>
            <w:tcW w:type="dxa" w:w="2164"/>
            <w:shd w:fill="F3E5F5"/>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Korte et al., 2025; Kert et al., 2020; Yang et al., 2022; Zviel-Girshin &amp; Rosenberg, 2025; Zhang et al., 2025; Boya-Lara et al., 2022; Ragusa &amp; Leung, 2023; Liu et al., 2022; Yıldız &amp; Seferoğlu, 2021; Yilmaz Ince &amp; Koc, 2021</w:t>
            </w:r>
          </w:p>
        </w:tc>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۱۴</w:t>
            </w:r>
          </w:p>
        </w:tc>
      </w:tr>
      <w:tr>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کاستی روایی، حساسیت و پوشش ابزارهای سنجش</w:t>
            </w:r>
          </w:p>
        </w:tc>
        <w:tc>
          <w:tcPr>
            <w:tcW w:type="dxa" w:w="2164"/>
            <w:shd w:fill="F3E5F5"/>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عدم انجام مطالعهٔ پایلوت برای بررسی پایایی و روایی پرسشنامه (۱): پرسشنامهٔ اصلاح شده پایلوت نشد / محدودیت های ارزیابی مبتنی بر پروژه و امکان استفادهٔ ناآگاهانه از کد (۱): امکان استفادهٔ مجدد از کد بدون درک کامل / حساسیت پایین ابزار سنجش تفکر محاسباتی برای گروه های سنی خاص (۱): TechCheck برای سن ۴ سال حساس نبود / کمبود ابزارهای ارزیابی استاندارد و معتبر برای سنجش تفکر محاسباتی در کودکان خردسال (۱): کمبود شدید در ابزارهای سنجش / محدودیت های ابزار سنجش (تکالیف ببراس) و عدم تأیید ویژگی های روانسنجی (۱): تکالیف برای ترویج یادگیری طراحی شده بودند، نه اندازه گیری / عدم ارزیابی پیش نیاز مهارت های تفکر محاسباتی قبل از مداخله (۱): فقدان ارزیابی پیش آزمون از مهارت ها / نبود یک طرح ارزیابی جامع، سفارشی و معتبر برای سنجش نتایج یادگیری (۱): روش های موجود برای رباتیک مناسب نیستند / نبود تنوع در ابزارهای اندازه گیری (۱): فقط از یک مقیاس خاص استفاده شد / استفاده از ابزار سنجش اصلاح شده بدون اعتبارسنجی کامل (۱): پرسشنامهٔ اصلاح شده اعتبارسنجی نشده بود / دشواری در ارزیابی کمّی مزایای رابط های ملموس (۱): حوزه با چالش اعتبارسنجی تجربی مواجه است / ناتوانی در شناسایی حالات عاطفی و هیجانی دانش آموزان (۱): عدم تشخیص احساسات منجر به عدم مداخلهٔ به موقع می شود</w:t>
            </w:r>
          </w:p>
        </w:tc>
        <w:tc>
          <w:tcPr>
            <w:tcW w:type="dxa" w:w="2164"/>
            <w:shd w:fill="F3E5F5"/>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Su et al., 2025; Zaharin et al., 2019; Merkouris &amp; Chorianopoulos, 2019; Sapounidis et al., 2015; Yang et al., 2022; Angeli &amp; Valanides, 2020; Rahman, 2021; Chiazzese et al., 2019; Kaya et al., 2017; Yilmaz Ince &amp; Koc, 2021</w:t>
            </w:r>
          </w:p>
        </w:tc>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۱۱</w:t>
            </w:r>
          </w:p>
        </w:tc>
      </w:tr>
      <w:tr>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r>
          </w:p>
        </w:tc>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ضعف پایش طولی، تبیین سازوکار و قابلیت انتقال شواهد</w:t>
            </w:r>
          </w:p>
        </w:tc>
        <w:tc>
          <w:tcPr>
            <w:tcW w:type="dxa" w:w="2164"/>
            <w:shd w:fill="F3E5F5"/>
            <w:vAlign w:val="top"/>
            <w:tcMar>
              <w:top w:w="45" w:type="dxa"/>
              <w:left w:w="55" w:type="dxa"/>
              <w:bottom w:w="45" w:type="dxa"/>
              <w:right w:w="55" w:type="dxa"/>
            </w:tcMar>
          </w:tcPr>
          <w:p>
            <w:pPr>
              <w:spacing w:before="0" w:after="0" w:line="240" w:lineRule="auto"/>
              <w:jc w:val="both"/>
              <w:bidi/>
            </w:pPr>
            <w:r/>
            <w:r>
              <w:rPr>
                <w:rFonts w:ascii="Noto Naskh Arabic" w:hAnsi="Noto Naskh Arabic" w:cs="Noto Naskh Arabic"/>
                <w:b w:val="0"/>
                <w:sz w:val="15"/>
              </w:rPr>
              <w:t>فقدان پیگیری بلندمدت برای ارزیابی پایداری اثرات (۱): طرح فقط پیش آزمون-پس آزمون بود / فقدان داده های کیفی برای تبیین مکانیسم تغییرات (۱): فقط داده های کمّی جمع آوری شد / کمبود داده های کیفی غنی (۱): حجم داده های کیفی محدود بود / کمبود تحقیقات کافی در مورد تأثیر دقیق برنامه نویسی و رباتیک بر مهارت های حیاتی (۱): نیاز به پژوهش بیشتر برای درک تأثیر / کمبود پژوهش در مورد استراتژی های داربست و تفاوت های جنسیتی در آموزش رباتیک به کودکان (۱): پژوهش بسیار کمی در این زمینه وجود دارد / کمبود پژوهش تجربی و طراحی در حوزهٔ رابط های ملموس (۱): کمبود پژوهش تجربی برای مقایسه با رابط های گرافیکی / کمبود پژوهش های تجربی در مورد اثربخشی رباتیک مجازی (۱): مطالعات کمّی-تجربی هنوز دیده نشده است / محیط غیررسمی و فوق برنامه (نشان دهندهٔ محدودیت در کاربرد در نظام آموزشی رسمی) (۱): تحقیق در محیط غیررسمی انجام شد</w:t>
            </w:r>
          </w:p>
        </w:tc>
        <w:tc>
          <w:tcPr>
            <w:tcW w:type="dxa" w:w="2164"/>
            <w:shd w:fill="F3E5F5"/>
            <w:vAlign w:val="top"/>
            <w:tcMar>
              <w:top w:w="45" w:type="dxa"/>
              <w:left w:w="55" w:type="dxa"/>
              <w:bottom w:w="45" w:type="dxa"/>
              <w:right w:w="55" w:type="dxa"/>
            </w:tcMar>
          </w:tcPr>
          <w:p>
            <w:pPr>
              <w:spacing w:before="0" w:after="0" w:line="240" w:lineRule="auto"/>
              <w:jc w:val="left"/>
              <w:bidi/>
            </w:pPr>
            <w:r/>
            <w:r>
              <w:rPr>
                <w:rFonts w:ascii="Noto Naskh Arabic" w:hAnsi="Noto Naskh Arabic" w:cs="Noto Naskh Arabic"/>
                <w:b w:val="0"/>
                <w:sz w:val="14"/>
              </w:rPr>
              <w:t>Sapounidis et al., 2015; Yang et al., 2022; Angeli &amp; Valanides, 2020; Alsoliman, 2022; Torres &amp; Inga, 2025; Qu &amp; Fok, 2022; Zhang et al., 2025; Yilmaz Ince &amp; Koc, 2021</w:t>
            </w:r>
          </w:p>
        </w:tc>
        <w:tc>
          <w:tcPr>
            <w:tcW w:type="dxa" w:w="2164"/>
            <w:shd w:fill="F3E5F5"/>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۸</w:t>
            </w:r>
          </w:p>
        </w:tc>
      </w:tr>
    </w:tbl>
    <w:p>
      <w:pPr>
        <w:spacing w:before="100" w:after="100" w:line="240" w:lineRule="auto"/>
        <w:jc w:val="both"/>
      </w:pPr>
      <w:r>
        <w:rPr>
          <w:rFonts w:ascii="Noto Naskh Arabic" w:hAnsi="Noto Naskh Arabic" w:cs="Noto Naskh Arabic"/>
          <w:sz w:val="16"/>
        </w:rPr>
        <w:t>یادداشت تحلیلی: در بازطبقه‌بندی نظری، شش کد که در جدول اولیه در سطوح محتوایی قرار داشتند اما ماهیت صریحاً روش‌شناختی، سنجشی یا انتقال‌پذیری داشتند، بدون تغییر متن یا فراوانی به بُعد فراسطحی شواهد منتقل شدند: نقش دوگانه پژوهشگر؛ ناتوانی در شناسایی حالات عاطفی؛ کمبود پژوهش تجربی درباره رابط‌های ملموس؛ کمبود پژوهش تجربی درباره رباتیک مجازی؛ نادیده‌گرفتن عوامل زمینه‌ای در طراحی مطالعه؛ و محدودبودن اجرا به محیط غیررسمی. بنابراین، مجموع کل همچنان ۲۰۹ است. این فراوانی‌ها تعداد رخدادهای کدگذاری‌شده‌اند، نه تعداد مطالعات، احتمال وقوع یا اندازه اثر.</w:t>
      </w:r>
    </w:p>
    <w:p>
      <w:pPr>
        <w:spacing w:after="60"/>
        <w:jc w:val="center"/>
      </w:pPr>
      <w:r>
        <w:rPr>
          <w:rFonts w:ascii="Noto Naskh Arabic" w:hAnsi="Noto Naskh Arabic" w:cs="Noto Naskh Arabic"/>
          <w:b/>
          <w:sz w:val="20"/>
        </w:rPr>
        <w:t>خلاصه مضامین اصلی، مضامین فرعی و فراوانی بازطراحی‌شده</w:t>
      </w:r>
    </w:p>
    <w:tbl>
      <w:tblPr>
        <w:tblStyle w:val="TableGrid"/>
        <w:tblW w:type="auto" w:w="0"/>
        <w:jc w:val="center"/>
        <w:tblLayout w:type="autofit"/>
        <w:tblLook w:firstColumn="1" w:firstRow="1" w:lastColumn="0" w:lastRow="0" w:noHBand="0" w:noVBand="1" w:val="04A0"/>
      </w:tblPr>
      <w:tblGrid>
        <w:gridCol w:w="3607"/>
        <w:gridCol w:w="3607"/>
        <w:gridCol w:w="3607"/>
      </w:tblGrid>
      <w:tr>
        <w:trPr>
          <w:tblHeader w:val="true"/>
        </w:trPr>
        <w:tc>
          <w:tcPr>
            <w:tcW w:type="dxa" w:w="3607"/>
            <w:vAlign w:val="top"/>
            <w:tcMar>
              <w:top w:w="45" w:type="dxa"/>
              <w:left w:w="55" w:type="dxa"/>
              <w:bottom w:w="45" w:type="dxa"/>
              <w:right w:w="55" w:type="dxa"/>
            </w:tcMar>
            <w:shd w:fill="D9EAF7"/>
          </w:tcPr>
          <w:p>
            <w:pPr>
              <w:spacing w:before="0" w:after="0" w:line="240" w:lineRule="auto"/>
              <w:jc w:val="center"/>
              <w:bidi/>
            </w:pPr>
            <w:r/>
            <w:r>
              <w:rPr>
                <w:rFonts w:ascii="Noto Naskh Arabic" w:hAnsi="Noto Naskh Arabic" w:cs="Noto Naskh Arabic"/>
                <w:b/>
                <w:sz w:val="17"/>
              </w:rPr>
              <w:t>مضمون اصلی</w:t>
            </w:r>
          </w:p>
        </w:tc>
        <w:tc>
          <w:tcPr>
            <w:tcW w:type="dxa" w:w="3607"/>
            <w:vAlign w:val="top"/>
            <w:tcMar>
              <w:top w:w="45" w:type="dxa"/>
              <w:left w:w="55" w:type="dxa"/>
              <w:bottom w:w="45" w:type="dxa"/>
              <w:right w:w="55" w:type="dxa"/>
            </w:tcMar>
            <w:shd w:fill="D9EAF7"/>
          </w:tcPr>
          <w:p>
            <w:pPr>
              <w:spacing w:before="0" w:after="0" w:line="240" w:lineRule="auto"/>
              <w:jc w:val="center"/>
              <w:bidi/>
            </w:pPr>
            <w:r/>
            <w:r>
              <w:rPr>
                <w:rFonts w:ascii="Noto Naskh Arabic" w:hAnsi="Noto Naskh Arabic" w:cs="Noto Naskh Arabic"/>
                <w:b/>
                <w:sz w:val="17"/>
              </w:rPr>
              <w:t>مضمون فرعی</w:t>
            </w:r>
          </w:p>
        </w:tc>
        <w:tc>
          <w:tcPr>
            <w:tcW w:type="dxa" w:w="3607"/>
            <w:vAlign w:val="top"/>
            <w:tcMar>
              <w:top w:w="45" w:type="dxa"/>
              <w:left w:w="55" w:type="dxa"/>
              <w:bottom w:w="45" w:type="dxa"/>
              <w:right w:w="55" w:type="dxa"/>
            </w:tcMar>
            <w:shd w:fill="D9EAF7"/>
          </w:tcPr>
          <w:p>
            <w:pPr>
              <w:spacing w:before="0" w:after="0" w:line="240" w:lineRule="auto"/>
              <w:jc w:val="center"/>
              <w:bidi/>
            </w:pPr>
            <w:r/>
            <w:r>
              <w:rPr>
                <w:rFonts w:ascii="Noto Naskh Arabic" w:hAnsi="Noto Naskh Arabic" w:cs="Noto Naskh Arabic"/>
                <w:b/>
                <w:sz w:val="17"/>
              </w:rPr>
              <w:t>جمع فراوانی</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۱. سطح فردی–مجریان: نارسایی ظرفیت و آمادگی معلم</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کاستی دانش و مهارت تخصصی–فناورانه معلم</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۷</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ضعف صلاحیت پداگوژیک و تلفیق برنامه درسی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۵</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خودکارآمدی پایین، آمادگی ناکافی و وابستگی به پشتیبانی حرفه‌ای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۵</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۲. سطح فردی–یادگیرندگان: آسیب‌پذیری‌های شناختی، انگیزشی و مشارکتی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بار شناختی و دشواری‌های شناختی–فراشناختی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۲۵</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ناهمگونی دانش، توانایی و تجربه پیشین</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۱۰</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فرسایش انگیزشی، عاطفی و نگرشی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۱۴</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اختلال در پویایی گروهی و توزیع مشارکت</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۶</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نابرابری جنسیتی و مشارکت نامتوازن</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۶</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۳. سطح آموزشی: ناهم‌ترازی طراحی آموزشی و برنامه درسی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گسست یکپارچگی STEM، برنامه درسی و ارتباط با زمینه واقعی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۱۶</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عدم تناسب طراحی فعالیت با سطح رشد، توانایی و نیاز یادگیرنده</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۶</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ضعف راهبرد تدریس، داربست‌بندی و سازمان‌دهی اجرا</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۹</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۴. سطح فناورانه: پیچیدگی، قابلیت استفاده و شکنندگی فناوری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پیچیدگی فنی و بار شناختی–تعاملی فناوری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۸</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نقص، شکنندگی، دشواری عیب‌یابی و قابلیت اطمینان پایین</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۳</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ناسازگاری، محدودیت پلتفرم و اصطکاک کاربردپذیری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۳</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۵. سطح سازمانی–اجرایی: کسری منابع و فشار زمانی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کسری منابع، زیرساخت و پایداری مالی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۲۴</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فشار زمانی، بار اجرایی و تراکم ساختاری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۱۶</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۶. سطح کلان و زمینه‌ای: محدودیت‌های سیاستی، فرهنگی و دسترسی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ضعف سیاست‌گذاری، راهبری، شبکه پشتیبان و انطباق بافتی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۹</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موانع فرهنگی–اجتماعی و نابرابری دسترسی</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۴</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6"/>
              </w:rPr>
              <w:t>۷. بُعد فراسطحی شواهد: محدودیت در آشکارسازی و ارزیابی شکست</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تهدیدهای اعتبار درونی، سوگیری و ضعف طراحی مطالعه</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۱۴</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کاستی روایی، حساسیت و پوشش ابزارهای سنجش</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۱۱</w:t>
            </w:r>
          </w:p>
        </w:tc>
      </w:tr>
      <w:tr>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val="0"/>
                <w:sz w:val="16"/>
              </w:rPr>
              <w:t>ضعف پایش طولی، تبیین سازوکار و قابلیت انتقال شواهد</w:t>
            </w:r>
          </w:p>
        </w:tc>
        <w:tc>
          <w:tcPr>
            <w:tcW w:type="dxa" w:w="3607"/>
            <w:vAlign w:val="top"/>
            <w:tcMar>
              <w:top w:w="45" w:type="dxa"/>
              <w:left w:w="55" w:type="dxa"/>
              <w:bottom w:w="45" w:type="dxa"/>
              <w:right w:w="55" w:type="dxa"/>
            </w:tcMar>
          </w:tcPr>
          <w:p>
            <w:pPr>
              <w:spacing w:before="0" w:after="0" w:line="240" w:lineRule="auto"/>
              <w:jc w:val="center"/>
              <w:bidi/>
            </w:pPr>
            <w:r/>
            <w:r>
              <w:rPr>
                <w:rFonts w:ascii="Noto Naskh Arabic" w:hAnsi="Noto Naskh Arabic" w:cs="Noto Naskh Arabic"/>
                <w:b/>
                <w:sz w:val="18"/>
              </w:rPr>
              <w:t>۸</w:t>
            </w:r>
          </w:p>
        </w:tc>
      </w:tr>
    </w:tbl>
    <w:p>
      <w:pPr>
        <w:spacing w:before="80"/>
        <w:jc w:val="center"/>
      </w:pPr>
      <w:r>
        <w:rPr>
          <w:rFonts w:ascii="Noto Naskh Arabic" w:hAnsi="Noto Naskh Arabic" w:cs="Noto Naskh Arabic"/>
          <w:b/>
          <w:sz w:val="19"/>
        </w:rPr>
        <w:t>جمع کل رخدادهای کدگذاری‌شده: ۲۰۹</w:t>
      </w:r>
    </w:p>
    <w:sectPr w:rsidR="00FC693F" w:rsidRPr="0006063C" w:rsidSect="00034616">
      <w:pgSz w:w="12240" w:h="15840"/>
      <w:pgMar w:top="765" w:right="709" w:bottom="765"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جدول نهایی مضامین شکست و ناپایداری مداخلات رباتیک آموزشی</dc:title>
  <dc:subject>بازطراحی داده‌بنیان و هم‌راستا با مبانی نظری</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