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307B9" w14:textId="0CB8FAE1" w:rsidR="00974F97" w:rsidRPr="00974F97" w:rsidRDefault="00974F97" w:rsidP="00272BBC">
      <w:pPr>
        <w:pStyle w:val="Heading1"/>
      </w:pPr>
      <w:r w:rsidRPr="00974F97">
        <w:rPr>
          <w:rtl/>
        </w:rPr>
        <w:t>تحلیل فراترکیب عوامل مؤثر بر اثربخشی ربات‌های آموزشی هوشمند در ارتقاء یادگیری</w:t>
      </w:r>
      <w:r w:rsidRPr="00974F97">
        <w:t xml:space="preserve"> STEM</w:t>
      </w:r>
      <w:r w:rsidR="00A3786C">
        <w:rPr>
          <w:rFonts w:hint="cs"/>
          <w:rtl/>
        </w:rPr>
        <w:t>:</w:t>
      </w:r>
      <w:r w:rsidRPr="00974F97">
        <w:t xml:space="preserve"> </w:t>
      </w:r>
      <w:r w:rsidRPr="00974F97">
        <w:rPr>
          <w:rtl/>
        </w:rPr>
        <w:t>ارائه یک چارچوب مفهومی یکپارچه</w:t>
      </w:r>
    </w:p>
    <w:p w14:paraId="5C9BE9BF" w14:textId="60269C9E" w:rsidR="00974F97" w:rsidRPr="00974F97" w:rsidRDefault="00974F97" w:rsidP="00974F97"/>
    <w:p w14:paraId="64631E4C" w14:textId="77777777" w:rsidR="00974F97" w:rsidRPr="00974F97" w:rsidRDefault="00974F97" w:rsidP="00974F97">
      <w:pPr>
        <w:rPr>
          <w:b/>
          <w:bCs/>
        </w:rPr>
      </w:pPr>
      <w:r w:rsidRPr="00974F97">
        <w:rPr>
          <w:b/>
          <w:bCs/>
          <w:rtl/>
        </w:rPr>
        <w:t>چارچوب مفهومی نهایی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7"/>
        <w:gridCol w:w="5053"/>
      </w:tblGrid>
      <w:tr w:rsidR="00974F97" w:rsidRPr="00974F97" w14:paraId="60D472EF" w14:textId="77777777" w:rsidTr="00C5528E">
        <w:tc>
          <w:tcPr>
            <w:tcW w:w="0" w:type="auto"/>
            <w:hideMark/>
          </w:tcPr>
          <w:p w14:paraId="498E489D" w14:textId="77777777" w:rsidR="00974F97" w:rsidRPr="00974F97" w:rsidRDefault="00974F97" w:rsidP="00974F97">
            <w:pPr>
              <w:spacing w:after="160" w:line="278" w:lineRule="auto"/>
            </w:pPr>
            <w:r w:rsidRPr="00974F97">
              <w:rPr>
                <w:b/>
                <w:bCs/>
                <w:rtl/>
              </w:rPr>
              <w:t>مضمون اصلی</w:t>
            </w:r>
          </w:p>
        </w:tc>
        <w:tc>
          <w:tcPr>
            <w:tcW w:w="0" w:type="auto"/>
            <w:hideMark/>
          </w:tcPr>
          <w:p w14:paraId="7284844D" w14:textId="77777777" w:rsidR="00974F97" w:rsidRPr="00974F97" w:rsidRDefault="00974F97" w:rsidP="00974F97">
            <w:pPr>
              <w:spacing w:after="160" w:line="278" w:lineRule="auto"/>
            </w:pPr>
            <w:r w:rsidRPr="00974F97">
              <w:rPr>
                <w:b/>
                <w:bCs/>
                <w:rtl/>
              </w:rPr>
              <w:t>مضمون فرعی</w:t>
            </w:r>
          </w:p>
        </w:tc>
      </w:tr>
      <w:tr w:rsidR="00322348" w:rsidRPr="00974F97" w14:paraId="578D45F4" w14:textId="77777777" w:rsidTr="00C5528E">
        <w:tc>
          <w:tcPr>
            <w:tcW w:w="0" w:type="auto"/>
            <w:vMerge w:val="restart"/>
            <w:hideMark/>
          </w:tcPr>
          <w:p w14:paraId="514A297E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۱</w:t>
            </w:r>
            <w:r w:rsidRPr="00974F97">
              <w:rPr>
                <w:b/>
                <w:bCs/>
              </w:rPr>
              <w:t xml:space="preserve">. </w:t>
            </w:r>
            <w:r w:rsidRPr="00974F97">
              <w:rPr>
                <w:b/>
                <w:bCs/>
                <w:rtl/>
              </w:rPr>
              <w:t>طراحی آموزشی و معماری برنامه درسی</w:t>
            </w:r>
          </w:p>
        </w:tc>
        <w:tc>
          <w:tcPr>
            <w:tcW w:w="0" w:type="auto"/>
            <w:hideMark/>
          </w:tcPr>
          <w:p w14:paraId="2526AB7B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۱.۱</w:t>
            </w:r>
            <w:r w:rsidRPr="00974F97">
              <w:t xml:space="preserve"> </w:t>
            </w:r>
            <w:r w:rsidRPr="00974F97">
              <w:rPr>
                <w:rtl/>
              </w:rPr>
              <w:t>یکپارچه‌سازی میان‌رشته‌ای هم‌راستا با استانداردها و اصالت بافتاری</w:t>
            </w:r>
          </w:p>
        </w:tc>
      </w:tr>
      <w:tr w:rsidR="00322348" w:rsidRPr="00974F97" w14:paraId="5AB69660" w14:textId="77777777" w:rsidTr="00C5528E">
        <w:tc>
          <w:tcPr>
            <w:tcW w:w="0" w:type="auto"/>
            <w:vMerge/>
            <w:hideMark/>
          </w:tcPr>
          <w:p w14:paraId="61C18B4A" w14:textId="77777777" w:rsidR="00322348" w:rsidRPr="00974F97" w:rsidRDefault="00322348" w:rsidP="00974F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097411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۱.۲</w:t>
            </w:r>
            <w:r w:rsidRPr="00974F97">
              <w:t xml:space="preserve"> </w:t>
            </w:r>
            <w:r w:rsidRPr="00974F97">
              <w:rPr>
                <w:rtl/>
              </w:rPr>
              <w:t>داربست‌بندی شناختی و ساختاردهی پیشرونده تکالیف</w:t>
            </w:r>
          </w:p>
        </w:tc>
      </w:tr>
      <w:tr w:rsidR="00322348" w:rsidRPr="00974F97" w14:paraId="490CBF22" w14:textId="77777777" w:rsidTr="00C5528E">
        <w:tc>
          <w:tcPr>
            <w:tcW w:w="0" w:type="auto"/>
            <w:vMerge/>
            <w:hideMark/>
          </w:tcPr>
          <w:p w14:paraId="29B3D7CA" w14:textId="77777777" w:rsidR="00322348" w:rsidRPr="00974F97" w:rsidRDefault="00322348" w:rsidP="00974F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6A1DF9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۱.۳</w:t>
            </w:r>
            <w:r w:rsidRPr="00974F97">
              <w:t xml:space="preserve"> </w:t>
            </w:r>
            <w:r w:rsidRPr="00974F97">
              <w:rPr>
                <w:rtl/>
              </w:rPr>
              <w:t>هم‌آفرینی دانش و پویایی یادگیری مشارکتی</w:t>
            </w:r>
          </w:p>
        </w:tc>
      </w:tr>
      <w:tr w:rsidR="00322348" w:rsidRPr="00974F97" w14:paraId="7E840602" w14:textId="77777777" w:rsidTr="00C5528E">
        <w:tc>
          <w:tcPr>
            <w:tcW w:w="0" w:type="auto"/>
            <w:vMerge w:val="restart"/>
            <w:hideMark/>
          </w:tcPr>
          <w:p w14:paraId="090D67ED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۲</w:t>
            </w:r>
            <w:r w:rsidRPr="00974F97">
              <w:rPr>
                <w:b/>
                <w:bCs/>
              </w:rPr>
              <w:t xml:space="preserve">. </w:t>
            </w:r>
            <w:r w:rsidRPr="00974F97">
              <w:rPr>
                <w:b/>
                <w:bCs/>
                <w:rtl/>
              </w:rPr>
              <w:t>ارگونومی فناورانه و تعامل انسان-ربات</w:t>
            </w:r>
          </w:p>
        </w:tc>
        <w:tc>
          <w:tcPr>
            <w:tcW w:w="0" w:type="auto"/>
            <w:hideMark/>
          </w:tcPr>
          <w:p w14:paraId="6258AA24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۲.۱</w:t>
            </w:r>
            <w:r w:rsidRPr="00974F97">
              <w:t xml:space="preserve"> </w:t>
            </w:r>
            <w:r w:rsidRPr="00974F97">
              <w:rPr>
                <w:rtl/>
              </w:rPr>
              <w:t>تجسم‌بخشی، اشیاء ملموس و شبیه‌سازی بدنی</w:t>
            </w:r>
          </w:p>
        </w:tc>
      </w:tr>
      <w:tr w:rsidR="00322348" w:rsidRPr="00974F97" w14:paraId="1574E5B9" w14:textId="77777777" w:rsidTr="00C5528E">
        <w:tc>
          <w:tcPr>
            <w:tcW w:w="0" w:type="auto"/>
            <w:vMerge/>
            <w:hideMark/>
          </w:tcPr>
          <w:p w14:paraId="29E78040" w14:textId="77777777" w:rsidR="00322348" w:rsidRPr="00974F97" w:rsidRDefault="00322348" w:rsidP="00974F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2FE51A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۲.۲</w:t>
            </w:r>
            <w:r w:rsidRPr="00974F97">
              <w:t xml:space="preserve"> </w:t>
            </w:r>
            <w:r w:rsidRPr="00974F97">
              <w:rPr>
                <w:rtl/>
              </w:rPr>
              <w:t>بازخورد بلادرنگ سیستم و چرخه‌های اشکال‌زدایی</w:t>
            </w:r>
          </w:p>
        </w:tc>
      </w:tr>
      <w:tr w:rsidR="00322348" w:rsidRPr="00974F97" w14:paraId="4451C870" w14:textId="77777777" w:rsidTr="00C5528E">
        <w:tc>
          <w:tcPr>
            <w:tcW w:w="0" w:type="auto"/>
            <w:vMerge/>
            <w:hideMark/>
          </w:tcPr>
          <w:p w14:paraId="409DA46D" w14:textId="77777777" w:rsidR="00322348" w:rsidRPr="00974F97" w:rsidRDefault="00322348" w:rsidP="00974F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B9C89A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۲.۳</w:t>
            </w:r>
            <w:r w:rsidRPr="00974F97">
              <w:t xml:space="preserve"> </w:t>
            </w:r>
            <w:r w:rsidRPr="00974F97">
              <w:rPr>
                <w:rtl/>
              </w:rPr>
              <w:t>مدیریت پیچیدگی فنی و بار شناختی بیرونی</w:t>
            </w:r>
          </w:p>
        </w:tc>
      </w:tr>
      <w:tr w:rsidR="00322348" w:rsidRPr="00974F97" w14:paraId="6D3F637C" w14:textId="77777777" w:rsidTr="00C5528E">
        <w:tc>
          <w:tcPr>
            <w:tcW w:w="0" w:type="auto"/>
            <w:vMerge w:val="restart"/>
            <w:hideMark/>
          </w:tcPr>
          <w:p w14:paraId="10833A58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۳</w:t>
            </w:r>
            <w:r w:rsidRPr="00974F97">
              <w:rPr>
                <w:b/>
                <w:bCs/>
              </w:rPr>
              <w:t xml:space="preserve">. </w:t>
            </w:r>
            <w:r w:rsidRPr="00974F97">
              <w:rPr>
                <w:b/>
                <w:bCs/>
                <w:rtl/>
              </w:rPr>
              <w:t>متغیرهای شناختی، عاطفی و جمعیت‌شناختی یادگیرنده</w:t>
            </w:r>
          </w:p>
        </w:tc>
        <w:tc>
          <w:tcPr>
            <w:tcW w:w="0" w:type="auto"/>
            <w:hideMark/>
          </w:tcPr>
          <w:p w14:paraId="15620AA7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۳.۱</w:t>
            </w:r>
            <w:r w:rsidRPr="00974F97">
              <w:t xml:space="preserve"> </w:t>
            </w:r>
            <w:r w:rsidRPr="00974F97">
              <w:rPr>
                <w:rtl/>
              </w:rPr>
              <w:t>چرخه خودکارآمدی، انگیزش درونی و درگیری عاطفی</w:t>
            </w:r>
          </w:p>
        </w:tc>
      </w:tr>
      <w:tr w:rsidR="00322348" w:rsidRPr="00974F97" w14:paraId="6A1CA431" w14:textId="77777777" w:rsidTr="00C5528E">
        <w:tc>
          <w:tcPr>
            <w:tcW w:w="0" w:type="auto"/>
            <w:vMerge/>
            <w:hideMark/>
          </w:tcPr>
          <w:p w14:paraId="33D87C71" w14:textId="77777777" w:rsidR="00322348" w:rsidRPr="00974F97" w:rsidRDefault="00322348" w:rsidP="00974F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2AC036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۳.۲</w:t>
            </w:r>
            <w:r w:rsidRPr="00974F97">
              <w:t xml:space="preserve"> </w:t>
            </w:r>
            <w:r w:rsidRPr="00974F97">
              <w:rPr>
                <w:rtl/>
              </w:rPr>
              <w:t>شکاف‌های جنسیتی و طراحی حساس به جنسیت</w:t>
            </w:r>
          </w:p>
        </w:tc>
      </w:tr>
      <w:tr w:rsidR="00322348" w:rsidRPr="00974F97" w14:paraId="4B0BA6FF" w14:textId="77777777" w:rsidTr="00C5528E">
        <w:tc>
          <w:tcPr>
            <w:tcW w:w="0" w:type="auto"/>
            <w:vMerge/>
            <w:hideMark/>
          </w:tcPr>
          <w:p w14:paraId="67D3DE10" w14:textId="77777777" w:rsidR="00322348" w:rsidRPr="00974F97" w:rsidRDefault="00322348" w:rsidP="00974F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FB0C17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۳.۳</w:t>
            </w:r>
            <w:r w:rsidRPr="00974F97">
              <w:t xml:space="preserve"> </w:t>
            </w:r>
            <w:r w:rsidRPr="00974F97">
              <w:rPr>
                <w:rtl/>
              </w:rPr>
              <w:t>دانش پیشین و آمادگی رشدی-شناختی</w:t>
            </w:r>
          </w:p>
        </w:tc>
      </w:tr>
      <w:tr w:rsidR="00322348" w:rsidRPr="00974F97" w14:paraId="2D3F9155" w14:textId="77777777" w:rsidTr="00C5528E">
        <w:tc>
          <w:tcPr>
            <w:tcW w:w="0" w:type="auto"/>
            <w:vMerge w:val="restart"/>
            <w:hideMark/>
          </w:tcPr>
          <w:p w14:paraId="191259E8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۴</w:t>
            </w:r>
            <w:r w:rsidRPr="00974F97">
              <w:rPr>
                <w:b/>
                <w:bCs/>
              </w:rPr>
              <w:t xml:space="preserve">. </w:t>
            </w:r>
            <w:r w:rsidRPr="00974F97">
              <w:rPr>
                <w:b/>
                <w:bCs/>
                <w:rtl/>
              </w:rPr>
              <w:t>زیرساخت‌های اکوسیستم آموزشی و صلاحیت‌های مربیان</w:t>
            </w:r>
          </w:p>
        </w:tc>
        <w:tc>
          <w:tcPr>
            <w:tcW w:w="0" w:type="auto"/>
            <w:hideMark/>
          </w:tcPr>
          <w:p w14:paraId="700FE7E1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۴.۱</w:t>
            </w:r>
            <w:r w:rsidRPr="00974F97">
              <w:t xml:space="preserve"> </w:t>
            </w:r>
            <w:r w:rsidRPr="00974F97">
              <w:rPr>
                <w:rtl/>
              </w:rPr>
              <w:t>دانش محتوایی-فناورانه-آموزشی</w:t>
            </w:r>
            <w:r w:rsidRPr="00974F97">
              <w:t xml:space="preserve"> (TPACK) </w:t>
            </w:r>
            <w:r w:rsidRPr="00974F97">
              <w:rPr>
                <w:rtl/>
              </w:rPr>
              <w:t>و خودکارآمدی معلمان</w:t>
            </w:r>
          </w:p>
        </w:tc>
      </w:tr>
      <w:tr w:rsidR="00322348" w:rsidRPr="00974F97" w14:paraId="014D12D0" w14:textId="77777777" w:rsidTr="00C5528E">
        <w:tc>
          <w:tcPr>
            <w:tcW w:w="0" w:type="auto"/>
            <w:vMerge/>
            <w:hideMark/>
          </w:tcPr>
          <w:p w14:paraId="7AB7479C" w14:textId="77777777" w:rsidR="00322348" w:rsidRPr="00974F97" w:rsidRDefault="00322348" w:rsidP="00974F9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4334CA" w14:textId="77777777" w:rsidR="00322348" w:rsidRPr="00974F97" w:rsidRDefault="00322348" w:rsidP="00974F97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۴.۲</w:t>
            </w:r>
            <w:r w:rsidRPr="00974F97">
              <w:t xml:space="preserve"> </w:t>
            </w:r>
            <w:r w:rsidRPr="00974F97">
              <w:rPr>
                <w:rtl/>
              </w:rPr>
              <w:t>محدودیت‌های لجستیکی، زمانی و اقتصادی</w:t>
            </w:r>
          </w:p>
        </w:tc>
      </w:tr>
    </w:tbl>
    <w:p w14:paraId="32ED4C76" w14:textId="06E0790C" w:rsidR="001E6855" w:rsidRPr="00974F97" w:rsidRDefault="001E6855" w:rsidP="00974F97"/>
    <w:p w14:paraId="04D7587C" w14:textId="72CCB94A" w:rsidR="00974F97" w:rsidRDefault="00974F97" w:rsidP="00974F97">
      <w:pPr>
        <w:rPr>
          <w:rtl/>
        </w:rPr>
      </w:pPr>
    </w:p>
    <w:p w14:paraId="5D1B9999" w14:textId="77777777" w:rsidR="001E6855" w:rsidRPr="00974F97" w:rsidRDefault="001E6855" w:rsidP="00974F97"/>
    <w:p w14:paraId="546A32E3" w14:textId="77777777" w:rsidR="00974F97" w:rsidRPr="00974F97" w:rsidRDefault="00974F97" w:rsidP="00974F97">
      <w:pPr>
        <w:rPr>
          <w:b/>
          <w:bCs/>
        </w:rPr>
      </w:pPr>
      <w:r w:rsidRPr="00974F97">
        <w:rPr>
          <w:b/>
          <w:bCs/>
          <w:rtl/>
        </w:rPr>
        <w:t xml:space="preserve">جدول جامع فراترکیب: نگاشت مفاهیم به مضامین با تمام منابع </w:t>
      </w:r>
      <w:r w:rsidRPr="00974F97">
        <w:rPr>
          <w:b/>
          <w:bCs/>
          <w:rtl/>
          <w:lang w:bidi="fa-IR"/>
        </w:rPr>
        <w:t>۵۱‌</w:t>
      </w:r>
      <w:r w:rsidRPr="00974F97">
        <w:rPr>
          <w:b/>
          <w:bCs/>
          <w:rtl/>
        </w:rPr>
        <w:t>گانه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471"/>
        <w:gridCol w:w="2833"/>
        <w:gridCol w:w="2775"/>
        <w:gridCol w:w="817"/>
      </w:tblGrid>
      <w:tr w:rsidR="00974F97" w:rsidRPr="00974F97" w14:paraId="125A96A2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092F0964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</w:rPr>
              <w:t>مضمون اصلی</w:t>
            </w:r>
          </w:p>
        </w:tc>
        <w:tc>
          <w:tcPr>
            <w:tcW w:w="0" w:type="auto"/>
            <w:hideMark/>
          </w:tcPr>
          <w:p w14:paraId="6C87EA29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</w:rPr>
              <w:t>مضمون فرعی</w:t>
            </w:r>
          </w:p>
        </w:tc>
        <w:tc>
          <w:tcPr>
            <w:tcW w:w="0" w:type="auto"/>
            <w:hideMark/>
          </w:tcPr>
          <w:p w14:paraId="352F26DF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</w:rPr>
              <w:t>مفاهیم (عنوان کوتاه (فراوانی): توضیح و نوع)</w:t>
            </w:r>
          </w:p>
        </w:tc>
        <w:tc>
          <w:tcPr>
            <w:tcW w:w="0" w:type="auto"/>
            <w:hideMark/>
          </w:tcPr>
          <w:p w14:paraId="6CF31C24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</w:rPr>
              <w:t>منابع</w:t>
            </w:r>
          </w:p>
        </w:tc>
        <w:tc>
          <w:tcPr>
            <w:tcW w:w="0" w:type="auto"/>
            <w:hideMark/>
          </w:tcPr>
          <w:p w14:paraId="458B76D5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</w:rPr>
              <w:t>جمع فراوانی</w:t>
            </w:r>
          </w:p>
        </w:tc>
      </w:tr>
      <w:tr w:rsidR="00974F97" w:rsidRPr="00974F97" w14:paraId="41C73EB6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385182BE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lastRenderedPageBreak/>
              <w:t>۱</w:t>
            </w:r>
            <w:r w:rsidRPr="00974F97">
              <w:rPr>
                <w:b/>
                <w:bCs/>
              </w:rPr>
              <w:t xml:space="preserve">. </w:t>
            </w:r>
            <w:r w:rsidRPr="00974F97">
              <w:rPr>
                <w:b/>
                <w:bCs/>
                <w:rtl/>
              </w:rPr>
              <w:t>طراحی آموزشی و معماری برنامه درسی</w:t>
            </w:r>
          </w:p>
        </w:tc>
        <w:tc>
          <w:tcPr>
            <w:tcW w:w="0" w:type="auto"/>
            <w:hideMark/>
          </w:tcPr>
          <w:p w14:paraId="2A118E36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۱.۱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یکپارچه‌سازی میان‌رشته‌ای هم‌راستا با استانداردها و اصالت بافتاری</w:t>
            </w:r>
          </w:p>
        </w:tc>
        <w:tc>
          <w:tcPr>
            <w:tcW w:w="0" w:type="auto"/>
            <w:hideMark/>
          </w:tcPr>
          <w:p w14:paraId="7E8989A0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تلفیق میان‌رشته‌ای</w:t>
            </w:r>
            <w:r w:rsidRPr="00974F97">
              <w:t xml:space="preserve"> STEM (</w:t>
            </w:r>
            <w:r w:rsidRPr="00974F97">
              <w:rPr>
                <w:rtl/>
                <w:lang w:bidi="fa-IR"/>
              </w:rPr>
              <w:t>۶</w:t>
            </w:r>
            <w:r w:rsidRPr="00974F97">
              <w:t xml:space="preserve">): </w:t>
            </w:r>
            <w:r w:rsidRPr="00974F97">
              <w:rPr>
                <w:rtl/>
              </w:rPr>
              <w:t>ادغام هدفمند علوم، ریاضی، مهندسی و فناوری در پروژه‌های رباتیک، ارتباط میان حوزه‌ها را ملموس می‌سازد (تسهیل‌گر). / ارتباط شفاف با مسائل دنیای واقعی (</w:t>
            </w:r>
            <w:r w:rsidRPr="00974F97">
              <w:rPr>
                <w:rtl/>
                <w:lang w:bidi="fa-IR"/>
              </w:rPr>
              <w:t xml:space="preserve">۳): </w:t>
            </w:r>
            <w:r w:rsidRPr="00974F97">
              <w:rPr>
                <w:rtl/>
              </w:rPr>
              <w:t>پیوند پروژه‌ها با زمینه‌های معتبر مانند سلامت و محیط زیست، ارزش و انگیزه یادگیری را افزایش می‌دهد (تسهیل‌گر). / هم‌سویی با چارچوب‌های ملی</w:t>
            </w:r>
            <w:r w:rsidRPr="00974F97">
              <w:t xml:space="preserve"> (NGSS) (</w:t>
            </w:r>
            <w:r w:rsidRPr="00974F97">
              <w:rPr>
                <w:rtl/>
                <w:lang w:bidi="fa-IR"/>
              </w:rPr>
              <w:t>۲</w:t>
            </w:r>
            <w:r w:rsidRPr="00974F97">
              <w:t xml:space="preserve">): </w:t>
            </w:r>
            <w:r w:rsidRPr="00974F97">
              <w:rPr>
                <w:rtl/>
              </w:rPr>
              <w:t>انطباق برنامه درسی با استانداردها، مسیر یادگیری ساختاریافته ایجاد کرده و ارزشیابی را معتبر می‌سازد (تسهیل‌گر). / تأکید بر درک و تفسیر کد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تمرکز بر توانایی خواندن کد علاوه بر تولید آن، ارزیابی دقیق‌تری از سواد برنامه‌نویسی فراهم کرده و به‌ویژه به نفع دختران است (تسهیل‌گر). / تأکید نامتوازن بر حوزه‌های</w:t>
            </w:r>
            <w:r w:rsidRPr="00974F97">
              <w:t xml:space="preserve"> STEM (</w:t>
            </w:r>
            <w:r w:rsidRPr="00974F97">
              <w:rPr>
                <w:rtl/>
                <w:lang w:bidi="fa-IR"/>
              </w:rPr>
              <w:t>۱</w:t>
            </w:r>
            <w:r w:rsidRPr="00974F97">
              <w:t xml:space="preserve">): </w:t>
            </w:r>
            <w:r w:rsidRPr="00974F97">
              <w:rPr>
                <w:rtl/>
              </w:rPr>
              <w:t>کم‌توجهی به برخی حوزه‌ها (مانند علوم) یکپارچگی کامل را مختل می‌کند (مانع). / آموزش صریح-تأملی ماهیت مهندسی</w:t>
            </w:r>
            <w:r w:rsidRPr="00974F97">
              <w:t xml:space="preserve"> (NOE) (</w:t>
            </w:r>
            <w:r w:rsidRPr="00974F97">
              <w:rPr>
                <w:rtl/>
                <w:lang w:bidi="fa-IR"/>
              </w:rPr>
              <w:t>۱</w:t>
            </w:r>
            <w:r w:rsidRPr="00974F97">
              <w:t xml:space="preserve">): </w:t>
            </w:r>
            <w:r w:rsidRPr="00974F97">
              <w:rPr>
                <w:rtl/>
              </w:rPr>
              <w:t>تدریس مستقیم مفاهیم مهندسی و سپس درخواست تأمل، سواد مهندسی را افزایش می‌دهد (تسهیل‌گر). / تنوع مدل‌های یادگیری قابل اجرا در طرح‌درس‌های رباتیک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طیف وسیعی از مدل‌های پروژه‌محور، مسئله‌محور و اکتشافی را می‌توان در رباتیک به کار گرفت (تسهیل‌گر)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7D71C16C" w14:textId="77777777" w:rsidR="00974F97" w:rsidRPr="00974F97" w:rsidRDefault="00974F97" w:rsidP="00272BBC">
            <w:pPr>
              <w:spacing w:after="160" w:line="278" w:lineRule="auto"/>
            </w:pPr>
            <w:r w:rsidRPr="00974F97">
              <w:t xml:space="preserve">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</w:t>
            </w:r>
            <w:proofErr w:type="spellStart"/>
            <w:r w:rsidRPr="00974F97">
              <w:t>Ziaeefard</w:t>
            </w:r>
            <w:proofErr w:type="spellEnd"/>
            <w:r w:rsidRPr="00974F97">
              <w:t xml:space="preserve"> et al., 2017; Korte et al., 2025; </w:t>
            </w:r>
            <w:proofErr w:type="spellStart"/>
            <w:r w:rsidRPr="00974F97">
              <w:t>Ntemngwa</w:t>
            </w:r>
            <w:proofErr w:type="spellEnd"/>
            <w:r w:rsidRPr="00974F97">
              <w:t xml:space="preserve"> &amp; Oliver, 2018;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et al., 2026; </w:t>
            </w:r>
            <w:proofErr w:type="spellStart"/>
            <w:r w:rsidRPr="00974F97">
              <w:t>Jaipal-Jamani</w:t>
            </w:r>
            <w:proofErr w:type="spellEnd"/>
            <w:r w:rsidRPr="00974F97">
              <w:t xml:space="preserve">, 2023; Yang et al., 2022; Chang &amp; Chen, 2020; </w:t>
            </w:r>
            <w:proofErr w:type="spellStart"/>
            <w:r w:rsidRPr="00974F97">
              <w:t>Arís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Orcos</w:t>
            </w:r>
            <w:proofErr w:type="spellEnd"/>
            <w:r w:rsidRPr="00974F97">
              <w:t xml:space="preserve">, 2019; Torres &amp; Inga, 2025; </w:t>
            </w:r>
            <w:proofErr w:type="spellStart"/>
            <w:r w:rsidRPr="00974F97">
              <w:t>Kopcha</w:t>
            </w:r>
            <w:proofErr w:type="spellEnd"/>
            <w:r w:rsidRPr="00974F97">
              <w:t xml:space="preserve"> et al., 2017; </w:t>
            </w:r>
            <w:proofErr w:type="spellStart"/>
            <w:r w:rsidRPr="00974F97">
              <w:t>Cahyono</w:t>
            </w:r>
            <w:proofErr w:type="spellEnd"/>
            <w:r w:rsidRPr="00974F97">
              <w:t xml:space="preserve"> et al., 2021; Kaya et al., 2017; </w:t>
            </w:r>
            <w:proofErr w:type="spellStart"/>
            <w:r w:rsidRPr="00974F97">
              <w:t>Dökme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Hancıoğlu</w:t>
            </w:r>
            <w:proofErr w:type="spellEnd"/>
            <w:r w:rsidRPr="00974F97">
              <w:t xml:space="preserve">, 2025; Castro et al., 2023; </w:t>
            </w:r>
            <w:proofErr w:type="spellStart"/>
            <w:r w:rsidRPr="00974F97">
              <w:t>Chiazzese</w:t>
            </w:r>
            <w:proofErr w:type="spellEnd"/>
            <w:r w:rsidRPr="00974F97">
              <w:t xml:space="preserve"> et al., 2019</w:t>
            </w:r>
          </w:p>
        </w:tc>
        <w:tc>
          <w:tcPr>
            <w:tcW w:w="0" w:type="auto"/>
            <w:hideMark/>
          </w:tcPr>
          <w:p w14:paraId="101647A5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۱۵</w:t>
            </w:r>
          </w:p>
        </w:tc>
      </w:tr>
      <w:tr w:rsidR="00974F97" w:rsidRPr="00974F97" w14:paraId="6C8487D1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13BDA7AF" w14:textId="77777777" w:rsidR="00974F97" w:rsidRPr="00974F97" w:rsidRDefault="00974F97" w:rsidP="00272BB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D696B3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۱.۲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داربست‌بندی شناختی و ساختاردهی پیشرونده تکالیف</w:t>
            </w:r>
          </w:p>
        </w:tc>
        <w:tc>
          <w:tcPr>
            <w:tcW w:w="0" w:type="auto"/>
            <w:hideMark/>
          </w:tcPr>
          <w:p w14:paraId="5C603EB9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یادگیری داربستی و افزایش تدریجی پیچیدگی (</w:t>
            </w:r>
            <w:r w:rsidRPr="00974F97">
              <w:rPr>
                <w:rtl/>
                <w:lang w:bidi="fa-IR"/>
              </w:rPr>
              <w:t xml:space="preserve">۴): </w:t>
            </w:r>
            <w:r w:rsidRPr="00974F97">
              <w:rPr>
                <w:rtl/>
              </w:rPr>
              <w:t>طراحی پلکانی از وظایف ساده به پیچیده، بار شناختی را مدیریت کرده و از ناامیدی زودهنگام جلوگیری می‌کند (تسهیل‌گر). / مسدودسازی راهبردی واسط برنامه‌نویسی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جلوگیری از دسترسی فوری به کدنویسی، دانش‌آموزان را به تفکر پیش از عمل واداشته و توزیع فعالیت‌های شناختی را متعادل می‌کند (تسهیل‌گر). / داربست‌های حافظه خارجی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استفاده از کارت‌های دیداری برای ثبت توالی فرمان‌ها، بار حافظه فعال را کاهش داده و اشکال‌زدایی را تسهیل می‌کند (تسهیل‌گر). / تکالیف هدفمند برای آموزش ساختارهای کنترلی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پروژه‌های ساده و متمرکز برای نمایش مفاهیم شرطی و حلقه‌ها (تسهیل‌گر). / مدل ساخت-نقد-انتقال</w:t>
            </w:r>
            <w:r w:rsidRPr="00974F97">
              <w:t xml:space="preserve"> (CCM) (</w:t>
            </w:r>
            <w:r w:rsidRPr="00974F97">
              <w:rPr>
                <w:rtl/>
                <w:lang w:bidi="fa-IR"/>
              </w:rPr>
              <w:t>۱</w:t>
            </w:r>
            <w:r w:rsidRPr="00974F97">
              <w:t xml:space="preserve">): </w:t>
            </w:r>
            <w:r w:rsidRPr="00974F97">
              <w:rPr>
                <w:rtl/>
              </w:rPr>
              <w:t>چرخه ساخت، نقد همتایان و انتقال دانش از تجارب شکست، تفکر انتقادی را بهبود می‌بخشد (تسهیل‌گر). / پروژه نهایی کاوشگرانه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قرار دادن یک پروژه باز پس از آموزش پایه، خودکارآمدی حل مسئله و توانایی کاربرد مفاهیم در دنیای واقعی را افزایش می‌دهد (تسهیل‌گر). / مهندسی معکوس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فرایند جداسازی، تحلیل و بازطراحی ربات، تفکر منطقی و خلاقیت را پرورش می‌دهد (تسهیل‌گر). / مدل عیب‌یابی/اشکال‌زدایی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 xml:space="preserve">استفاده از تکالیف تصحیح خطا به‌جای وظایف روتین، توانایی حل مسئله و اعتمادبه‌نفس را افزایش </w:t>
            </w:r>
            <w:r w:rsidRPr="00974F97">
              <w:rPr>
                <w:rtl/>
              </w:rPr>
              <w:lastRenderedPageBreak/>
              <w:t>می‌دهد (تسهیل‌گر). / چرخه</w:t>
            </w:r>
            <w:r w:rsidRPr="00974F97">
              <w:t xml:space="preserve"> SRA </w:t>
            </w:r>
            <w:r w:rsidRPr="00974F97">
              <w:rPr>
                <w:rtl/>
              </w:rPr>
              <w:t>(حس-استدلال-عمل)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ساختاربخشی به فرایند حل مسئله، الگوریتم‌سازی را به‌طور چشمگیری افزایش می‌دهد (تسهیل‌گر). / مرحله‌بندی فعالیت‌های</w:t>
            </w:r>
            <w:r w:rsidRPr="00974F97">
              <w:t xml:space="preserve"> STEM (</w:t>
            </w:r>
            <w:r w:rsidRPr="00974F97">
              <w:rPr>
                <w:rtl/>
                <w:lang w:bidi="fa-IR"/>
              </w:rPr>
              <w:t>۱</w:t>
            </w:r>
            <w:r w:rsidRPr="00974F97">
              <w:t xml:space="preserve">): </w:t>
            </w:r>
            <w:r w:rsidRPr="00974F97">
              <w:rPr>
                <w:rtl/>
              </w:rPr>
              <w:t>برنامه سه‌مرحله‌ای با پیشروی از کدنویسی پایه به طراحی مهندسی، خودکارآمدی و نگرش به</w:t>
            </w:r>
            <w:r w:rsidRPr="00974F97">
              <w:t xml:space="preserve"> STEM </w:t>
            </w:r>
            <w:r w:rsidRPr="00974F97">
              <w:rPr>
                <w:rtl/>
              </w:rPr>
              <w:t>را افزایش می‌دهد (تسهیل‌گر). / ارزشیابی تکراری طرح‌درس‌ها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فرایند طراحی، بازبینی و بهبود مستمر توسط معلمان آینده، کیفیت آموزشی را ارتقا می‌دهد (تسهیل‌گر). / فعالیت‌های ترویج انتزاع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فهرست‌سازی بلوک‌ها و رسم فلوچارت پیش از کدنویسی، مهارت انتزاع را تقویت می‌کند (تسهیل‌گر). / چیدمان ساده به پیچیده وظایف یادگیری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تنظیم فعالیت‌ها از آسان به دشوار، بار شناختی را کاهش داده و یادگیری را برای همه در دسترس‌تر می‌کند (تسهیل‌گر). / مسدودسازی جزئی واسط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فعال‌سازی برنامه‌نویسی بدون امکان اجرای کد، اشکال‌زدایی نظام‌مند و پیش‌بینی رفتار ربات را تقویت می‌کند (تسهیل‌گر)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7353160C" w14:textId="77777777" w:rsidR="00974F97" w:rsidRPr="00974F97" w:rsidRDefault="00974F97" w:rsidP="00272BBC">
            <w:pPr>
              <w:spacing w:after="160" w:line="278" w:lineRule="auto"/>
            </w:pPr>
            <w:proofErr w:type="spellStart"/>
            <w:r w:rsidRPr="00974F97">
              <w:lastRenderedPageBreak/>
              <w:t>Kert</w:t>
            </w:r>
            <w:proofErr w:type="spellEnd"/>
            <w:r w:rsidRPr="00974F97">
              <w:t xml:space="preserve"> et al., 2020; Korte et al., 2025; Yang et al., 2022; </w:t>
            </w:r>
            <w:proofErr w:type="spellStart"/>
            <w:r w:rsidRPr="00974F97">
              <w:t>Nannim</w:t>
            </w:r>
            <w:proofErr w:type="spellEnd"/>
            <w:r w:rsidRPr="00974F97">
              <w:t xml:space="preserve"> et al., 2025; 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Sullivan &amp; Bers, 2018; Noh &amp; Lee, 2020; Chevalier et al., 2020; Zhong et al., 2022; Boya-Lara et al., 2022; </w:t>
            </w:r>
            <w:proofErr w:type="spellStart"/>
            <w:r w:rsidRPr="00974F97">
              <w:t>Avello</w:t>
            </w:r>
            <w:proofErr w:type="spellEnd"/>
            <w:r w:rsidRPr="00974F97">
              <w:t xml:space="preserve"> et al., 2020; </w:t>
            </w:r>
            <w:proofErr w:type="spellStart"/>
            <w:r w:rsidRPr="00974F97">
              <w:t>Alserhan</w:t>
            </w:r>
            <w:proofErr w:type="spellEnd"/>
            <w:r w:rsidRPr="00974F97">
              <w:t xml:space="preserve"> et al., 2023; </w:t>
            </w:r>
            <w:proofErr w:type="spellStart"/>
            <w:r w:rsidRPr="00974F97">
              <w:t>Fanchamps</w:t>
            </w:r>
            <w:proofErr w:type="spellEnd"/>
            <w:r w:rsidRPr="00974F97">
              <w:t xml:space="preserve"> et al., 2021; Castro et al., 2023; Liu et al., 2022; </w:t>
            </w:r>
            <w:proofErr w:type="spellStart"/>
            <w:r w:rsidRPr="00974F97">
              <w:t>Dökme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Hancıoğlu</w:t>
            </w:r>
            <w:proofErr w:type="spellEnd"/>
            <w:r w:rsidRPr="00974F97">
              <w:t xml:space="preserve">, 2025; </w:t>
            </w:r>
            <w:proofErr w:type="spellStart"/>
            <w:r w:rsidRPr="00974F97">
              <w:t>Coufal</w:t>
            </w:r>
            <w:proofErr w:type="spellEnd"/>
            <w:r w:rsidRPr="00974F97">
              <w:t xml:space="preserve">, 2022; </w:t>
            </w:r>
            <w:proofErr w:type="spellStart"/>
            <w:r w:rsidRPr="00974F97">
              <w:t>Ziaeefard</w:t>
            </w:r>
            <w:proofErr w:type="spellEnd"/>
            <w:r w:rsidRPr="00974F97">
              <w:t xml:space="preserve"> et al., 2017;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&amp; Rosenberg, 2025; Barth-Cohen et al., 2018; </w:t>
            </w:r>
            <w:proofErr w:type="spellStart"/>
            <w:r w:rsidRPr="00974F97">
              <w:t>Angeli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Valanides</w:t>
            </w:r>
            <w:proofErr w:type="spellEnd"/>
            <w:r w:rsidRPr="00974F97">
              <w:t xml:space="preserve">, 2020; de </w:t>
            </w:r>
            <w:proofErr w:type="spellStart"/>
            <w:r w:rsidRPr="00974F97">
              <w:t>Vink</w:t>
            </w:r>
            <w:proofErr w:type="spellEnd"/>
            <w:r w:rsidRPr="00974F97">
              <w:t xml:space="preserve"> et al., 2022; </w:t>
            </w:r>
            <w:proofErr w:type="spellStart"/>
            <w:r w:rsidRPr="00974F97">
              <w:t>Cahyono</w:t>
            </w:r>
            <w:proofErr w:type="spellEnd"/>
            <w:r w:rsidRPr="00974F97">
              <w:t xml:space="preserve"> et al., 2021</w:t>
            </w:r>
          </w:p>
        </w:tc>
        <w:tc>
          <w:tcPr>
            <w:tcW w:w="0" w:type="auto"/>
            <w:hideMark/>
          </w:tcPr>
          <w:p w14:paraId="5581B834" w14:textId="44696DAB" w:rsidR="00974F97" w:rsidRPr="00974F97" w:rsidRDefault="00260A99" w:rsidP="00272BBC">
            <w:pPr>
              <w:spacing w:after="160" w:line="278" w:lineRule="auto"/>
            </w:pPr>
            <w:r w:rsidRPr="004B64DA">
              <w:rPr>
                <w:rFonts w:hint="cs"/>
                <w:highlight w:val="yellow"/>
                <w:rtl/>
                <w:lang w:bidi="fa-IR"/>
              </w:rPr>
              <w:t>17</w:t>
            </w:r>
          </w:p>
        </w:tc>
      </w:tr>
      <w:tr w:rsidR="00974F97" w:rsidRPr="00974F97" w14:paraId="7085CBF9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335B5077" w14:textId="77777777" w:rsidR="00974F97" w:rsidRPr="00974F97" w:rsidRDefault="00974F97" w:rsidP="00272BB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2AC2AA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۱.۳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هم‌آفرینی دانش و پویایی یادگیری مشارکتی</w:t>
            </w:r>
          </w:p>
        </w:tc>
        <w:tc>
          <w:tcPr>
            <w:tcW w:w="0" w:type="auto"/>
            <w:hideMark/>
          </w:tcPr>
          <w:p w14:paraId="707AE100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کار تیمی و همکاری گروهی (</w:t>
            </w:r>
            <w:r w:rsidRPr="00974F97">
              <w:rPr>
                <w:rtl/>
                <w:lang w:bidi="fa-IR"/>
              </w:rPr>
              <w:t xml:space="preserve">۷): </w:t>
            </w:r>
            <w:r w:rsidRPr="00974F97">
              <w:rPr>
                <w:rtl/>
              </w:rPr>
              <w:t>همکاری در حل مسائل پیچیده رباتیک، یادگیری را عمیق‌تر کرده و مهارت‌های اجتماعی را تقویت می‌کند (تسهیل‌گر). / یادگیری اجتماعی از طریق مشاهده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دیدن و تحلیل کار سایر گروه‌ها، الهام‌بخش و منبعی برای یادگیری است (تسهیل‌گر). / پویایی‌های نامتوازن کار تیمی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تسلط یک عضو یا عدم مشارکت برخی، فرصت یادگیری را نابرابر می‌کند (مانع). / روش تدریس هم‌تای نزدیک</w:t>
            </w:r>
            <w:r w:rsidRPr="00974F97">
              <w:t xml:space="preserve"> (Near-Peer Teaching) (</w:t>
            </w:r>
            <w:r w:rsidRPr="00974F97">
              <w:rPr>
                <w:rtl/>
                <w:lang w:bidi="fa-IR"/>
              </w:rPr>
              <w:t>۱</w:t>
            </w:r>
            <w:r w:rsidRPr="00974F97">
              <w:t xml:space="preserve">): </w:t>
            </w:r>
            <w:r w:rsidRPr="00974F97">
              <w:rPr>
                <w:rtl/>
              </w:rPr>
              <w:t>استفاده از دانش‌آموزان بزرگ‌تر به‌عنوان معلم، تجربه یادگیری مثبتی ایجاد کرده و بار کاری معلم را کاهش می‌دهد (تسهیل‌گر). / رویکرد پروژه تیمی برای معلمان آینده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مشارکت در پروژه‌های گروهی، مهارت‌های همکاری و آمادگی تدریس را افزایش می‌دهد (تسهیل‌گر). / اندازه بهینه گروه دو نفره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گروه‌های دو نفره سطح بهینه‌ای از درگیری، تفکر انتقادی و حل مسئله را ایجاد می‌کنند (تسهیل‌گر). / تشکیل گروه‌های همکاری با ترکیب دانش‌آموزان قوی و ضعیف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پشتیبانی همتایان به کاهش احساس ناتوانی و افزایش مشارکت کمک می‌کند (تسهیل‌گر)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3516B6C2" w14:textId="77777777" w:rsidR="00974F97" w:rsidRPr="00974F97" w:rsidRDefault="00974F97" w:rsidP="00272BBC">
            <w:pPr>
              <w:spacing w:after="160" w:line="278" w:lineRule="auto"/>
            </w:pPr>
            <w:r w:rsidRPr="00974F97">
              <w:t xml:space="preserve">Korte et al., 2025; 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</w:t>
            </w:r>
            <w:proofErr w:type="spellStart"/>
            <w:r w:rsidRPr="00974F97">
              <w:t>Kopcha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Ntemngwa</w:t>
            </w:r>
            <w:proofErr w:type="spellEnd"/>
            <w:r w:rsidRPr="00974F97">
              <w:t xml:space="preserve"> &amp; Oliver, 2018; de </w:t>
            </w:r>
            <w:proofErr w:type="spellStart"/>
            <w:r w:rsidRPr="00974F97">
              <w:t>Vink</w:t>
            </w:r>
            <w:proofErr w:type="spellEnd"/>
            <w:r w:rsidRPr="00974F97">
              <w:t xml:space="preserve"> et al., 2022; </w:t>
            </w:r>
            <w:proofErr w:type="spellStart"/>
            <w:r w:rsidRPr="00974F97">
              <w:t>Yildiz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Seferoğlu</w:t>
            </w:r>
            <w:proofErr w:type="spellEnd"/>
            <w:r w:rsidRPr="00974F97">
              <w:t xml:space="preserve">, 2021; </w:t>
            </w:r>
            <w:proofErr w:type="spellStart"/>
            <w:r w:rsidRPr="00974F97">
              <w:t>Durak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Zaharin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Nannim</w:t>
            </w:r>
            <w:proofErr w:type="spellEnd"/>
            <w:r w:rsidRPr="00974F97">
              <w:t xml:space="preserve"> et al., 2025;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et al., 2026; Yang et al., 2022; Torres et al., 2025; Castro et al., 2023; </w:t>
            </w:r>
            <w:proofErr w:type="spellStart"/>
            <w:r w:rsidRPr="00974F97">
              <w:t>Cahyono</w:t>
            </w:r>
            <w:proofErr w:type="spellEnd"/>
            <w:r w:rsidRPr="00974F97">
              <w:t xml:space="preserve"> et al., 2021; </w:t>
            </w:r>
            <w:proofErr w:type="spellStart"/>
            <w:r w:rsidRPr="00974F97">
              <w:t>Arís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Orcos</w:t>
            </w:r>
            <w:proofErr w:type="spellEnd"/>
            <w:r w:rsidRPr="00974F97">
              <w:t>, 2019</w:t>
            </w:r>
          </w:p>
        </w:tc>
        <w:tc>
          <w:tcPr>
            <w:tcW w:w="0" w:type="auto"/>
            <w:hideMark/>
          </w:tcPr>
          <w:p w14:paraId="436E10C2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۱۳</w:t>
            </w:r>
          </w:p>
        </w:tc>
      </w:tr>
      <w:tr w:rsidR="00974F97" w:rsidRPr="00974F97" w14:paraId="368AF3CF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57EF0611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lastRenderedPageBreak/>
              <w:t>۲</w:t>
            </w:r>
            <w:r w:rsidRPr="00974F97">
              <w:rPr>
                <w:b/>
                <w:bCs/>
              </w:rPr>
              <w:t xml:space="preserve">. </w:t>
            </w:r>
            <w:r w:rsidRPr="00974F97">
              <w:rPr>
                <w:b/>
                <w:bCs/>
                <w:rtl/>
              </w:rPr>
              <w:t>ارگونومی فناورانه و تعامل انسان-ربات</w:t>
            </w:r>
          </w:p>
        </w:tc>
        <w:tc>
          <w:tcPr>
            <w:tcW w:w="0" w:type="auto"/>
            <w:hideMark/>
          </w:tcPr>
          <w:p w14:paraId="07C8A8B3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۲.۱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تجسم‌بخشی، اشیاء ملموس و شبیه‌سازی بدنی</w:t>
            </w:r>
          </w:p>
        </w:tc>
        <w:tc>
          <w:tcPr>
            <w:tcW w:w="0" w:type="auto"/>
            <w:hideMark/>
          </w:tcPr>
          <w:p w14:paraId="37FC8B6F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عینی‌سازی آموزش از طریق اشیاء ملموس (</w:t>
            </w:r>
            <w:r w:rsidRPr="00974F97">
              <w:rPr>
                <w:rtl/>
                <w:lang w:bidi="fa-IR"/>
              </w:rPr>
              <w:t xml:space="preserve">۳): </w:t>
            </w:r>
            <w:r w:rsidRPr="00974F97">
              <w:rPr>
                <w:rtl/>
              </w:rPr>
              <w:t>ربات‌های فیزیکی فرایند ساخت مفاهیم انتزاعی را تسهیل کرده و پیشرفت تحصیلی را افزایش می‌دهند (تسهیل‌گر). / فعالیت پیش‌نیاز تجسمی (بدنمند) پیش از برنامه‌نویسی (</w:t>
            </w:r>
            <w:r w:rsidRPr="00974F97">
              <w:rPr>
                <w:rtl/>
                <w:lang w:bidi="fa-IR"/>
              </w:rPr>
              <w:t xml:space="preserve">۲): </w:t>
            </w:r>
            <w:r w:rsidRPr="00974F97">
              <w:rPr>
                <w:rtl/>
              </w:rPr>
              <w:t>شبیه‌سازی فیزیکی مسیر ربات، مهارت‌های اشکال‌زدایی و</w:t>
            </w:r>
            <w:r w:rsidRPr="00974F97">
              <w:t xml:space="preserve"> proficiency </w:t>
            </w:r>
            <w:r w:rsidRPr="00974F97">
              <w:rPr>
                <w:rtl/>
              </w:rPr>
              <w:t>برنامه‌نویسی را افزایش می‌دهد (تسهیل‌گر). / واسط برنامه‌نویسی ملموس (فیزیکی)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استفاده از قطعات فیزیکی برای برنامه‌نویسی، زمان و خطاها را برای کودکان کاهش می‌دهد (تسهیل‌گر). / تجسم کامل بدنی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شبیه‌سازی حرکت با کل بدن، حل مسئله را تقویت می‌کند اما ممکن است بار شناختی را افزایش دهد (تسهیل‌گر/مانع). / بررسی مشارکتی با ربات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ورود فیزیکی به دنیای ربات برای شبیه‌سازی شرایط و آزمون منطق برنامه (تسهیل‌گر). / فعالیت‌های همراه با حرکت و بازخورد بصری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وظایفی مانند حرکت موتور و طراحی گیره، درگیری و جذابیت را بالا می‌برند (تسهیل‌گر). / تجربه عملی به‌عنوان محرک اصلی علاقه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ساخت و مونتاژ عملی، حس موفقیت و توانمندی ایجاد می‌کند (تسهیل‌گر). / محصول ملموس و افزایش خودباوری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 xml:space="preserve">تولید محصول فیزیکی توسط رباتیک، خودکارآمدی را نسبت به </w:t>
            </w:r>
            <w:r w:rsidRPr="00974F97">
              <w:rPr>
                <w:rtl/>
              </w:rPr>
              <w:lastRenderedPageBreak/>
              <w:t>برنامه‌نویسی بلوکی صرف، بیشتر افزایش می‌دهد (تسهیل‌گر)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6E7DE1D6" w14:textId="77777777" w:rsidR="00974F97" w:rsidRPr="00974F97" w:rsidRDefault="00974F97" w:rsidP="00272BBC">
            <w:pPr>
              <w:spacing w:after="160" w:line="278" w:lineRule="auto"/>
            </w:pPr>
            <w:proofErr w:type="spellStart"/>
            <w:r w:rsidRPr="00974F97">
              <w:lastRenderedPageBreak/>
              <w:t>Ziaeefard</w:t>
            </w:r>
            <w:proofErr w:type="spellEnd"/>
            <w:r w:rsidRPr="00974F97">
              <w:t xml:space="preserve"> et al., 2017; </w:t>
            </w:r>
            <w:proofErr w:type="spellStart"/>
            <w:r w:rsidRPr="00974F97">
              <w:t>Kert</w:t>
            </w:r>
            <w:proofErr w:type="spellEnd"/>
            <w:r w:rsidRPr="00974F97">
              <w:t xml:space="preserve"> et al., 2020; </w:t>
            </w:r>
            <w:proofErr w:type="spellStart"/>
            <w:r w:rsidRPr="00974F97">
              <w:t>Merkouris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Chorianopoulos</w:t>
            </w:r>
            <w:proofErr w:type="spellEnd"/>
            <w:r w:rsidRPr="00974F97">
              <w:t xml:space="preserve">, 2019; </w:t>
            </w:r>
            <w:proofErr w:type="spellStart"/>
            <w:r w:rsidRPr="00974F97">
              <w:t>Sapounidis</w:t>
            </w:r>
            <w:proofErr w:type="spellEnd"/>
            <w:r w:rsidRPr="00974F97">
              <w:t xml:space="preserve"> et al., 2015; Sung et al., 2022; Qu &amp; </w:t>
            </w:r>
            <w:proofErr w:type="spellStart"/>
            <w:r w:rsidRPr="00974F97">
              <w:t>Fok</w:t>
            </w:r>
            <w:proofErr w:type="spellEnd"/>
            <w:r w:rsidRPr="00974F97">
              <w:t xml:space="preserve">, 2022; </w:t>
            </w:r>
            <w:proofErr w:type="spellStart"/>
            <w:r w:rsidRPr="00974F97">
              <w:t>Kopcha</w:t>
            </w:r>
            <w:proofErr w:type="spellEnd"/>
            <w:r w:rsidRPr="00974F97">
              <w:t xml:space="preserve"> et al., 2019; 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et al., 2026; Boya-Lara et al., 2022; Zhang et al., 2025; Castro et al., 2023; </w:t>
            </w:r>
            <w:proofErr w:type="spellStart"/>
            <w:r w:rsidRPr="00974F97">
              <w:t>Zaharin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Jaipal-Jamani</w:t>
            </w:r>
            <w:proofErr w:type="spellEnd"/>
            <w:r w:rsidRPr="00974F97">
              <w:t>, 2023; Chang &amp; Chen, 2020; Kaya et al., 2017</w:t>
            </w:r>
          </w:p>
        </w:tc>
        <w:tc>
          <w:tcPr>
            <w:tcW w:w="0" w:type="auto"/>
            <w:hideMark/>
          </w:tcPr>
          <w:p w14:paraId="6E4DB7A4" w14:textId="4A685441" w:rsidR="00974F97" w:rsidRPr="00974F97" w:rsidRDefault="004B64DA" w:rsidP="00272BBC">
            <w:pPr>
              <w:spacing w:after="160" w:line="278" w:lineRule="auto"/>
            </w:pPr>
            <w:r w:rsidRPr="004B64DA">
              <w:rPr>
                <w:rFonts w:hint="cs"/>
                <w:highlight w:val="yellow"/>
                <w:rtl/>
                <w:lang w:bidi="fa-IR"/>
              </w:rPr>
              <w:t>11</w:t>
            </w:r>
          </w:p>
        </w:tc>
      </w:tr>
      <w:tr w:rsidR="00974F97" w:rsidRPr="00974F97" w14:paraId="3C8A0514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0BB80EF7" w14:textId="77777777" w:rsidR="00974F97" w:rsidRPr="00974F97" w:rsidRDefault="00974F97" w:rsidP="00272BB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22C723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۲.۲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بازخورد بلادرنگ سیستم و چرخه‌های اشکال‌زدایی</w:t>
            </w:r>
          </w:p>
        </w:tc>
        <w:tc>
          <w:tcPr>
            <w:tcW w:w="0" w:type="auto"/>
            <w:hideMark/>
          </w:tcPr>
          <w:p w14:paraId="643E6666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مشاهده بازخورد بصری فوری از حرکت ربات (</w:t>
            </w:r>
            <w:r w:rsidRPr="00974F97">
              <w:rPr>
                <w:rtl/>
                <w:lang w:bidi="fa-IR"/>
              </w:rPr>
              <w:t xml:space="preserve">۵): </w:t>
            </w:r>
            <w:r w:rsidRPr="00974F97">
              <w:rPr>
                <w:rtl/>
              </w:rPr>
              <w:t>ربات با حرکت یا توقف، نتیجه کد را فوراً نمایان کرده و اشکال‌زدایی را تسهیل می‌کند (تسهیل‌گر). / بازخورد شنیداری بی‌درنگ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اعلام صوتی موفقیت یا شکست برای کودکان خردسال (تسهیل‌گر). / بازخورد حاصل از مشاهده رفتار ربات و رفع عیب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مقایسه رفتار واقعی با مورد انتظار و تحلیل منطقی خطاها (تسهیل‌گر). / راهبرد اشکال‌زدایی «حذف و بازنویسی» کد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راهبردی مؤثر که با فعالیت‌های تجسمی سطح پایین تقویت می‌شود (تسهیل‌گر). / بازخورد ملموس از موفقیت ربات به‌جای بازخورد معلم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تقویت احساس شایستگی و انگیزه درونی بدون وابستگی به تأیید معلم (تسهیل‌گر). / بازخورد بلادرنگ اجرای کد با نقطه سبز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نشانه‌های دیداری در نرم‌افزار، دانش‌آموزان را مستقیماً به منبع خطا هدایت می‌کند (تسهیل‌گر)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48EB4B58" w14:textId="77777777" w:rsidR="00974F97" w:rsidRPr="00974F97" w:rsidRDefault="00974F97" w:rsidP="00272BBC">
            <w:pPr>
              <w:spacing w:after="160" w:line="278" w:lineRule="auto"/>
            </w:pPr>
            <w:r w:rsidRPr="00974F97">
              <w:t xml:space="preserve">Noh &amp; Lee, 2020; </w:t>
            </w:r>
            <w:proofErr w:type="spellStart"/>
            <w:r w:rsidRPr="00974F97">
              <w:t>Jaipal-Jamani</w:t>
            </w:r>
            <w:proofErr w:type="spellEnd"/>
            <w:r w:rsidRPr="00974F97">
              <w:t xml:space="preserve">, 2023; </w:t>
            </w:r>
            <w:proofErr w:type="spellStart"/>
            <w:r w:rsidRPr="00974F97">
              <w:t>Merkouris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Chorianopoulos</w:t>
            </w:r>
            <w:proofErr w:type="spellEnd"/>
            <w:r w:rsidRPr="00974F97">
              <w:t xml:space="preserve">, 2019; Qu &amp; </w:t>
            </w:r>
            <w:proofErr w:type="spellStart"/>
            <w:r w:rsidRPr="00974F97">
              <w:t>Fok</w:t>
            </w:r>
            <w:proofErr w:type="spellEnd"/>
            <w:r w:rsidRPr="00974F97">
              <w:t xml:space="preserve">, 2022; Zhang et al., 2025; Boya-Lara et al., 2022; </w:t>
            </w:r>
            <w:proofErr w:type="spellStart"/>
            <w:r w:rsidRPr="00974F97">
              <w:t>Fanchamps</w:t>
            </w:r>
            <w:proofErr w:type="spellEnd"/>
            <w:r w:rsidRPr="00974F97">
              <w:t xml:space="preserve"> et al., 2021; 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Barth-Cohen et al., 2018; </w:t>
            </w:r>
            <w:proofErr w:type="spellStart"/>
            <w:r w:rsidRPr="00974F97">
              <w:t>Ziaeefard</w:t>
            </w:r>
            <w:proofErr w:type="spellEnd"/>
            <w:r w:rsidRPr="00974F97">
              <w:t xml:space="preserve"> et al., 2017</w:t>
            </w:r>
          </w:p>
        </w:tc>
        <w:tc>
          <w:tcPr>
            <w:tcW w:w="0" w:type="auto"/>
            <w:hideMark/>
          </w:tcPr>
          <w:p w14:paraId="05B64537" w14:textId="06C252C7" w:rsidR="00974F97" w:rsidRPr="00974F97" w:rsidRDefault="004B64DA" w:rsidP="00272BBC">
            <w:pPr>
              <w:spacing w:after="160" w:line="278" w:lineRule="auto"/>
            </w:pPr>
            <w:r w:rsidRPr="004B64DA">
              <w:rPr>
                <w:rFonts w:hint="cs"/>
                <w:highlight w:val="yellow"/>
                <w:rtl/>
                <w:lang w:bidi="fa-IR"/>
              </w:rPr>
              <w:t>10</w:t>
            </w:r>
          </w:p>
        </w:tc>
      </w:tr>
      <w:tr w:rsidR="00974F97" w:rsidRPr="00974F97" w14:paraId="7C32051D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15F1AFA7" w14:textId="77777777" w:rsidR="00974F97" w:rsidRPr="00974F97" w:rsidRDefault="00974F97" w:rsidP="00272BB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EC55E8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۲.۳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مدیریت پیچیدگی فنی و بار شناختی بیرونی</w:t>
            </w:r>
          </w:p>
        </w:tc>
        <w:tc>
          <w:tcPr>
            <w:tcW w:w="0" w:type="auto"/>
            <w:hideMark/>
          </w:tcPr>
          <w:p w14:paraId="4CA8A6FB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سادگی زبان برنامه‌نویسی بصری (</w:t>
            </w:r>
            <w:r w:rsidRPr="00974F97">
              <w:rPr>
                <w:rtl/>
                <w:lang w:bidi="fa-IR"/>
              </w:rPr>
              <w:t xml:space="preserve">۲): </w:t>
            </w:r>
            <w:r w:rsidRPr="00974F97">
              <w:rPr>
                <w:rtl/>
              </w:rPr>
              <w:t>محیط‌های بلوکی، بیان ایده‌ها را برای مبتدیان آسان کرده و امکان تمرکز بر منطق برنامه را فراهم می‌کنند (تسهیل‌گر). / ربات از پیش مونتاژشده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حذف مرحله ساخت پیچیده برای تمرکز بر منطق برنامه‌نویسی (تسهیل‌گر). / کسل‌کنندگی فرایند مونتاژ و سیم‌کشی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وظایف پرزحمت با بازخورد بصری کم، انگیزه را کاهش می‌دهند (مانع). / پیچیدگی فنی مدارهای الکترونیکی و افزایش بار شناختی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مواجهه با مفاهیم جدید مانند مقاومت، بار شناختی را افزایش می‌دهد (مانع). / نبود مدل‌های مقابله‌ای در فیلم‌های آموزشی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نمایش ندادن شکست‌ها و نحوه رفع آن‌ها، معلمان را برای مشکلات واقعی آماده نمی‌کند (مانع). / راهنمای معلم پرمحتوا و دشوار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استفاده از راهنماهای فشرده در حین تدریس را دشوار می‌کند (مانع). / دستورالعمل‌های باز و غیرتخصصی دفترچه طراحی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نبود جزئیات فنی کافی، ارزشیابی را دشوار می‌کند (مانع). / خطاهای رایج مبتدیان در کدنویسی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اشتباهات معمولی مانند جا انداختن حلقه تکرار، در صورت نبود تمرین هدفمند، پیشرفت را مختل می‌کند (مانع). / چالش‌های فنی سخت‌افزاری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مشکلاتی مانند حرکت نکردن دقیق ربات یا خطاهای مکرر حسگر، یادگیری را مختل می‌کند (مانع). / شکاف ترجمه زبان طبیعی به ورودی‌های فنی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 xml:space="preserve">ناهماهنگی </w:t>
            </w:r>
            <w:r w:rsidRPr="00974F97">
              <w:rPr>
                <w:rtl/>
              </w:rPr>
              <w:lastRenderedPageBreak/>
              <w:t>میان دستورالعمل‌های ساده و انتظارات فنی نرم‌افزار، مانعی برای کدنویسی روان است (مانع). / ناوبری و تفسیر هم‌زمان بازنمایی‌های چندگانه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نیاز به پردازش هم‌زمان کد، دستورالعمل و رفتار ربات، بار شناختی را افزایش می‌دهد (مانع/تسهیل‌گر</w:t>
            </w:r>
            <w:r w:rsidRPr="00974F97">
              <w:t>).</w:t>
            </w:r>
          </w:p>
        </w:tc>
        <w:tc>
          <w:tcPr>
            <w:tcW w:w="0" w:type="auto"/>
            <w:hideMark/>
          </w:tcPr>
          <w:p w14:paraId="7D1AD534" w14:textId="77777777" w:rsidR="00974F97" w:rsidRPr="00974F97" w:rsidRDefault="00974F97" w:rsidP="00272BBC">
            <w:pPr>
              <w:spacing w:after="160" w:line="278" w:lineRule="auto"/>
            </w:pPr>
            <w:r w:rsidRPr="00974F97">
              <w:lastRenderedPageBreak/>
              <w:t xml:space="preserve">Noh &amp; Lee, 2020; </w:t>
            </w:r>
            <w:proofErr w:type="spellStart"/>
            <w:r w:rsidRPr="00974F97">
              <w:t>Nannim</w:t>
            </w:r>
            <w:proofErr w:type="spellEnd"/>
            <w:r w:rsidRPr="00974F97">
              <w:t xml:space="preserve"> et al., 2025; </w:t>
            </w:r>
            <w:proofErr w:type="spellStart"/>
            <w:r w:rsidRPr="00974F97">
              <w:t>Merkouris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Chorianopoulos</w:t>
            </w:r>
            <w:proofErr w:type="spellEnd"/>
            <w:r w:rsidRPr="00974F97">
              <w:t xml:space="preserve">, 2019; </w:t>
            </w:r>
            <w:proofErr w:type="spellStart"/>
            <w:r w:rsidRPr="00974F97">
              <w:t>Kopcha</w:t>
            </w:r>
            <w:proofErr w:type="spellEnd"/>
            <w:r w:rsidRPr="00974F97">
              <w:t xml:space="preserve"> et al., 2017; Kim et al., 2019; </w:t>
            </w:r>
            <w:proofErr w:type="spellStart"/>
            <w:r w:rsidRPr="00974F97">
              <w:t>Akman</w:t>
            </w:r>
            <w:proofErr w:type="spellEnd"/>
            <w:r w:rsidRPr="00974F97">
              <w:t xml:space="preserve"> </w:t>
            </w:r>
            <w:proofErr w:type="spellStart"/>
            <w:r w:rsidRPr="00974F97">
              <w:t>Selcuk</w:t>
            </w:r>
            <w:proofErr w:type="spellEnd"/>
            <w:r w:rsidRPr="00974F97">
              <w:t xml:space="preserve"> et al., 2024; Torres et al., 2025; Barth-Cohen et al., 2018; </w:t>
            </w:r>
            <w:proofErr w:type="spellStart"/>
            <w:r w:rsidRPr="00974F97">
              <w:t>Ziaeefard</w:t>
            </w:r>
            <w:proofErr w:type="spellEnd"/>
            <w:r w:rsidRPr="00974F97">
              <w:t xml:space="preserve"> et al., 2017; </w:t>
            </w:r>
            <w:proofErr w:type="spellStart"/>
            <w:r w:rsidRPr="00974F97">
              <w:t>Kert</w:t>
            </w:r>
            <w:proofErr w:type="spellEnd"/>
            <w:r w:rsidRPr="00974F97">
              <w:t xml:space="preserve"> et al., 2020; </w:t>
            </w:r>
            <w:proofErr w:type="spellStart"/>
            <w:r w:rsidRPr="00974F97">
              <w:t>Angeli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Valanides</w:t>
            </w:r>
            <w:proofErr w:type="spellEnd"/>
            <w:r w:rsidRPr="00974F97">
              <w:t xml:space="preserve">, 2020; Chevalier et al., 2020; Ching et al., 2019; </w:t>
            </w:r>
            <w:proofErr w:type="spellStart"/>
            <w:r w:rsidRPr="00974F97">
              <w:t>Durak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Nannim</w:t>
            </w:r>
            <w:proofErr w:type="spellEnd"/>
            <w:r w:rsidRPr="00974F97">
              <w:t xml:space="preserve"> et al., 2026</w:t>
            </w:r>
          </w:p>
        </w:tc>
        <w:tc>
          <w:tcPr>
            <w:tcW w:w="0" w:type="auto"/>
            <w:hideMark/>
          </w:tcPr>
          <w:p w14:paraId="09722CEC" w14:textId="00AAF5A6" w:rsidR="00974F97" w:rsidRPr="00974F97" w:rsidRDefault="004B64DA" w:rsidP="00272BBC">
            <w:pPr>
              <w:spacing w:after="160" w:line="278" w:lineRule="auto"/>
            </w:pPr>
            <w:r w:rsidRPr="004B64DA">
              <w:rPr>
                <w:rFonts w:hint="cs"/>
                <w:highlight w:val="yellow"/>
                <w:rtl/>
                <w:lang w:bidi="fa-IR"/>
              </w:rPr>
              <w:t>12</w:t>
            </w:r>
          </w:p>
        </w:tc>
      </w:tr>
      <w:tr w:rsidR="00974F97" w:rsidRPr="00974F97" w14:paraId="7D00D092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25FB3042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lastRenderedPageBreak/>
              <w:t>۳</w:t>
            </w:r>
            <w:r w:rsidRPr="00974F97">
              <w:rPr>
                <w:b/>
                <w:bCs/>
              </w:rPr>
              <w:t xml:space="preserve">. </w:t>
            </w:r>
            <w:r w:rsidRPr="00974F97">
              <w:rPr>
                <w:b/>
                <w:bCs/>
                <w:rtl/>
              </w:rPr>
              <w:t>متغیرهای شناختی، عاطفی و جمعیت‌شناختی یادگیرنده</w:t>
            </w:r>
          </w:p>
        </w:tc>
        <w:tc>
          <w:tcPr>
            <w:tcW w:w="0" w:type="auto"/>
            <w:hideMark/>
          </w:tcPr>
          <w:p w14:paraId="30771E3B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۳.۱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چرخه خودکارآمدی، انگیزش درونی و درگیری عاطفی</w:t>
            </w:r>
          </w:p>
        </w:tc>
        <w:tc>
          <w:tcPr>
            <w:tcW w:w="0" w:type="auto"/>
            <w:hideMark/>
          </w:tcPr>
          <w:p w14:paraId="64CF977F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جذابیت ذاتی ربات و افزایش انگیزه و علاقه (</w:t>
            </w:r>
            <w:r w:rsidRPr="00974F97">
              <w:rPr>
                <w:rtl/>
                <w:lang w:bidi="fa-IR"/>
              </w:rPr>
              <w:t xml:space="preserve">۹): </w:t>
            </w:r>
            <w:r w:rsidRPr="00974F97">
              <w:rPr>
                <w:rtl/>
              </w:rPr>
              <w:t>تازگی و جذابیت فناورانه ربات، انگیزه درونی و نگرش مثبت به</w:t>
            </w:r>
            <w:r w:rsidRPr="00974F97">
              <w:t xml:space="preserve"> STEM </w:t>
            </w:r>
            <w:r w:rsidRPr="00974F97">
              <w:rPr>
                <w:rtl/>
              </w:rPr>
              <w:t>را به‌طور معناداری افزایش می‌دهد (تسهیل‌گر). / خودکارآمدی ناشی از تجربه تسلط و موفقیت (</w:t>
            </w:r>
            <w:r w:rsidRPr="00974F97">
              <w:rPr>
                <w:rtl/>
                <w:lang w:bidi="fa-IR"/>
              </w:rPr>
              <w:t xml:space="preserve">۵): </w:t>
            </w:r>
            <w:r w:rsidRPr="00974F97">
              <w:rPr>
                <w:rtl/>
              </w:rPr>
              <w:t>تکمیل موفقیت‌آمیز پروژه‌ها، باور به توانایی‌ها و پشتکار را تقویت می‌کند (تسهیل‌گر). / پرورش خلاقیت (</w:t>
            </w:r>
            <w:r w:rsidRPr="00974F97">
              <w:rPr>
                <w:rtl/>
                <w:lang w:bidi="fa-IR"/>
              </w:rPr>
              <w:t xml:space="preserve">۴): </w:t>
            </w:r>
            <w:r w:rsidRPr="00974F97">
              <w:rPr>
                <w:rtl/>
              </w:rPr>
              <w:t>فضای امن برای آزمون و خطا و تشویق ایده‌پردازی، خلاقیت را پرورش می‌دهد (تسهیل‌گر). / تأثیر منفی دشواری ادراک‌شده (</w:t>
            </w:r>
            <w:r w:rsidRPr="00974F97">
              <w:rPr>
                <w:rtl/>
                <w:lang w:bidi="fa-IR"/>
              </w:rPr>
              <w:t xml:space="preserve">۲): </w:t>
            </w:r>
            <w:r w:rsidRPr="00974F97">
              <w:rPr>
                <w:rtl/>
              </w:rPr>
              <w:t>وظایف با پیچیدگی بالا، اعتمادبه‌نفس و انگیزه را کاهش می‌دهند (مانع). / پرورش پشتکار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چالش‌های رباتیک، استقامت در مواجهه با شکست را می‌آموزند (تسهیل‌گر). / افزایش اعتمادبه‌نفس از طریق غلبه بر چالش‌های اولیه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عبور از دشواری‌های آغازین، باور به توانایی فردی را تقویت می‌کند (تسهیل‌گر). / ارتباط بین اعتماد به نفس و علاقه به رباتیک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چرخه مثبت بین خودکارآمدی و علاقه، اثربخشی یادگیری بلندمدت را تقویت می‌کند (تسهیل‌گر). / سرگرم‌کنندگی و مفید بودن فعالیت‌های رباتیک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دانش‌آموزان رباتیک را سرگرم‌کننده و مفید ارزیابی کرده که با علاقه به علوم، ریاضی و فناوری همبستگی مثبت دارد (تسهیل‌گر). / پر کردن شکاف تئوری و عمل و یادگیری تجربی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 xml:space="preserve">دانش‌آموزان کاربرد عملی مفاهیم تئوری را دیده و لذت </w:t>
            </w:r>
            <w:r w:rsidRPr="00974F97">
              <w:rPr>
                <w:rtl/>
              </w:rPr>
              <w:lastRenderedPageBreak/>
              <w:t>بیشتری از یادگیری می‌برند (تسهیل‌گر). / افزایش علاقه به مشاغل</w:t>
            </w:r>
            <w:r w:rsidRPr="00974F97">
              <w:t xml:space="preserve"> STEM </w:t>
            </w:r>
            <w:r w:rsidRPr="00974F97">
              <w:rPr>
                <w:rtl/>
              </w:rPr>
              <w:t>و آگاهی از مسیر شغلی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کارگاه‌های رباتیک، تمایل به دنبال کردن مشاغل مرتبط با علوم کامپیوتر و مهندسی را افزایش می‌دهند (تسهیل‌گر)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0AF3C9B8" w14:textId="77777777" w:rsidR="00974F97" w:rsidRPr="00974F97" w:rsidRDefault="00974F97" w:rsidP="00272BBC">
            <w:pPr>
              <w:spacing w:after="160" w:line="278" w:lineRule="auto"/>
            </w:pPr>
            <w:r w:rsidRPr="00974F97">
              <w:lastRenderedPageBreak/>
              <w:t xml:space="preserve">Noh &amp; Lee, 2020; </w:t>
            </w:r>
            <w:proofErr w:type="spellStart"/>
            <w:r w:rsidRPr="00974F97">
              <w:t>Yildiz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Seferoğlu</w:t>
            </w:r>
            <w:proofErr w:type="spellEnd"/>
            <w:r w:rsidRPr="00974F97">
              <w:t xml:space="preserve">, 2021; </w:t>
            </w:r>
            <w:proofErr w:type="spellStart"/>
            <w:r w:rsidRPr="00974F97">
              <w:t>Kucuk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Sisman</w:t>
            </w:r>
            <w:proofErr w:type="spellEnd"/>
            <w:r w:rsidRPr="00974F97">
              <w:t xml:space="preserve">, 2018; 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</w:t>
            </w:r>
            <w:proofErr w:type="spellStart"/>
            <w:r w:rsidRPr="00974F97">
              <w:t>Kopcha</w:t>
            </w:r>
            <w:proofErr w:type="spellEnd"/>
            <w:r w:rsidRPr="00974F97">
              <w:t xml:space="preserve"> et al., 2017;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et al., 2026; Yang et al., 2022; </w:t>
            </w:r>
            <w:proofErr w:type="spellStart"/>
            <w:r w:rsidRPr="00974F97">
              <w:t>Kert</w:t>
            </w:r>
            <w:proofErr w:type="spellEnd"/>
            <w:r w:rsidRPr="00974F97">
              <w:t xml:space="preserve"> et al., 2020; Sullivan &amp; Bers, 2018; </w:t>
            </w:r>
            <w:proofErr w:type="spellStart"/>
            <w:r w:rsidRPr="00974F97">
              <w:t>Akman</w:t>
            </w:r>
            <w:proofErr w:type="spellEnd"/>
            <w:r w:rsidRPr="00974F97">
              <w:t xml:space="preserve"> </w:t>
            </w:r>
            <w:proofErr w:type="spellStart"/>
            <w:r w:rsidRPr="00974F97">
              <w:t>Selcuk</w:t>
            </w:r>
            <w:proofErr w:type="spellEnd"/>
            <w:r w:rsidRPr="00974F97">
              <w:t xml:space="preserve"> et al., 2024; Yilmaz Ince &amp; </w:t>
            </w:r>
            <w:proofErr w:type="spellStart"/>
            <w:r w:rsidRPr="00974F97">
              <w:t>Koc</w:t>
            </w:r>
            <w:proofErr w:type="spellEnd"/>
            <w:r w:rsidRPr="00974F97">
              <w:t xml:space="preserve">, 2021; </w:t>
            </w:r>
            <w:proofErr w:type="spellStart"/>
            <w:r w:rsidRPr="00974F97">
              <w:t>Walma</w:t>
            </w:r>
            <w:proofErr w:type="spellEnd"/>
            <w:r w:rsidRPr="00974F97">
              <w:t xml:space="preserve"> van der </w:t>
            </w:r>
            <w:proofErr w:type="spellStart"/>
            <w:r w:rsidRPr="00974F97">
              <w:t>Molen</w:t>
            </w:r>
            <w:proofErr w:type="spellEnd"/>
            <w:r w:rsidRPr="00974F97">
              <w:t xml:space="preserve"> et al., 2023; </w:t>
            </w:r>
            <w:proofErr w:type="spellStart"/>
            <w:r w:rsidRPr="00974F97">
              <w:t>Eguchi</w:t>
            </w:r>
            <w:proofErr w:type="spellEnd"/>
            <w:r w:rsidRPr="00974F97">
              <w:t xml:space="preserve"> et al., 2023; </w:t>
            </w:r>
            <w:proofErr w:type="spellStart"/>
            <w:r w:rsidRPr="00974F97">
              <w:t>Ziaeefard</w:t>
            </w:r>
            <w:proofErr w:type="spellEnd"/>
            <w:r w:rsidRPr="00974F97">
              <w:t xml:space="preserve"> et al., 2017; </w:t>
            </w:r>
            <w:proofErr w:type="spellStart"/>
            <w:r w:rsidRPr="00974F97">
              <w:t>Zaharin</w:t>
            </w:r>
            <w:proofErr w:type="spellEnd"/>
            <w:r w:rsidRPr="00974F97">
              <w:t xml:space="preserve"> et al., 2019; Chen et al., 2023; Korte et al., 2025; Chang &amp; Chen, 2020; Ching et al., 2019; </w:t>
            </w:r>
            <w:proofErr w:type="spellStart"/>
            <w:r w:rsidRPr="00974F97">
              <w:t>Arís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Orcos</w:t>
            </w:r>
            <w:proofErr w:type="spellEnd"/>
            <w:r w:rsidRPr="00974F97">
              <w:t>, 2019</w:t>
            </w:r>
          </w:p>
        </w:tc>
        <w:tc>
          <w:tcPr>
            <w:tcW w:w="0" w:type="auto"/>
            <w:hideMark/>
          </w:tcPr>
          <w:p w14:paraId="458E3E82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۲۶</w:t>
            </w:r>
          </w:p>
        </w:tc>
      </w:tr>
      <w:tr w:rsidR="00974F97" w:rsidRPr="00974F97" w14:paraId="2CA6B5E4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234E7EF5" w14:textId="77777777" w:rsidR="00974F97" w:rsidRPr="00974F97" w:rsidRDefault="00974F97" w:rsidP="00272BB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6931AE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۳.۲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شکاف‌های جنسیتی و طراحی حساس به جنسیت</w:t>
            </w:r>
          </w:p>
        </w:tc>
        <w:tc>
          <w:tcPr>
            <w:tcW w:w="0" w:type="auto"/>
            <w:hideMark/>
          </w:tcPr>
          <w:p w14:paraId="7FA3AE48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تفاوت‌های جنسیتی در خودکارآمدی، نگرش و عملکرد (</w:t>
            </w:r>
            <w:r w:rsidRPr="00974F97">
              <w:rPr>
                <w:rtl/>
                <w:lang w:bidi="fa-IR"/>
              </w:rPr>
              <w:t xml:space="preserve">۸): </w:t>
            </w:r>
            <w:r w:rsidRPr="00974F97">
              <w:rPr>
                <w:rtl/>
              </w:rPr>
              <w:t>سطوح متفاوت اعتمادبه‌نفس و علاقه بین دختران و پسران، در صورت بی‌توجهی می‌تواند نابرابری را تشدید کند (مانع)؛ طراحی فراگیر می‌تواند این شکاف را کاهش دهد (تسهیل‌گر). / ترجیحات متفاوت برای نوع وظایف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گرایش پسران به ساخت و دختران به برنامه‌نویسی یا همکاری، لزوم طراحی متنوع را نشان می‌دهد (تسهیل‌گر/مانع). / تأثیر مثبت یادگیری کاوشگرانه و مشارکتی بر دختران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وظایف غنی از زمینه و همیارانه، اعتمادبه‌نفس حل مسئله را در دختران افزایش می‌دهد (تسهیل‌گر). / عدم وجود تفاوت جنسیتی معنادار در برخی بسترها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در برخی مداخلات، جنسیت بر نتایج تأثیر ندارد که نشان‌دهنده قابلیت طراحی عادلانه است (تسهیل‌گر). / نیاز به رویکردهای آموزشی متنوع و حساس به جنسیت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طراحی فعالیت‌ها با در نظر گرفتن نیازهای هر دو جنس برای به حداکثر رساندن اثربخشی (تسهیل‌گر). / تمایز طراحی پروژه بر اساس جنسیت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ممکن است پروژه‌های انفرادی برای پسران و تیمی برای دختران نتایج بهتری داشته باشد (تسهیل‌گر در صورت تطبیق). / محیط یادگیری جذاب رباتیک و کاهش شکاف جنسیتی در جوامع سنتی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 xml:space="preserve">برنامه‌های رباتیک می‌توانند دختران را بیشتر جذب </w:t>
            </w:r>
            <w:r w:rsidRPr="00974F97">
              <w:rPr>
                <w:rtl/>
              </w:rPr>
              <w:lastRenderedPageBreak/>
              <w:t>کرده و به توانمندسازی آن‌ها کمک کنند (تسهیل‌گر)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45620AB3" w14:textId="77777777" w:rsidR="00974F97" w:rsidRPr="00974F97" w:rsidRDefault="00974F97" w:rsidP="00272BBC">
            <w:pPr>
              <w:spacing w:after="160" w:line="278" w:lineRule="auto"/>
            </w:pPr>
            <w:proofErr w:type="spellStart"/>
            <w:r w:rsidRPr="00974F97">
              <w:lastRenderedPageBreak/>
              <w:t>Durak</w:t>
            </w:r>
            <w:proofErr w:type="spellEnd"/>
            <w:r w:rsidRPr="00974F97">
              <w:t xml:space="preserve"> et al., 2019; Su et al., 2025; </w:t>
            </w:r>
            <w:proofErr w:type="spellStart"/>
            <w:r w:rsidRPr="00974F97">
              <w:t>Ziaeefard</w:t>
            </w:r>
            <w:proofErr w:type="spellEnd"/>
            <w:r w:rsidRPr="00974F97">
              <w:t xml:space="preserve"> et al., 2017; Noh &amp; Lee, 2020; van </w:t>
            </w:r>
            <w:proofErr w:type="spellStart"/>
            <w:r w:rsidRPr="00974F97">
              <w:t>Wassenaer</w:t>
            </w:r>
            <w:proofErr w:type="spellEnd"/>
            <w:r w:rsidRPr="00974F97">
              <w:t xml:space="preserve"> et al., 2023;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et al., 2026;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&amp; Rosenberg, 2025; </w:t>
            </w:r>
            <w:proofErr w:type="spellStart"/>
            <w:r w:rsidRPr="00974F97">
              <w:t>Nannim</w:t>
            </w:r>
            <w:proofErr w:type="spellEnd"/>
            <w:r w:rsidRPr="00974F97">
              <w:t xml:space="preserve"> et al., 2024; 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de </w:t>
            </w:r>
            <w:proofErr w:type="spellStart"/>
            <w:r w:rsidRPr="00974F97">
              <w:t>Vink</w:t>
            </w:r>
            <w:proofErr w:type="spellEnd"/>
            <w:r w:rsidRPr="00974F97">
              <w:t xml:space="preserve"> et al., 2022; </w:t>
            </w:r>
            <w:proofErr w:type="spellStart"/>
            <w:r w:rsidRPr="00974F97">
              <w:t>Angeli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Valanides</w:t>
            </w:r>
            <w:proofErr w:type="spellEnd"/>
            <w:r w:rsidRPr="00974F97">
              <w:t xml:space="preserve">, 2020; </w:t>
            </w:r>
            <w:proofErr w:type="spellStart"/>
            <w:r w:rsidRPr="00974F97">
              <w:t>Walma</w:t>
            </w:r>
            <w:proofErr w:type="spellEnd"/>
            <w:r w:rsidRPr="00974F97">
              <w:t xml:space="preserve"> van der </w:t>
            </w:r>
            <w:proofErr w:type="spellStart"/>
            <w:r w:rsidRPr="00974F97">
              <w:t>Molen</w:t>
            </w:r>
            <w:proofErr w:type="spellEnd"/>
            <w:r w:rsidRPr="00974F97">
              <w:t xml:space="preserve"> et al., 2023; Sullivan &amp; Bers, 2018; </w:t>
            </w:r>
            <w:proofErr w:type="spellStart"/>
            <w:r w:rsidRPr="00974F97">
              <w:t>Akman</w:t>
            </w:r>
            <w:proofErr w:type="spellEnd"/>
            <w:r w:rsidRPr="00974F97">
              <w:t xml:space="preserve"> </w:t>
            </w:r>
            <w:proofErr w:type="spellStart"/>
            <w:r w:rsidRPr="00974F97">
              <w:t>Selcuk</w:t>
            </w:r>
            <w:proofErr w:type="spellEnd"/>
            <w:r w:rsidRPr="00974F97">
              <w:t xml:space="preserve"> et al., 2024; </w:t>
            </w:r>
            <w:proofErr w:type="spellStart"/>
            <w:r w:rsidRPr="00974F97">
              <w:t>Yildiz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Seferoğlu</w:t>
            </w:r>
            <w:proofErr w:type="spellEnd"/>
            <w:r w:rsidRPr="00974F97">
              <w:t>, 2021; Zhang et al., 2025</w:t>
            </w:r>
          </w:p>
        </w:tc>
        <w:tc>
          <w:tcPr>
            <w:tcW w:w="0" w:type="auto"/>
            <w:hideMark/>
          </w:tcPr>
          <w:p w14:paraId="5D414952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  <w:lang w:bidi="fa-IR"/>
              </w:rPr>
              <w:t>۱۴</w:t>
            </w:r>
          </w:p>
        </w:tc>
      </w:tr>
      <w:tr w:rsidR="00974F97" w:rsidRPr="00974F97" w14:paraId="721A2B4E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129CC346" w14:textId="77777777" w:rsidR="00974F97" w:rsidRPr="00974F97" w:rsidRDefault="00974F97" w:rsidP="00272BB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FC06EF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۳.۳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دانش پیشین و آمادگی رشدی-شناختی</w:t>
            </w:r>
          </w:p>
        </w:tc>
        <w:tc>
          <w:tcPr>
            <w:tcW w:w="0" w:type="auto"/>
            <w:hideMark/>
          </w:tcPr>
          <w:p w14:paraId="39A2C2A3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تأثیر تجربه و دانش قبلی در رباتیک و برنامه‌نویسی (</w:t>
            </w:r>
            <w:r w:rsidRPr="00974F97">
              <w:rPr>
                <w:rtl/>
                <w:lang w:bidi="fa-IR"/>
              </w:rPr>
              <w:t xml:space="preserve">۵): </w:t>
            </w:r>
            <w:r w:rsidRPr="00974F97">
              <w:rPr>
                <w:rtl/>
              </w:rPr>
              <w:t>سابقه کدنویسی یا کار با لگو، یادگیری را تسهیل کرده و به موفقیت بیشتر می‌انجامد (تسهیل‌گر/مانع). / سن و سطح بلوغ شناختی (</w:t>
            </w:r>
            <w:r w:rsidRPr="00974F97">
              <w:rPr>
                <w:rtl/>
                <w:lang w:bidi="fa-IR"/>
              </w:rPr>
              <w:t xml:space="preserve">۳): </w:t>
            </w:r>
            <w:r w:rsidRPr="00974F97">
              <w:rPr>
                <w:rtl/>
              </w:rPr>
              <w:t>کودکان کم‌سن‌تر ذهن بازتری دارند اما درک مفاهیم انتزاعی برایشان دشوارتر است؛ دانش‌آموزان بزرگ‌تر ممکن است نگرش‌های تثبیت‌شده‌تری داشته باشند (تسهیل‌گر/مانع). / دانش ریاضی به عنوان پیش‌نیاز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محدودیت در مفاهیمی مانند دستگاه مختصات دکارتی، کدنویسی را مختل می‌کند (مانع). / درک فضایی حاصل از بازی‌های سه‌بعدی</w:t>
            </w:r>
            <w:r w:rsidRPr="00974F97">
              <w:t xml:space="preserve"> (</w:t>
            </w:r>
            <w:r w:rsidRPr="00974F97">
              <w:rPr>
                <w:rtl/>
              </w:rPr>
              <w:t>مانند</w:t>
            </w:r>
            <w:r w:rsidRPr="00974F97">
              <w:t xml:space="preserve"> Minecraft) (</w:t>
            </w:r>
            <w:r w:rsidRPr="00974F97">
              <w:rPr>
                <w:rtl/>
                <w:lang w:bidi="fa-IR"/>
              </w:rPr>
              <w:t>۱</w:t>
            </w:r>
            <w:r w:rsidRPr="00974F97">
              <w:t xml:space="preserve">): </w:t>
            </w:r>
            <w:r w:rsidRPr="00974F97">
              <w:rPr>
                <w:rtl/>
              </w:rPr>
              <w:t>تجربه قبلی با این بازی‌ها، درک مفاهیم فضایی را تسهیل می‌کند (تسهیل‌گر). / خودانتخابی و انگیزه اولیه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دانش‌آموزان داوطلب با انگیزه بالاتر، دستاوردهای بیشتری دارند (تسهیل‌گر/مانع). / سطح پایه خودتنظیمی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کودکان با خودتنظیمی پایین‌تر، بیشترین پیشرفت را از طریق برنامه‌نویسی ربات کسب می‌کنند (تسهیل‌گر). / نبود پیشینه قبلی برنامه‌نویسی در محیط‌های بلوکی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در محیط‌های ساده مانند</w:t>
            </w:r>
            <w:r w:rsidRPr="00974F97">
              <w:t xml:space="preserve"> Scratch</w:t>
            </w:r>
            <w:r w:rsidRPr="00974F97">
              <w:rPr>
                <w:rtl/>
              </w:rPr>
              <w:t>، نبود پیشینه می‌تواند به خودکارآمدی بالاتر منجر شود (تسهیل‌گر)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3411A974" w14:textId="77777777" w:rsidR="00974F97" w:rsidRPr="00974F97" w:rsidRDefault="00974F97" w:rsidP="00272BBC">
            <w:pPr>
              <w:spacing w:after="160" w:line="278" w:lineRule="auto"/>
            </w:pPr>
            <w:proofErr w:type="spellStart"/>
            <w:r w:rsidRPr="00974F97">
              <w:t>Kert</w:t>
            </w:r>
            <w:proofErr w:type="spellEnd"/>
            <w:r w:rsidRPr="00974F97">
              <w:t xml:space="preserve"> et al., 2020; </w:t>
            </w:r>
            <w:proofErr w:type="spellStart"/>
            <w:r w:rsidRPr="00974F97">
              <w:t>Yildiz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Seferoğlu</w:t>
            </w:r>
            <w:proofErr w:type="spellEnd"/>
            <w:r w:rsidRPr="00974F97">
              <w:t xml:space="preserve">, 2021; de </w:t>
            </w:r>
            <w:proofErr w:type="spellStart"/>
            <w:r w:rsidRPr="00974F97">
              <w:t>Vink</w:t>
            </w:r>
            <w:proofErr w:type="spellEnd"/>
            <w:r w:rsidRPr="00974F97">
              <w:t xml:space="preserve"> et al., 2022; Sullivan &amp; Bers, 2018; Noh &amp; Lee, 2020;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et al., 2026; </w:t>
            </w:r>
            <w:proofErr w:type="spellStart"/>
            <w:r w:rsidRPr="00974F97">
              <w:t>Jaipal-Jamani</w:t>
            </w:r>
            <w:proofErr w:type="spellEnd"/>
            <w:r w:rsidRPr="00974F97">
              <w:t xml:space="preserve">, 2023; </w:t>
            </w:r>
            <w:proofErr w:type="spellStart"/>
            <w:r w:rsidRPr="00974F97">
              <w:t>Kopcha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Ntemngwa</w:t>
            </w:r>
            <w:proofErr w:type="spellEnd"/>
            <w:r w:rsidRPr="00974F97">
              <w:t xml:space="preserve"> &amp; Oliver, 2018; Yang et al., 2022; </w:t>
            </w:r>
            <w:proofErr w:type="spellStart"/>
            <w:r w:rsidRPr="00974F97">
              <w:t>Nannim</w:t>
            </w:r>
            <w:proofErr w:type="spellEnd"/>
            <w:r w:rsidRPr="00974F97">
              <w:t xml:space="preserve"> et al., 2025; </w:t>
            </w:r>
            <w:proofErr w:type="spellStart"/>
            <w:r w:rsidRPr="00974F97">
              <w:t>Akman</w:t>
            </w:r>
            <w:proofErr w:type="spellEnd"/>
            <w:r w:rsidRPr="00974F97">
              <w:t xml:space="preserve"> </w:t>
            </w:r>
            <w:proofErr w:type="spellStart"/>
            <w:r w:rsidRPr="00974F97">
              <w:t>Selcuk</w:t>
            </w:r>
            <w:proofErr w:type="spellEnd"/>
            <w:r w:rsidRPr="00974F97">
              <w:t xml:space="preserve"> et al., 2024; Yilmaz Ince &amp; </w:t>
            </w:r>
            <w:proofErr w:type="spellStart"/>
            <w:r w:rsidRPr="00974F97">
              <w:t>Koc</w:t>
            </w:r>
            <w:proofErr w:type="spellEnd"/>
            <w:r w:rsidRPr="00974F97">
              <w:t xml:space="preserve">, 2021; </w:t>
            </w:r>
            <w:proofErr w:type="spellStart"/>
            <w:r w:rsidRPr="00974F97">
              <w:t>Walma</w:t>
            </w:r>
            <w:proofErr w:type="spellEnd"/>
            <w:r w:rsidRPr="00974F97">
              <w:t xml:space="preserve"> van der </w:t>
            </w:r>
            <w:proofErr w:type="spellStart"/>
            <w:r w:rsidRPr="00974F97">
              <w:t>Molen</w:t>
            </w:r>
            <w:proofErr w:type="spellEnd"/>
            <w:r w:rsidRPr="00974F97">
              <w:t xml:space="preserve"> et al., 2023; Zhang et al., 2025; </w:t>
            </w:r>
            <w:proofErr w:type="spellStart"/>
            <w:r w:rsidRPr="00974F97">
              <w:t>Durak</w:t>
            </w:r>
            <w:proofErr w:type="spellEnd"/>
            <w:r w:rsidRPr="00974F97">
              <w:t xml:space="preserve"> et al., 2019; Korte et al., 2025; Ching et al., 2019; Barth-Cohen et al., 2018; </w:t>
            </w:r>
            <w:proofErr w:type="spellStart"/>
            <w:r w:rsidRPr="00974F97">
              <w:t>Merkouris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Chorianopoulos</w:t>
            </w:r>
            <w:proofErr w:type="spellEnd"/>
            <w:r w:rsidRPr="00974F97">
              <w:t xml:space="preserve">, 2019; </w:t>
            </w:r>
            <w:proofErr w:type="spellStart"/>
            <w:r w:rsidRPr="00974F97">
              <w:t>Sapounidis</w:t>
            </w:r>
            <w:proofErr w:type="spellEnd"/>
            <w:r w:rsidRPr="00974F97">
              <w:t xml:space="preserve"> et al., 2015; </w:t>
            </w:r>
            <w:proofErr w:type="spellStart"/>
            <w:r w:rsidRPr="00974F97">
              <w:t>Chiazzese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Ziaeefard</w:t>
            </w:r>
            <w:proofErr w:type="spellEnd"/>
            <w:r w:rsidRPr="00974F97">
              <w:t xml:space="preserve"> et al., 2017; 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</w:t>
            </w:r>
            <w:proofErr w:type="spellStart"/>
            <w:r w:rsidRPr="00974F97">
              <w:t>Coufal</w:t>
            </w:r>
            <w:proofErr w:type="spellEnd"/>
            <w:r w:rsidRPr="00974F97">
              <w:t xml:space="preserve">, 2022; Ragusa &amp; Leung, 2023; Castro et al., 2023; </w:t>
            </w:r>
            <w:proofErr w:type="spellStart"/>
            <w:r w:rsidRPr="00974F97">
              <w:t>Fanchamps</w:t>
            </w:r>
            <w:proofErr w:type="spellEnd"/>
            <w:r w:rsidRPr="00974F97">
              <w:t xml:space="preserve"> et al., 2021; Qu &amp; </w:t>
            </w:r>
            <w:proofErr w:type="spellStart"/>
            <w:r w:rsidRPr="00974F97">
              <w:t>Fok</w:t>
            </w:r>
            <w:proofErr w:type="spellEnd"/>
            <w:r w:rsidRPr="00974F97">
              <w:t>, 2022</w:t>
            </w:r>
          </w:p>
        </w:tc>
        <w:tc>
          <w:tcPr>
            <w:tcW w:w="0" w:type="auto"/>
            <w:hideMark/>
          </w:tcPr>
          <w:p w14:paraId="249E907F" w14:textId="1A08A2CC" w:rsidR="00974F97" w:rsidRPr="00974F97" w:rsidRDefault="004B64DA" w:rsidP="00272BBC">
            <w:pPr>
              <w:spacing w:after="160" w:line="278" w:lineRule="auto"/>
            </w:pPr>
            <w:r w:rsidRPr="004B64DA">
              <w:rPr>
                <w:rFonts w:hint="cs"/>
                <w:highlight w:val="yellow"/>
                <w:rtl/>
                <w:lang w:bidi="fa-IR"/>
              </w:rPr>
              <w:t>13</w:t>
            </w:r>
          </w:p>
        </w:tc>
      </w:tr>
      <w:tr w:rsidR="00974F97" w:rsidRPr="00974F97" w14:paraId="0795637D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70FC4100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lastRenderedPageBreak/>
              <w:t>۴</w:t>
            </w:r>
            <w:r w:rsidRPr="00974F97">
              <w:rPr>
                <w:b/>
                <w:bCs/>
              </w:rPr>
              <w:t xml:space="preserve">. </w:t>
            </w:r>
            <w:r w:rsidRPr="00974F97">
              <w:rPr>
                <w:b/>
                <w:bCs/>
                <w:rtl/>
              </w:rPr>
              <w:t>زیرساخت‌های اکوسیستم آموزشی و صلاحیت‌های مربیان</w:t>
            </w:r>
          </w:p>
        </w:tc>
        <w:tc>
          <w:tcPr>
            <w:tcW w:w="0" w:type="auto"/>
            <w:hideMark/>
          </w:tcPr>
          <w:p w14:paraId="18568BF9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۴.۱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دانش محتوایی-فناورانه-آموزشی</w:t>
            </w:r>
            <w:r w:rsidRPr="00974F97">
              <w:rPr>
                <w:b/>
                <w:bCs/>
              </w:rPr>
              <w:t xml:space="preserve"> (TPACK) </w:t>
            </w:r>
            <w:r w:rsidRPr="00974F97">
              <w:rPr>
                <w:b/>
                <w:bCs/>
                <w:rtl/>
              </w:rPr>
              <w:t>و خودکارآمدی معلمان</w:t>
            </w:r>
          </w:p>
        </w:tc>
        <w:tc>
          <w:tcPr>
            <w:tcW w:w="0" w:type="auto"/>
            <w:hideMark/>
          </w:tcPr>
          <w:p w14:paraId="4B448362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نیاز به دانش فنی و محتوایی معلم (</w:t>
            </w:r>
            <w:r w:rsidRPr="00974F97">
              <w:rPr>
                <w:rtl/>
                <w:lang w:bidi="fa-IR"/>
              </w:rPr>
              <w:t xml:space="preserve">۴): </w:t>
            </w:r>
            <w:r w:rsidRPr="00974F97">
              <w:rPr>
                <w:rtl/>
              </w:rPr>
              <w:t>فقدان مهارت برنامه‌نویسی یا الکترونیک، مانعی اساسی برای اجرای مؤثر رباتیک است (مانع). / معلم به‌عنوان تسهیل‌گر، نه ارائه‌دهنده پاسخ (</w:t>
            </w:r>
            <w:r w:rsidRPr="00974F97">
              <w:rPr>
                <w:rtl/>
                <w:lang w:bidi="fa-IR"/>
              </w:rPr>
              <w:t xml:space="preserve">۲): </w:t>
            </w:r>
            <w:r w:rsidRPr="00974F97">
              <w:rPr>
                <w:rtl/>
              </w:rPr>
              <w:t>عقب‌نشینی آگاهانه معلم و اجازه به تقلای ثمربخش، استقلال دانش‌آموز را پرورش می‌دهد (تسهیل‌گر). / توسعه حرفه‌ای و کارگاه‌های آموزشی (</w:t>
            </w:r>
            <w:r w:rsidRPr="00974F97">
              <w:rPr>
                <w:rtl/>
                <w:lang w:bidi="fa-IR"/>
              </w:rPr>
              <w:t xml:space="preserve">۳): </w:t>
            </w:r>
            <w:r w:rsidRPr="00974F97">
              <w:rPr>
                <w:rtl/>
              </w:rPr>
              <w:t>کارگاه‌های تخصصی علاقه و آمادگی معلمان را افزایش می‌دهد، اما دوره‌های کوتاه‌مدت به‌تنهایی ناکافی هستند (تسهیل‌گر/مانع). / الگوسازی راهبردهای داربست‌بندی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تجربه عملی انواع داربست‌ها، خودکارآمدی معلمان را برای تدریس رباتیک افزایش می‌دهد (تسهیل‌گر). / همکاری با معلم فناوری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حضور یک همکار متخصص، اجرای موفق را تضمین می‌کند (تسهیل‌گر). / اشتیاق و دانش معلمان هم‌تا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معلمان آموزش‌دیده و مشتاق، حتی اگر حرفه‌ای نباشند، می‌توانند مربیان مؤثری باشند (تسهیل‌گر). / تقویت خودکارآمدی معلمان غیر</w:t>
            </w:r>
            <w:r w:rsidRPr="00974F97">
              <w:t xml:space="preserve"> STEM (</w:t>
            </w:r>
            <w:r w:rsidRPr="00974F97">
              <w:rPr>
                <w:rtl/>
                <w:lang w:bidi="fa-IR"/>
              </w:rPr>
              <w:t>۱</w:t>
            </w:r>
            <w:r w:rsidRPr="00974F97">
              <w:t xml:space="preserve">): </w:t>
            </w:r>
            <w:r w:rsidRPr="00974F97">
              <w:rPr>
                <w:rtl/>
              </w:rPr>
              <w:t>مواجهه با پلتفرم‌های مناسب، احساس توانمندی برای تدریس</w:t>
            </w:r>
            <w:r w:rsidRPr="00974F97">
              <w:t xml:space="preserve"> STEM </w:t>
            </w:r>
            <w:r w:rsidRPr="00974F97">
              <w:rPr>
                <w:rtl/>
              </w:rPr>
              <w:t>را در معلمان با پیش‌زمینه غیرفنی افزایش می‌دهد (تسهیل‌گر). / کمبود اعتمادبه‌نفس معلمان در کار با ربات و برنامه‌نویسی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نبود اطمینان در استفاده از فناوری، مانعی جدی برای ادغام رباتیک در کلاس است (مانع)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1E711BB9" w14:textId="77777777" w:rsidR="00974F97" w:rsidRPr="00974F97" w:rsidRDefault="00974F97" w:rsidP="00272BBC">
            <w:pPr>
              <w:spacing w:after="160" w:line="278" w:lineRule="auto"/>
            </w:pPr>
            <w:proofErr w:type="spellStart"/>
            <w:r w:rsidRPr="00974F97">
              <w:t>Ntemngwa</w:t>
            </w:r>
            <w:proofErr w:type="spellEnd"/>
            <w:r w:rsidRPr="00974F97">
              <w:t xml:space="preserve"> &amp; Oliver, 2018; </w:t>
            </w:r>
            <w:proofErr w:type="spellStart"/>
            <w:r w:rsidRPr="00974F97">
              <w:t>Kopcha</w:t>
            </w:r>
            <w:proofErr w:type="spellEnd"/>
            <w:r w:rsidRPr="00974F97">
              <w:t xml:space="preserve"> et al., 2017; </w:t>
            </w:r>
            <w:proofErr w:type="spellStart"/>
            <w:r w:rsidRPr="00974F97">
              <w:t>Jaipal-Jamani</w:t>
            </w:r>
            <w:proofErr w:type="spellEnd"/>
            <w:r w:rsidRPr="00974F97">
              <w:t xml:space="preserve">, 2023; 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</w:t>
            </w:r>
            <w:proofErr w:type="spellStart"/>
            <w:r w:rsidRPr="00974F97">
              <w:t>Kert</w:t>
            </w:r>
            <w:proofErr w:type="spellEnd"/>
            <w:r w:rsidRPr="00974F97">
              <w:t xml:space="preserve"> et al., 2020; Yang et al., 2022; </w:t>
            </w:r>
            <w:proofErr w:type="spellStart"/>
            <w:r w:rsidRPr="00974F97">
              <w:t>Nannim</w:t>
            </w:r>
            <w:proofErr w:type="spellEnd"/>
            <w:r w:rsidRPr="00974F97">
              <w:t xml:space="preserve"> et al., 2025; de </w:t>
            </w:r>
            <w:proofErr w:type="spellStart"/>
            <w:r w:rsidRPr="00974F97">
              <w:t>Vink</w:t>
            </w:r>
            <w:proofErr w:type="spellEnd"/>
            <w:r w:rsidRPr="00974F97">
              <w:t xml:space="preserve"> et al., 2022; Kim et al., 2019; </w:t>
            </w:r>
            <w:proofErr w:type="spellStart"/>
            <w:r w:rsidRPr="00974F97">
              <w:t>Dorouka</w:t>
            </w:r>
            <w:proofErr w:type="spellEnd"/>
            <w:r w:rsidRPr="00974F97">
              <w:t xml:space="preserve"> et al., 2020; </w:t>
            </w:r>
            <w:proofErr w:type="spellStart"/>
            <w:r w:rsidRPr="00974F97">
              <w:t>Zaharin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Ziaeefard</w:t>
            </w:r>
            <w:proofErr w:type="spellEnd"/>
            <w:r w:rsidRPr="00974F97">
              <w:t xml:space="preserve"> et al., 2017; Chang &amp; Chen, 2020; Korte et al., 2025; Ching et al., 2019; Castro et al., 2023; </w:t>
            </w:r>
            <w:proofErr w:type="spellStart"/>
            <w:r w:rsidRPr="00974F97">
              <w:t>Cahyono</w:t>
            </w:r>
            <w:proofErr w:type="spellEnd"/>
            <w:r w:rsidRPr="00974F97">
              <w:t xml:space="preserve"> et al., 2021; Kaya et al., 2017; </w:t>
            </w:r>
            <w:proofErr w:type="spellStart"/>
            <w:r w:rsidRPr="00974F97">
              <w:t>Yildiz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Seferoğlu</w:t>
            </w:r>
            <w:proofErr w:type="spellEnd"/>
            <w:r w:rsidRPr="00974F97">
              <w:t xml:space="preserve">, 2021; </w:t>
            </w:r>
            <w:proofErr w:type="spellStart"/>
            <w:r w:rsidRPr="00974F97">
              <w:t>Arís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Orcos</w:t>
            </w:r>
            <w:proofErr w:type="spellEnd"/>
            <w:r w:rsidRPr="00974F97">
              <w:t>, 2019</w:t>
            </w:r>
          </w:p>
        </w:tc>
        <w:tc>
          <w:tcPr>
            <w:tcW w:w="0" w:type="auto"/>
            <w:hideMark/>
          </w:tcPr>
          <w:p w14:paraId="744148DE" w14:textId="10EA8F6E" w:rsidR="00974F97" w:rsidRPr="00974F97" w:rsidRDefault="004B64DA" w:rsidP="00272BBC">
            <w:pPr>
              <w:spacing w:after="160" w:line="278" w:lineRule="auto"/>
            </w:pPr>
            <w:r w:rsidRPr="004B64DA">
              <w:rPr>
                <w:rFonts w:hint="cs"/>
                <w:highlight w:val="yellow"/>
                <w:rtl/>
                <w:lang w:bidi="fa-IR"/>
              </w:rPr>
              <w:t>14</w:t>
            </w:r>
          </w:p>
        </w:tc>
      </w:tr>
      <w:tr w:rsidR="00974F97" w:rsidRPr="00974F97" w14:paraId="0EC87C0B" w14:textId="77777777" w:rsidTr="00272BBC">
        <w:trPr>
          <w:cantSplit/>
          <w:trHeight w:val="1134"/>
        </w:trPr>
        <w:tc>
          <w:tcPr>
            <w:tcW w:w="0" w:type="auto"/>
            <w:hideMark/>
          </w:tcPr>
          <w:p w14:paraId="09166930" w14:textId="77777777" w:rsidR="00974F97" w:rsidRPr="00974F97" w:rsidRDefault="00974F97" w:rsidP="00272BB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CE0172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b/>
                <w:bCs/>
                <w:rtl/>
                <w:lang w:bidi="fa-IR"/>
              </w:rPr>
              <w:t>۴.۲</w:t>
            </w:r>
            <w:r w:rsidRPr="00974F97">
              <w:rPr>
                <w:b/>
                <w:bCs/>
              </w:rPr>
              <w:t xml:space="preserve"> </w:t>
            </w:r>
            <w:r w:rsidRPr="00974F97">
              <w:rPr>
                <w:b/>
                <w:bCs/>
                <w:rtl/>
              </w:rPr>
              <w:t>محدودیت‌های لجستیکی، زمانی و اقتصادی</w:t>
            </w:r>
          </w:p>
        </w:tc>
        <w:tc>
          <w:tcPr>
            <w:tcW w:w="0" w:type="auto"/>
            <w:hideMark/>
          </w:tcPr>
          <w:p w14:paraId="691A564B" w14:textId="77777777" w:rsidR="00974F97" w:rsidRPr="00974F97" w:rsidRDefault="00974F97" w:rsidP="00272BBC">
            <w:pPr>
              <w:spacing w:after="160" w:line="278" w:lineRule="auto"/>
            </w:pPr>
            <w:r w:rsidRPr="00974F97">
              <w:rPr>
                <w:rtl/>
              </w:rPr>
              <w:t>محدودیت منابع و هزینه‌ها (</w:t>
            </w:r>
            <w:r w:rsidRPr="00974F97">
              <w:rPr>
                <w:rtl/>
                <w:lang w:bidi="fa-IR"/>
              </w:rPr>
              <w:t xml:space="preserve">۵): </w:t>
            </w:r>
            <w:r w:rsidRPr="00974F97">
              <w:rPr>
                <w:rtl/>
              </w:rPr>
              <w:t>کمبود کیت‌های رباتیک، لپ‌تاپ و هزینه بالای تجهیزات، مانع اصلی اجرای گسترده است (مانع)؛ در مقابل، قطعات ارزان‌قیمت و قابل دسترس، مقیاس‌پذیری را افزایش می‌دهند (تسهیل‌گر). / زمان ناکافی برای تسلط (</w:t>
            </w:r>
            <w:r w:rsidRPr="00974F97">
              <w:rPr>
                <w:rtl/>
                <w:lang w:bidi="fa-IR"/>
              </w:rPr>
              <w:t xml:space="preserve">۴): </w:t>
            </w:r>
            <w:r w:rsidRPr="00974F97">
              <w:rPr>
                <w:rtl/>
              </w:rPr>
              <w:t>فشردگی ساعات درسی، مانع از یادگیری عمیق، تأمل و تکمیل پروژه‌ها می‌شود (مانع). / پشتیبانی سازمانی و سیاست‌های آموزشی (</w:t>
            </w:r>
            <w:r w:rsidRPr="00974F97">
              <w:rPr>
                <w:rtl/>
                <w:lang w:bidi="fa-IR"/>
              </w:rPr>
              <w:t xml:space="preserve">۲): </w:t>
            </w:r>
            <w:r w:rsidRPr="00974F97">
              <w:rPr>
                <w:rtl/>
              </w:rPr>
              <w:t>نبود حمایت مدیریتی، هم‌راستایی با برنامه درسی یا سیاست‌های تشویقی، پذیرش را محدود می‌کند (مانع). / نیاز به فضای کارگاهی اختصاصی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محیط فیزیکی مجهز، یادگیری عملی را تسهیل می‌کند (تسهیل‌گر). / هنجارهای فرهنگی و نبود سیاست‌های تسهیل‌کننده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ابهام در مقررات یا هنجارهای فرهنگی (مانند استفاده از دوربین)، مانع تعامل کامل می‌شود (مانع). / مشارکت خانواده و اجتماع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آگاهی‌بخشی به والدین و نمایش دستاوردها، یادگیری را تقویت کرده و پشتیبانی مضاعفی ایجاد می‌کند (تسهیل‌گر). / محدودیت دسترسی به تجهیزات در خارج از کلاس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عدم امکان تمرین در خانه، فرصت تسلط بر مهارت‌ها را کاهش می‌دهد (مانع). / دشواری معلمان در ادغام رباتیک با برنامه درسی (</w:t>
            </w:r>
            <w:r w:rsidRPr="00974F97">
              <w:rPr>
                <w:rtl/>
                <w:lang w:bidi="fa-IR"/>
              </w:rPr>
              <w:t xml:space="preserve">۱): </w:t>
            </w:r>
            <w:r w:rsidRPr="00974F97">
              <w:rPr>
                <w:rtl/>
              </w:rPr>
              <w:t>کمبود ایده و خلاقیت برای تلفیق رباتیک با محتوای درسی (مانع)</w:t>
            </w:r>
            <w:r w:rsidRPr="00974F97">
              <w:t>.</w:t>
            </w:r>
          </w:p>
        </w:tc>
        <w:tc>
          <w:tcPr>
            <w:tcW w:w="0" w:type="auto"/>
            <w:hideMark/>
          </w:tcPr>
          <w:p w14:paraId="326D59F5" w14:textId="77777777" w:rsidR="00974F97" w:rsidRPr="00974F97" w:rsidRDefault="00974F97" w:rsidP="00272BBC">
            <w:pPr>
              <w:spacing w:after="160" w:line="278" w:lineRule="auto"/>
            </w:pPr>
            <w:proofErr w:type="spellStart"/>
            <w:r w:rsidRPr="00974F97">
              <w:t>Nannim</w:t>
            </w:r>
            <w:proofErr w:type="spellEnd"/>
            <w:r w:rsidRPr="00974F97">
              <w:t xml:space="preserve"> et al., 2025; </w:t>
            </w:r>
            <w:proofErr w:type="spellStart"/>
            <w:r w:rsidRPr="00974F97">
              <w:t>Ntemngwa</w:t>
            </w:r>
            <w:proofErr w:type="spellEnd"/>
            <w:r w:rsidRPr="00974F97">
              <w:t xml:space="preserve"> &amp; Oliver, 2018; </w:t>
            </w:r>
            <w:proofErr w:type="spellStart"/>
            <w:r w:rsidRPr="00974F97">
              <w:t>Kopcha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Akman</w:t>
            </w:r>
            <w:proofErr w:type="spellEnd"/>
            <w:r w:rsidRPr="00974F97">
              <w:t xml:space="preserve"> </w:t>
            </w:r>
            <w:proofErr w:type="spellStart"/>
            <w:r w:rsidRPr="00974F97">
              <w:t>Selcuk</w:t>
            </w:r>
            <w:proofErr w:type="spellEnd"/>
            <w:r w:rsidRPr="00974F97">
              <w:t xml:space="preserve"> et al., 2024; Yang et al., 2022; </w:t>
            </w:r>
            <w:proofErr w:type="spellStart"/>
            <w:r w:rsidRPr="00974F97">
              <w:t>Kert</w:t>
            </w:r>
            <w:proofErr w:type="spellEnd"/>
            <w:r w:rsidRPr="00974F97">
              <w:t xml:space="preserve"> et al., 2020; Barak &amp; </w:t>
            </w:r>
            <w:proofErr w:type="spellStart"/>
            <w:r w:rsidRPr="00974F97">
              <w:t>Assal</w:t>
            </w:r>
            <w:proofErr w:type="spellEnd"/>
            <w:r w:rsidRPr="00974F97">
              <w:t xml:space="preserve">, 2018; </w:t>
            </w:r>
            <w:proofErr w:type="spellStart"/>
            <w:r w:rsidRPr="00974F97">
              <w:t>Ziaeefard</w:t>
            </w:r>
            <w:proofErr w:type="spellEnd"/>
            <w:r w:rsidRPr="00974F97">
              <w:t xml:space="preserve"> et al., 2017; Ching et al., 2019; </w:t>
            </w:r>
            <w:proofErr w:type="spellStart"/>
            <w:r w:rsidRPr="00974F97">
              <w:t>Alsoliman</w:t>
            </w:r>
            <w:proofErr w:type="spellEnd"/>
            <w:r w:rsidRPr="00974F97">
              <w:t xml:space="preserve">, 2022; de </w:t>
            </w:r>
            <w:proofErr w:type="spellStart"/>
            <w:r w:rsidRPr="00974F97">
              <w:t>Vink</w:t>
            </w:r>
            <w:proofErr w:type="spellEnd"/>
            <w:r w:rsidRPr="00974F97">
              <w:t xml:space="preserve"> et al., 2022; </w:t>
            </w:r>
            <w:proofErr w:type="spellStart"/>
            <w:r w:rsidRPr="00974F97">
              <w:t>Durak</w:t>
            </w:r>
            <w:proofErr w:type="spellEnd"/>
            <w:r w:rsidRPr="00974F97">
              <w:t xml:space="preserve"> et al., 2019; </w:t>
            </w:r>
            <w:proofErr w:type="spellStart"/>
            <w:r w:rsidRPr="00974F97">
              <w:t>Zaharin</w:t>
            </w:r>
            <w:proofErr w:type="spellEnd"/>
            <w:r w:rsidRPr="00974F97">
              <w:t xml:space="preserve"> et al., 2019; Kim et al., 2019; </w:t>
            </w:r>
            <w:proofErr w:type="spellStart"/>
            <w:r w:rsidRPr="00974F97">
              <w:t>Merkouris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Chorianopoulos</w:t>
            </w:r>
            <w:proofErr w:type="spellEnd"/>
            <w:r w:rsidRPr="00974F97">
              <w:t xml:space="preserve">, 2019; Castro et al., 2023; Chang &amp; Chen, 2020; Ragusa &amp; Leung, 2023; Yilmaz Ince &amp; </w:t>
            </w:r>
            <w:proofErr w:type="spellStart"/>
            <w:r w:rsidRPr="00974F97">
              <w:t>Koc</w:t>
            </w:r>
            <w:proofErr w:type="spellEnd"/>
            <w:r w:rsidRPr="00974F97">
              <w:t xml:space="preserve">, 2021; </w:t>
            </w:r>
            <w:proofErr w:type="spellStart"/>
            <w:r w:rsidRPr="00974F97">
              <w:t>Coufal</w:t>
            </w:r>
            <w:proofErr w:type="spellEnd"/>
            <w:r w:rsidRPr="00974F97">
              <w:t xml:space="preserve">, 2022; </w:t>
            </w:r>
            <w:proofErr w:type="spellStart"/>
            <w:r w:rsidRPr="00974F97">
              <w:t>Fanchamps</w:t>
            </w:r>
            <w:proofErr w:type="spellEnd"/>
            <w:r w:rsidRPr="00974F97">
              <w:t xml:space="preserve"> et al., 2021;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&amp; Rosenberg, 2025; </w:t>
            </w:r>
            <w:proofErr w:type="spellStart"/>
            <w:r w:rsidRPr="00974F97">
              <w:t>Zviel-Girshin</w:t>
            </w:r>
            <w:proofErr w:type="spellEnd"/>
            <w:r w:rsidRPr="00974F97">
              <w:t xml:space="preserve"> et al., 2026; </w:t>
            </w:r>
            <w:proofErr w:type="spellStart"/>
            <w:r w:rsidRPr="00974F97">
              <w:t>Nannim</w:t>
            </w:r>
            <w:proofErr w:type="spellEnd"/>
            <w:r w:rsidRPr="00974F97">
              <w:t xml:space="preserve"> et al., 2024; </w:t>
            </w:r>
            <w:proofErr w:type="spellStart"/>
            <w:r w:rsidRPr="00974F97">
              <w:t>Selcuk</w:t>
            </w:r>
            <w:proofErr w:type="spellEnd"/>
            <w:r w:rsidRPr="00974F97">
              <w:t xml:space="preserve"> et al., 2024; </w:t>
            </w:r>
            <w:proofErr w:type="spellStart"/>
            <w:r w:rsidRPr="00974F97">
              <w:t>Dökme</w:t>
            </w:r>
            <w:proofErr w:type="spellEnd"/>
            <w:r w:rsidRPr="00974F97">
              <w:t xml:space="preserve"> &amp; </w:t>
            </w:r>
            <w:proofErr w:type="spellStart"/>
            <w:r w:rsidRPr="00974F97">
              <w:t>Hancıoğlu</w:t>
            </w:r>
            <w:proofErr w:type="spellEnd"/>
            <w:r w:rsidRPr="00974F97">
              <w:t xml:space="preserve">, 2025; Torres et al., 2025; Boya-Lara et al., 2022; </w:t>
            </w:r>
            <w:proofErr w:type="spellStart"/>
            <w:r w:rsidRPr="00974F97">
              <w:t>Cahyono</w:t>
            </w:r>
            <w:proofErr w:type="spellEnd"/>
            <w:r w:rsidRPr="00974F97">
              <w:t xml:space="preserve"> et al., 2021; Zhong et al., 2022</w:t>
            </w:r>
          </w:p>
        </w:tc>
        <w:tc>
          <w:tcPr>
            <w:tcW w:w="0" w:type="auto"/>
            <w:hideMark/>
          </w:tcPr>
          <w:p w14:paraId="2820D642" w14:textId="00415B97" w:rsidR="00974F97" w:rsidRPr="00974F97" w:rsidRDefault="004B64DA" w:rsidP="00272BBC">
            <w:pPr>
              <w:spacing w:after="160" w:line="278" w:lineRule="auto"/>
            </w:pPr>
            <w:r w:rsidRPr="004B64DA">
              <w:rPr>
                <w:rFonts w:hint="cs"/>
                <w:highlight w:val="yellow"/>
                <w:rtl/>
                <w:lang w:bidi="fa-IR"/>
              </w:rPr>
              <w:t>16</w:t>
            </w:r>
          </w:p>
        </w:tc>
      </w:tr>
    </w:tbl>
    <w:p w14:paraId="2A363402" w14:textId="77777777" w:rsidR="00F6099A" w:rsidRDefault="00F6099A"/>
    <w:sectPr w:rsidR="00F6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BC"/>
    <w:rsid w:val="000C1455"/>
    <w:rsid w:val="001E0185"/>
    <w:rsid w:val="001E6855"/>
    <w:rsid w:val="00260A99"/>
    <w:rsid w:val="00272BBC"/>
    <w:rsid w:val="00322348"/>
    <w:rsid w:val="003D3FAE"/>
    <w:rsid w:val="003E1619"/>
    <w:rsid w:val="004B64DA"/>
    <w:rsid w:val="007454BC"/>
    <w:rsid w:val="007A6A66"/>
    <w:rsid w:val="00924849"/>
    <w:rsid w:val="00974F97"/>
    <w:rsid w:val="00A16C8D"/>
    <w:rsid w:val="00A3786C"/>
    <w:rsid w:val="00A47F45"/>
    <w:rsid w:val="00C5528E"/>
    <w:rsid w:val="00E76681"/>
    <w:rsid w:val="00F6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4870"/>
  <w15:chartTrackingRefBased/>
  <w15:docId w15:val="{FBCD3E5E-C0E7-460C-B11C-EF74A696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4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2844</Words>
  <Characters>16215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p</dc:creator>
  <cp:keywords/>
  <dc:description/>
  <cp:lastModifiedBy>yasaman safari</cp:lastModifiedBy>
  <cp:revision>2</cp:revision>
  <dcterms:created xsi:type="dcterms:W3CDTF">2026-06-26T14:48:00Z</dcterms:created>
  <dcterms:modified xsi:type="dcterms:W3CDTF">2026-06-26T14:48:00Z</dcterms:modified>
</cp:coreProperties>
</file>