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60"/>
      </w:pPr>
      <w:r>
        <w:rPr>
          <w:rFonts w:ascii="Cambria" w:cs="Cambria" w:eastAsia="Cambria" w:hAnsi="Cambria"/>
          <w:b/>
          <w:bCs/>
          <w:sz w:val="30"/>
          <w:szCs w:val="30"/>
        </w:rPr>
        <w:t xml:space="preserve">Risk That Is Not Recorded: Reporting Bias in Disaster Losses and the Calibration of Compound Climate Risk in Africa</w:t>
      </w:r>
    </w:p>
    <w:p>
      <w:pPr>
        <w:spacing w:after="40" w:line="276"/>
      </w:pPr>
      <w:r>
        <w:rPr>
          <w:rFonts w:ascii="Cambria" w:cs="Cambria" w:eastAsia="Cambria" w:hAnsi="Cambria"/>
          <w:color w:val="595959"/>
          <w:sz w:val="19"/>
          <w:szCs w:val="19"/>
        </w:rPr>
        <w:t xml:space="preserve">Applicant  </w:t>
      </w:r>
      <w:r>
        <w:rPr>
          <w:rFonts w:ascii="Cambria" w:cs="Cambria" w:eastAsia="Cambria" w:hAnsi="Cambria"/>
          <w:color w:val="262626"/>
          <w:sz w:val="19"/>
          <w:szCs w:val="19"/>
        </w:rPr>
        <w:t xml:space="preserve">[Your name], [Institutional affiliation]</w:t>
      </w:r>
    </w:p>
    <w:p>
      <w:pPr>
        <w:spacing w:after="40" w:line="276"/>
      </w:pPr>
      <w:r>
        <w:rPr>
          <w:rFonts w:ascii="Cambria" w:cs="Cambria" w:eastAsia="Cambria" w:hAnsi="Cambria"/>
          <w:color w:val="595959"/>
          <w:sz w:val="19"/>
          <w:szCs w:val="19"/>
        </w:rPr>
        <w:t xml:space="preserve">Programme  </w:t>
      </w:r>
      <w:r>
        <w:rPr>
          <w:rFonts w:ascii="Cambria" w:cs="Cambria" w:eastAsia="Cambria" w:hAnsi="Cambria"/>
          <w:color w:val="262626"/>
          <w:sz w:val="19"/>
          <w:szCs w:val="19"/>
        </w:rPr>
        <w:t xml:space="preserve">ACET Young Leaders in Research, 2027 Cohort</w:t>
      </w:r>
    </w:p>
    <w:p>
      <w:pPr>
        <w:pBdr>
          <w:bottom w:val="single" w:color="BFBFBF" w:sz="6" w:space="10"/>
        </w:pBdr>
        <w:spacing w:after="260" w:line="276"/>
      </w:pPr>
      <w:r>
        <w:rPr>
          <w:rFonts w:ascii="Cambria" w:cs="Cambria" w:eastAsia="Cambria" w:hAnsi="Cambria"/>
          <w:color w:val="595959"/>
          <w:sz w:val="19"/>
          <w:szCs w:val="19"/>
        </w:rPr>
        <w:t xml:space="preserve">Thematic area  </w:t>
      </w:r>
      <w:r>
        <w:rPr>
          <w:rFonts w:ascii="Cambria" w:cs="Cambria" w:eastAsia="Cambria" w:hAnsi="Cambria"/>
          <w:color w:val="262626"/>
          <w:sz w:val="19"/>
          <w:szCs w:val="19"/>
        </w:rPr>
        <w:t xml:space="preserve">Green Industrial Transformation</w:t>
      </w:r>
    </w:p>
    <w:p>
      <w:pPr>
        <w:pStyle w:val="Heading2"/>
        <w:spacing w:after="120" w:before="300" w:line="276"/>
      </w:pPr>
      <w:r>
        <w:rPr>
          <w:rFonts w:ascii="Cambria" w:cs="Cambria" w:eastAsia="Cambria" w:hAnsi="Cambria"/>
          <w:b/>
          <w:bCs/>
          <w:color w:val="1A1A1A"/>
          <w:sz w:val="24"/>
          <w:szCs w:val="24"/>
        </w:rPr>
        <w:t xml:space="preserve">Background</w:t>
      </w:r>
    </w:p>
    <w:p>
      <w:pPr>
        <w:spacing w:after="140" w:line="276"/>
      </w:pPr>
      <w:r>
        <w:rPr>
          <w:rFonts w:ascii="Cambria" w:cs="Cambria" w:eastAsia="Cambria" w:hAnsi="Cambria"/>
          <w:sz w:val="22"/>
          <w:szCs w:val="22"/>
        </w:rPr>
        <w:t xml:space="preserve">Climate risk models allocate money. Adaptation appraisals, loss and damage estimates and sovereign risk pricing rest on impact functions that convert hazard intensity into expected damage, and those functions are calibrated against databases of reported disaster losses. If losses are reported less completely in poorer countries, the vulnerability parameters fitted to them understate damage in exactly those places, and the understatement propagates into every risk estimate built on the model.</w:t>
      </w:r>
    </w:p>
    <w:p>
      <w:pPr>
        <w:spacing w:after="140" w:line="276"/>
      </w:pPr>
      <w:r>
        <w:rPr>
          <w:rFonts w:ascii="Cambria" w:cs="Cambria" w:eastAsia="Cambria" w:hAnsi="Cambria"/>
          <w:sz w:val="22"/>
          <w:szCs w:val="22"/>
        </w:rPr>
        <w:t xml:space="preserve">The dependency is not hypothetical. Bilateral adaptation finance has been shown to respond to reported prior-year disaster losses rather than to anticipated risk, so reporting completeness is a channel through which the loss record shapes allocation.</w:t>
      </w:r>
    </w:p>
    <w:p>
      <w:pPr>
        <w:pStyle w:val="Heading2"/>
        <w:spacing w:after="120" w:before="300" w:line="276"/>
      </w:pPr>
      <w:r>
        <w:rPr>
          <w:rFonts w:ascii="Cambria" w:cs="Cambria" w:eastAsia="Cambria" w:hAnsi="Cambria"/>
          <w:b/>
          <w:bCs/>
          <w:color w:val="1A1A1A"/>
          <w:sz w:val="24"/>
          <w:szCs w:val="24"/>
        </w:rPr>
        <w:t xml:space="preserve">Framing and evidence</w:t>
      </w:r>
    </w:p>
    <w:p>
      <w:pPr>
        <w:spacing w:after="140" w:line="276"/>
      </w:pPr>
      <w:r>
        <w:rPr>
          <w:rFonts w:ascii="Cambria" w:cs="Cambria" w:eastAsia="Cambria" w:hAnsi="Cambria"/>
          <w:sz w:val="22"/>
          <w:szCs w:val="22"/>
        </w:rPr>
        <w:t xml:space="preserve">Three findings make the problem tractable. First, missingness in the reference database is not random: year, disaster type and </w:t>
      </w:r>
      <w:r>
        <w:rPr>
          <w:rFonts w:ascii="Cambria" w:cs="Cambria" w:eastAsia="Cambria" w:hAnsi="Cambria"/>
          <w:b/>
          <w:bCs/>
          <w:sz w:val="22"/>
          <w:szCs w:val="22"/>
        </w:rPr>
        <w:t xml:space="preserve">country income classification</w:t>
      </w:r>
      <w:r>
        <w:rPr>
          <w:rFonts w:ascii="Cambria" w:cs="Cambria" w:eastAsia="Cambria" w:hAnsi="Cambria"/>
          <w:sz w:val="22"/>
          <w:szCs w:val="22"/>
        </w:rPr>
        <w:t xml:space="preserve"> all significantly predict missing data, and the effect is strongest for economic loss. Second, the sensitivity of calibrated models to their reference region is large. Assessing tropical cyclone risk globally with one impact function fitted to United States losses, once standard practice, biased simulated damage by a factor of 36 in the north West Pacific. Third, compound events are the worst case for this problem, because losses in the reference databases are frequently not separable by peril within a single event, so a sequence of drought and flood enters the record as one undifferentiated figure.</w:t>
      </w:r>
    </w:p>
    <w:p>
      <w:pPr>
        <w:spacing w:after="140" w:line="276"/>
      </w:pPr>
      <w:r>
        <w:rPr>
          <w:rFonts w:ascii="Cambria" w:cs="Cambria" w:eastAsia="Cambria" w:hAnsi="Cambria"/>
          <w:sz w:val="22"/>
          <w:szCs w:val="22"/>
        </w:rPr>
        <w:t xml:space="preserve">Compound event research has grown at 60 per cent a year since 2012 but remains concentrated in Europe, Asia and North America, with a documented gap across Africa. The continent where the evidence is thinnest is also the one where roughly 95 per cent of weather-related deaths since 1970 came from droughts and floods.</w:t>
      </w:r>
    </w:p>
    <w:p>
      <w:pPr>
        <w:pStyle w:val="Heading2"/>
        <w:spacing w:after="120" w:before="300" w:line="276"/>
      </w:pPr>
      <w:r>
        <w:rPr>
          <w:rFonts w:ascii="Cambria" w:cs="Cambria" w:eastAsia="Cambria" w:hAnsi="Cambria"/>
          <w:b/>
          <w:bCs/>
          <w:color w:val="1A1A1A"/>
          <w:sz w:val="24"/>
          <w:szCs w:val="24"/>
        </w:rPr>
        <w:t xml:space="preserve">Research question</w:t>
      </w:r>
    </w:p>
    <w:p>
      <w:pPr>
        <w:spacing w:after="140" w:line="276"/>
      </w:pPr>
      <w:r>
        <w:rPr>
          <w:rFonts w:ascii="Cambria" w:cs="Cambria" w:eastAsia="Cambria" w:hAnsi="Cambria"/>
          <w:sz w:val="22"/>
          <w:szCs w:val="22"/>
        </w:rPr>
        <w:t xml:space="preserve">How much does non-random loss reporting bias the impact functions used to model compound climate risk in Africa, and what does correcting it imply for the level and distribution of assessed risk?</w:t>
      </w:r>
    </w:p>
    <w:p>
      <w:pPr>
        <w:spacing w:after="140" w:line="276"/>
      </w:pPr>
      <w:r>
        <w:rPr>
          <w:rFonts w:ascii="Cambria" w:cs="Cambria" w:eastAsia="Cambria" w:hAnsi="Cambria"/>
          <w:sz w:val="22"/>
          <w:szCs w:val="22"/>
        </w:rPr>
        <w:t xml:space="preserve">Two hypotheses follow. Because reporting completeness rises with national income and statistical capacity, calibrated vulnerability should be </w:t>
      </w:r>
      <w:r>
        <w:rPr>
          <w:rFonts w:ascii="Cambria" w:cs="Cambria" w:eastAsia="Cambria" w:hAnsi="Cambria"/>
          <w:b/>
          <w:bCs/>
          <w:sz w:val="22"/>
          <w:szCs w:val="22"/>
        </w:rPr>
        <w:t xml:space="preserve">biased downward in the poorest countries</w:t>
      </w:r>
      <w:r>
        <w:rPr>
          <w:rFonts w:ascii="Cambria" w:cs="Cambria" w:eastAsia="Cambria" w:hAnsi="Cambria"/>
          <w:sz w:val="22"/>
          <w:szCs w:val="22"/>
        </w:rPr>
        <w:t xml:space="preserve">, widening rather than narrowing the assessed risk gap once corrected. And because compound events are recorded as single entries, the bias should be </w:t>
      </w:r>
      <w:r>
        <w:rPr>
          <w:rFonts w:ascii="Cambria" w:cs="Cambria" w:eastAsia="Cambria" w:hAnsi="Cambria"/>
          <w:b/>
          <w:bCs/>
          <w:sz w:val="22"/>
          <w:szCs w:val="22"/>
        </w:rPr>
        <w:t xml:space="preserve">larger for compound than for single-hazard sequences</w:t>
      </w:r>
      <w:r>
        <w:rPr>
          <w:rFonts w:ascii="Cambria" w:cs="Cambria" w:eastAsia="Cambria" w:hAnsi="Cambria"/>
          <w:sz w:val="22"/>
          <w:szCs w:val="22"/>
        </w:rPr>
        <w:t xml:space="preserve">.</w:t>
      </w:r>
    </w:p>
    <w:p>
      <w:pPr>
        <w:pStyle w:val="Heading2"/>
        <w:spacing w:after="120" w:before="300" w:line="276"/>
      </w:pPr>
      <w:r>
        <w:rPr>
          <w:rFonts w:ascii="Cambria" w:cs="Cambria" w:eastAsia="Cambria" w:hAnsi="Cambria"/>
          <w:b/>
          <w:bCs/>
          <w:color w:val="1A1A1A"/>
          <w:sz w:val="24"/>
          <w:szCs w:val="24"/>
        </w:rPr>
        <w:t xml:space="preserve">Data and method</w:t>
      </w:r>
    </w:p>
    <w:p>
      <w:pPr>
        <w:spacing w:after="140" w:line="276"/>
      </w:pPr>
      <w:r>
        <w:rPr>
          <w:rFonts w:ascii="Cambria" w:cs="Cambria" w:eastAsia="Cambria" w:hAnsi="Cambria"/>
          <w:sz w:val="22"/>
          <w:szCs w:val="22"/>
        </w:rPr>
        <w:t xml:space="preserve">Reported losses come from EM-DAT at country level and DesInventar at municipal level, the only global source with subnational resolution, for African countries covered by both. Their documented disagreement is treated as a measurement model rather than as noise. Compound hazard footprints for drought followed by flood, and for concurrent heat and drought, are built from reanalysis and satellite precipitation products, with gridded asset, population and poverty layers supplying exposure and the socio-economic dimension.</w:t>
      </w:r>
    </w:p>
    <w:p>
      <w:pPr>
        <w:spacing w:after="140" w:line="276"/>
      </w:pPr>
      <w:r>
        <w:rPr>
          <w:rFonts w:ascii="Cambria" w:cs="Cambria" w:eastAsia="Cambria" w:hAnsi="Cambria"/>
          <w:sz w:val="22"/>
          <w:szCs w:val="22"/>
        </w:rPr>
        <w:t xml:space="preserve">Impact functions are then calibrated twice within an established open modelling platform, once conventionally on reported losses and once with a correction for the reporting process. The correction is the analytical core. Inverse probability weighting addresses selection on observables, but reweighting corrects the covariate distribution rather than the conditional bias, and fails when selection depends on unobservables. A selection model addresses that case, but only with a credible exclusion restriction, a variable affecting whether a loss is recorded without affecting its magnitude. National statistical capacity and participation in subnational loss reporting are the leading candidates, and both are testable. Reporting both estimators, with the diagnostic showing where they diverge, is more honest than asserting one.</w:t>
      </w:r>
    </w:p>
    <w:p>
      <w:pPr>
        <w:pStyle w:val="Heading2"/>
        <w:spacing w:after="120" w:before="300" w:line="276"/>
      </w:pPr>
      <w:r>
        <w:rPr>
          <w:rFonts w:ascii="Cambria" w:cs="Cambria" w:eastAsia="Cambria" w:hAnsi="Cambria"/>
          <w:b/>
          <w:bCs/>
          <w:color w:val="1A1A1A"/>
          <w:sz w:val="24"/>
          <w:szCs w:val="24"/>
        </w:rPr>
        <w:t xml:space="preserve">Outputs</w:t>
      </w:r>
    </w:p>
    <w:p>
      <w:pPr>
        <w:spacing w:after="140" w:line="276"/>
      </w:pPr>
      <w:r>
        <w:rPr>
          <w:rFonts w:ascii="Cambria" w:cs="Cambria" w:eastAsia="Cambria" w:hAnsi="Cambria"/>
          <w:sz w:val="22"/>
          <w:szCs w:val="22"/>
        </w:rPr>
        <w:t xml:space="preserve">The primary output is an estimate of the calibration bias, as the proportional shift in fitted vulnerability by income group and hazard sequence. Secondary outputs are an openly released set of corrected impact functions for African compound sequences, a comparison of assessed risk before and after correction, and what the shift implies for finance allocated on reported losses.</w:t>
      </w:r>
    </w:p>
    <w:p>
      <w:pPr>
        <w:pStyle w:val="Heading2"/>
        <w:spacing w:after="120" w:before="300" w:line="276"/>
      </w:pPr>
      <w:r>
        <w:rPr>
          <w:rFonts w:ascii="Cambria" w:cs="Cambria" w:eastAsia="Cambria" w:hAnsi="Cambria"/>
          <w:b/>
          <w:bCs/>
          <w:color w:val="1A1A1A"/>
          <w:sz w:val="24"/>
          <w:szCs w:val="24"/>
        </w:rPr>
        <w:t xml:space="preserve">Contribution</w:t>
      </w:r>
    </w:p>
    <w:p>
      <w:pPr>
        <w:spacing w:after="140" w:line="276"/>
      </w:pPr>
      <w:r>
        <w:rPr>
          <w:rFonts w:ascii="Cambria" w:cs="Cambria" w:eastAsia="Cambria" w:hAnsi="Cambria"/>
          <w:sz w:val="22"/>
          <w:szCs w:val="22"/>
        </w:rPr>
        <w:t xml:space="preserve">Sample selection correction has been applied to damage models before, but to the problem of transferring a model between contexts rather than to bias inside the loss record itself, and without linking the result to allocation. Catastrophe models have quantified loss and damage in low-income settings, but on single hazards and with wealth proxies rather than a calibrated correction.</w:t>
      </w:r>
    </w:p>
    <w:p>
      <w:pPr>
        <w:pStyle w:val="Heading2"/>
        <w:spacing w:after="120" w:before="300" w:line="276"/>
      </w:pPr>
      <w:r>
        <w:rPr>
          <w:rFonts w:ascii="Cambria" w:cs="Cambria" w:eastAsia="Cambria" w:hAnsi="Cambria"/>
          <w:b/>
          <w:bCs/>
          <w:color w:val="1A1A1A"/>
          <w:sz w:val="24"/>
          <w:szCs w:val="24"/>
        </w:rPr>
        <w:t xml:space="preserve">Policy relevance</w:t>
      </w:r>
    </w:p>
    <w:p>
      <w:pPr>
        <w:spacing w:after="140" w:line="276"/>
      </w:pPr>
      <w:r>
        <w:rPr>
          <w:rFonts w:ascii="Cambria" w:cs="Cambria" w:eastAsia="Cambria" w:hAnsi="Cambria"/>
          <w:sz w:val="22"/>
          <w:szCs w:val="22"/>
        </w:rPr>
        <w:t xml:space="preserve">Adaptation finance requirements are estimated at USD 215 to 387 billion annually by 2030 against USD 76 billion mobilised in 2022. Where that gap is measured against risk estimates calibrated on incomplete data, the requirement itself is understated. This study produces a correction that can be applied to existing models rather than a call for better data collection, which makes it actionable within current institutional arrangements.</w:t>
      </w:r>
    </w:p>
    <w:p>
      <w:pPr>
        <w:pStyle w:val="Heading2"/>
        <w:spacing w:after="120" w:before="300" w:line="276"/>
      </w:pPr>
      <w:r>
        <w:rPr>
          <w:rFonts w:ascii="Cambria" w:cs="Cambria" w:eastAsia="Cambria" w:hAnsi="Cambria"/>
          <w:b/>
          <w:bCs/>
          <w:color w:val="1A1A1A"/>
          <w:sz w:val="24"/>
          <w:szCs w:val="24"/>
        </w:rPr>
        <w:t xml:space="preserve">Feasibility</w:t>
      </w:r>
    </w:p>
    <w:p>
      <w:pPr>
        <w:spacing w:after="140" w:line="276"/>
      </w:pPr>
      <w:r>
        <w:rPr>
          <w:rFonts w:ascii="Cambria" w:cs="Cambria" w:eastAsia="Cambria" w:hAnsi="Cambria"/>
          <w:sz w:val="22"/>
          <w:szCs w:val="22"/>
        </w:rPr>
        <w:t xml:space="preserve">The study requires no primary data collection and all inputs are open. Two months are allowed for database harmonisation, two for hazard footprints, one for the reporting model, three for the two calibrations, one for the allocation analysis and three for writing, validation and dissemination. The budget is USD 14,500 against the USD 15,000 ceiling.</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Note - ACET YLR 2027</dc:title>
  <dc:creator>ACET YLR 2027 application</dc:creator>
  <dc:description>Concept note for the ACET Young Leaders in Research 2027 Cohort</dc:description>
  <cp:lastModifiedBy>Un-named</cp:lastModifiedBy>
  <cp:revision>1</cp:revision>
  <dcterms:created xsi:type="dcterms:W3CDTF">2026-09-01T14:56:36.904Z</dcterms:created>
  <dcterms:modified xsi:type="dcterms:W3CDTF">2026-09-01T14:56:36.918Z</dcterms:modified>
</cp:coreProperties>
</file>

<file path=docProps/custom.xml><?xml version="1.0" encoding="utf-8"?>
<Properties xmlns="http://schemas.openxmlformats.org/officeDocument/2006/custom-properties" xmlns:vt="http://schemas.openxmlformats.org/officeDocument/2006/docPropsVTypes"/>
</file>