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line="260"/>
      </w:pPr>
      <w:r>
        <w:rPr>
          <w:rFonts w:ascii="Cambria" w:cs="Cambria" w:eastAsia="Cambria" w:hAnsi="Cambria"/>
          <w:b/>
          <w:bCs/>
          <w:sz w:val="30"/>
          <w:szCs w:val="30"/>
        </w:rPr>
        <w:t xml:space="preserve">Adoption Is Not Transformation: Green Technology and Value Addition in Ghana's Food Processing Micro-Enterprises</w:t>
      </w:r>
    </w:p>
    <w:p>
      <w:pPr>
        <w:spacing w:after="40" w:line="276"/>
      </w:pPr>
      <w:r>
        <w:rPr>
          <w:rFonts w:ascii="Cambria" w:cs="Cambria" w:eastAsia="Cambria" w:hAnsi="Cambria"/>
          <w:color w:val="595959"/>
          <w:sz w:val="19"/>
          <w:szCs w:val="19"/>
        </w:rPr>
        <w:t xml:space="preserve">Applicant  </w:t>
      </w:r>
      <w:r>
        <w:rPr>
          <w:rFonts w:ascii="Cambria" w:cs="Cambria" w:eastAsia="Cambria" w:hAnsi="Cambria"/>
          <w:color w:val="262626"/>
          <w:sz w:val="19"/>
          <w:szCs w:val="19"/>
        </w:rPr>
        <w:t xml:space="preserve">[Your name] · [Institutional affiliation]</w:t>
      </w:r>
    </w:p>
    <w:p>
      <w:pPr>
        <w:spacing w:after="40" w:line="276"/>
      </w:pPr>
      <w:r>
        <w:rPr>
          <w:rFonts w:ascii="Cambria" w:cs="Cambria" w:eastAsia="Cambria" w:hAnsi="Cambria"/>
          <w:color w:val="595959"/>
          <w:sz w:val="19"/>
          <w:szCs w:val="19"/>
        </w:rPr>
        <w:t xml:space="preserve">Programme  </w:t>
      </w:r>
      <w:r>
        <w:rPr>
          <w:rFonts w:ascii="Cambria" w:cs="Cambria" w:eastAsia="Cambria" w:hAnsi="Cambria"/>
          <w:color w:val="262626"/>
          <w:sz w:val="19"/>
          <w:szCs w:val="19"/>
        </w:rPr>
        <w:t xml:space="preserve">ACET Young Leaders in Research, 2027 Cohort</w:t>
      </w:r>
    </w:p>
    <w:p>
      <w:pPr>
        <w:pBdr>
          <w:bottom w:val="single" w:color="BFBFBF" w:sz="6" w:space="10"/>
        </w:pBdr>
        <w:spacing w:after="260" w:line="276"/>
      </w:pPr>
      <w:r>
        <w:rPr>
          <w:rFonts w:ascii="Cambria" w:cs="Cambria" w:eastAsia="Cambria" w:hAnsi="Cambria"/>
          <w:color w:val="595959"/>
          <w:sz w:val="19"/>
          <w:szCs w:val="19"/>
        </w:rPr>
        <w:t xml:space="preserve">Thematic area  </w:t>
      </w:r>
      <w:r>
        <w:rPr>
          <w:rFonts w:ascii="Cambria" w:cs="Cambria" w:eastAsia="Cambria" w:hAnsi="Cambria"/>
          <w:color w:val="262626"/>
          <w:sz w:val="19"/>
          <w:szCs w:val="19"/>
        </w:rPr>
        <w:t xml:space="preserve">Green Industrial Transformation</w:t>
      </w:r>
    </w:p>
    <w:p>
      <w:pPr>
        <w:pStyle w:val="Heading2"/>
        <w:spacing w:after="120" w:before="300" w:line="276"/>
      </w:pPr>
      <w:r>
        <w:rPr>
          <w:rFonts w:ascii="Cambria" w:cs="Cambria" w:eastAsia="Cambria" w:hAnsi="Cambria"/>
          <w:b/>
          <w:bCs/>
          <w:color w:val="1A1A1A"/>
          <w:sz w:val="24"/>
          <w:szCs w:val="24"/>
        </w:rPr>
        <w:t xml:space="preserve">The policy problem</w:t>
      </w:r>
    </w:p>
    <w:p>
      <w:pPr>
        <w:spacing w:after="140" w:line="276"/>
      </w:pPr>
      <w:r>
        <w:rPr>
          <w:rFonts w:ascii="Cambria" w:cs="Cambria" w:eastAsia="Cambria" w:hAnsi="Cambria"/>
          <w:sz w:val="22"/>
          <w:szCs w:val="22"/>
        </w:rPr>
        <w:t xml:space="preserve">Green industrial policy in Africa is financed against units deployed. Results-based financing pays suppliers per verified device installed; national plans report dryers, ovens and cold storage disseminated. Deployment is a procurement outcome. Green industrialisation — low-carbon production, value addition, decent jobs — requires that equipment be used to make something more valuable. If much deployed equipment never enters production, these instruments are priced against the wrong metric, and no one knows the share.</w:t>
      </w:r>
    </w:p>
    <w:p>
      <w:pPr>
        <w:pStyle w:val="Heading2"/>
        <w:spacing w:after="120" w:before="300" w:line="276"/>
      </w:pPr>
      <w:r>
        <w:rPr>
          <w:rFonts w:ascii="Cambria" w:cs="Cambria" w:eastAsia="Cambria" w:hAnsi="Cambria"/>
          <w:b/>
          <w:bCs/>
          <w:color w:val="1A1A1A"/>
          <w:sz w:val="24"/>
          <w:szCs w:val="24"/>
        </w:rPr>
        <w:t xml:space="preserve">Positioning</w:t>
      </w:r>
    </w:p>
    <w:p>
      <w:pPr>
        <w:spacing w:after="140" w:line="276"/>
      </w:pPr>
      <w:r>
        <w:rPr>
          <w:rFonts w:ascii="Cambria" w:cs="Cambria" w:eastAsia="Cambria" w:hAnsi="Cambria"/>
          <w:sz w:val="22"/>
          <w:szCs w:val="22"/>
        </w:rPr>
        <w:t xml:space="preserve">This is an energy-efficiency gap in informal firms. Allcott and Greenstone (2012) model why firms leave privately profitable energy investments unexploited; audited European SMEs adopt only 40–48% of recommended measures. The same gap appears in low-income enterprise settings: Kenyan solar mini-grids produced no business gains after two years (Pueyo et al. 2018), and 75% of connected enterprises in electrified Indian villages draw under 1 kWh daily (Pelz et al. 2021). Yet where identification is strong the mechanism works — South African electrification raised female employment 13.5 points by releasing women from home production into microenterprise (Dinkelman 2011). Separately, urban Ghanaian evidence shows capital alone fails: women's subsistence enterprises gained nothing from cash or in-kind grants, while larger women-owned firms grew only from in-kind capital (Fafchamps et al. 2013). No study joins these when the capital is itself the green technology.</w:t>
      </w:r>
    </w:p>
    <w:p>
      <w:pPr>
        <w:pStyle w:val="Heading2"/>
        <w:spacing w:after="120" w:before="300" w:line="276"/>
      </w:pPr>
      <w:r>
        <w:rPr>
          <w:rFonts w:ascii="Cambria" w:cs="Cambria" w:eastAsia="Cambria" w:hAnsi="Cambria"/>
          <w:b/>
          <w:bCs/>
          <w:color w:val="1A1A1A"/>
          <w:sz w:val="24"/>
          <w:szCs w:val="24"/>
        </w:rPr>
        <w:t xml:space="preserve">Research question</w:t>
      </w:r>
    </w:p>
    <w:p>
      <w:pPr>
        <w:spacing w:after="140" w:line="276"/>
      </w:pPr>
      <w:r>
        <w:rPr>
          <w:rFonts w:ascii="Cambria" w:cs="Cambria" w:eastAsia="Cambria" w:hAnsi="Cambria"/>
          <w:b/>
          <w:bCs/>
          <w:sz w:val="22"/>
          <w:szCs w:val="22"/>
        </w:rPr>
        <w:t xml:space="preserve">Conditional on adoption, what converts green processing technology into value addition — and which complementary input binds?</w:t>
      </w:r>
    </w:p>
    <w:p>
      <w:pPr>
        <w:spacing w:after="140" w:line="276"/>
      </w:pPr>
      <w:r>
        <w:rPr>
          <w:rFonts w:ascii="Cambria" w:cs="Cambria" w:eastAsia="Cambria" w:hAnsi="Cambria"/>
          <w:sz w:val="22"/>
          <w:szCs w:val="22"/>
        </w:rPr>
        <w:t xml:space="preserve">Two hypotheses, not open questions. Fafchamps et al. implies conversion is non-linear in baseline enterprise scale: near zero below a threshold, positive above. Field et al. (2019) implies conversion fails where the household contains a second enterprise, because returns are redirected there.</w:t>
      </w:r>
    </w:p>
    <w:p>
      <w:pPr>
        <w:pStyle w:val="Heading2"/>
        <w:spacing w:after="120" w:before="300" w:line="276"/>
      </w:pPr>
      <w:r>
        <w:rPr>
          <w:rFonts w:ascii="Cambria" w:cs="Cambria" w:eastAsia="Cambria" w:hAnsi="Cambria"/>
          <w:b/>
          <w:bCs/>
          <w:color w:val="1A1A1A"/>
          <w:sz w:val="24"/>
          <w:szCs w:val="24"/>
        </w:rPr>
        <w:t xml:space="preserve">Setting</w:t>
      </w:r>
    </w:p>
    <w:p>
      <w:pPr>
        <w:spacing w:after="140" w:line="276"/>
      </w:pPr>
      <w:r>
        <w:rPr>
          <w:rFonts w:ascii="Cambria" w:cs="Cambria" w:eastAsia="Cambria" w:hAnsi="Cambria"/>
          <w:sz w:val="22"/>
          <w:szCs w:val="22"/>
        </w:rPr>
        <w:t xml:space="preserve">Coastal fish smoking, where women are 96.9% of processors. Traditional Chorkor ovens emit polycyclic aromatic hydrocarbons at seven to ten times EU limits; fuel-efficient Ahotor ovens cut them. Because Ghanaian fisheries policy promotes higher-value markets through hygiene certification, the conversion pathway is concrete and measurable: oven, lower PAH, certification eligibility, formal and export buyers. Informal cross-border trade in processed pelagics alone runs to roughly 6,000 tonnes and USD 14 million annually. The Ahotor literature covers adoption drivers and PAH but never enterprise outcomes. Inland cassava and shea processing, using solar drying and powered milling, supplies contrast and the enterprise-scale variation the first hypothesis needs.</w:t>
      </w:r>
    </w:p>
    <w:p>
      <w:pPr>
        <w:spacing w:after="140" w:line="276"/>
      </w:pPr>
      <w:r>
        <w:rPr>
          <w:rFonts w:ascii="Cambria" w:cs="Cambria" w:eastAsia="Cambria" w:hAnsi="Cambria"/>
          <w:sz w:val="22"/>
          <w:szCs w:val="22"/>
        </w:rPr>
        <w:t xml:space="preserve">Five hundred enterprises — some 300 adopters, 200 non-adopters in the same clusters. Pay-as-you-go solar providers and Ahotor dissemination programmes hold client records carrying installation dates, which the event study requires; cluster enumeration at landing sites captures off-list adopters.</w:t>
      </w:r>
    </w:p>
    <w:p>
      <w:pPr>
        <w:pStyle w:val="Heading2"/>
        <w:spacing w:after="120" w:before="300" w:line="276"/>
      </w:pPr>
      <w:r>
        <w:rPr>
          <w:rFonts w:ascii="Cambria" w:cs="Cambria" w:eastAsia="Cambria" w:hAnsi="Cambria"/>
          <w:b/>
          <w:bCs/>
          <w:color w:val="1A1A1A"/>
          <w:sz w:val="24"/>
          <w:szCs w:val="24"/>
        </w:rPr>
        <w:t xml:space="preserve">Identification and measurement</w:t>
      </w:r>
    </w:p>
    <w:p>
      <w:pPr>
        <w:spacing w:after="140" w:line="276"/>
      </w:pPr>
      <w:r>
        <w:rPr>
          <w:rFonts w:ascii="Cambria" w:cs="Cambria" w:eastAsia="Cambria" w:hAnsi="Cambria"/>
          <w:sz w:val="22"/>
          <w:szCs w:val="22"/>
        </w:rPr>
        <w:t xml:space="preserve">A retrospective enterprise panel supports an event study with enterprise fixed effects around adoption timing. A converter/non-converter comparison holds adoption constant, removing selection into adoption while remaining explicitly diagnostic. A discrete choice experiment — cleanly experimental — randomises support packages across capital form, training, supervision, after-sales service and certification linkage, each attribute drawn from a documented finding and validated in formative interviews before fielding. Three hundred adopters across eight tasks yield 2,400 observations for mixed logit.</w:t>
      </w:r>
    </w:p>
    <w:p>
      <w:pPr>
        <w:spacing w:after="140" w:line="276"/>
      </w:pPr>
      <w:r>
        <w:rPr>
          <w:rFonts w:ascii="Cambria" w:cs="Cambria" w:eastAsia="Cambria" w:hAnsi="Cambria"/>
          <w:sz w:val="22"/>
          <w:szCs w:val="22"/>
        </w:rPr>
        <w:t xml:space="preserve">Two measurement decisions follow the evidence. Profit is elicited directly, since detailed revenue-and-expense questions are less accurate and firms underreport revenues by roughly 30% (de Mel et al. 2009); value added is constructed from physical quantities as a secondary check. Use is verified by enumerator inspection — functionality, evidence of recent use, photographs — because survey self-report overstates stove use by 28–46% and misses dis-adoption entirely (Hing et al. 2023). The reported-versus-verified gap is itself a reported result.</w:t>
      </w:r>
    </w:p>
    <w:p>
      <w:pPr>
        <w:pStyle w:val="Heading2"/>
        <w:spacing w:after="120" w:before="300" w:line="276"/>
      </w:pPr>
      <w:r>
        <w:rPr>
          <w:rFonts w:ascii="Cambria" w:cs="Cambria" w:eastAsia="Cambria" w:hAnsi="Cambria"/>
          <w:b/>
          <w:bCs/>
          <w:color w:val="1A1A1A"/>
          <w:sz w:val="24"/>
          <w:szCs w:val="24"/>
        </w:rPr>
        <w:t xml:space="preserve">Outcomes</w:t>
      </w:r>
    </w:p>
    <w:p>
      <w:pPr>
        <w:spacing w:after="140" w:line="276"/>
      </w:pPr>
      <w:r>
        <w:rPr>
          <w:rFonts w:ascii="Cambria" w:cs="Cambria" w:eastAsia="Cambria" w:hAnsi="Cambria"/>
          <w:sz w:val="22"/>
          <w:szCs w:val="22"/>
        </w:rPr>
        <w:t xml:space="preserve">Primary: enterprise profit per hour of processing labour. Secondary: verified productive use; certification status and buyer type; months operated; paid employment; spoilage; energy cost per kilogramme processed; women's control over revenue. Energy is measured as intensity, not level — if conversion succeeds, output expands and total fuel spend may rise. With roughly 165 converters against 135 non-converters, the design detects 0.33 standard deviations at 80% power.</w:t>
      </w:r>
    </w:p>
    <w:p>
      <w:pPr>
        <w:pStyle w:val="Heading2"/>
        <w:spacing w:after="120" w:before="300" w:line="276"/>
      </w:pPr>
      <w:r>
        <w:rPr>
          <w:rFonts w:ascii="Cambria" w:cs="Cambria" w:eastAsia="Cambria" w:hAnsi="Cambria"/>
          <w:b/>
          <w:bCs/>
          <w:color w:val="1A1A1A"/>
          <w:sz w:val="24"/>
          <w:szCs w:val="24"/>
        </w:rPr>
        <w:t xml:space="preserve">Contribution and policy</w:t>
      </w:r>
    </w:p>
    <w:p>
      <w:pPr>
        <w:spacing w:after="140" w:line="276"/>
      </w:pPr>
      <w:r>
        <w:rPr>
          <w:rFonts w:ascii="Cambria" w:cs="Cambria" w:eastAsia="Cambria" w:hAnsi="Cambria"/>
          <w:sz w:val="22"/>
          <w:szCs w:val="22"/>
        </w:rPr>
        <w:t xml:space="preserve">The first verified conversion rate for green processing technology in Africa, and an experimental ranking of what closes the gap. The nearest studies estimate adoption-to-earnings associations — Nigerian MSMEs by matching (Owusu-Sekyere et al. 2024), Kenyan solar irrigation adopters against non-adopters (Duke and Shell Foundation 2025); neither measures conversion or identifies the binding constraint.</w:t>
      </w:r>
    </w:p>
    <w:p>
      <w:pPr>
        <w:spacing w:after="140" w:line="276"/>
      </w:pPr>
      <w:r>
        <w:rPr>
          <w:rFonts w:ascii="Cambria" w:cs="Cambria" w:eastAsia="Cambria" w:hAnsi="Cambria"/>
          <w:sz w:val="22"/>
          <w:szCs w:val="22"/>
        </w:rPr>
        <w:t xml:space="preserve">Green industrial support is meant to be conditional, performance-based and tied to value addition. Results-based financing currently conditions on deployment because conversion is unmeasured. This study makes it measurable.</w:t>
      </w:r>
    </w:p>
    <w:p>
      <w:pPr>
        <w:pStyle w:val="Heading2"/>
        <w:spacing w:after="120" w:before="300" w:line="276"/>
      </w:pPr>
      <w:r>
        <w:rPr>
          <w:rFonts w:ascii="Cambria" w:cs="Cambria" w:eastAsia="Cambria" w:hAnsi="Cambria"/>
          <w:b/>
          <w:bCs/>
          <w:color w:val="1A1A1A"/>
          <w:sz w:val="24"/>
          <w:szCs w:val="24"/>
        </w:rPr>
        <w:t xml:space="preserve">Feasibility</w:t>
      </w:r>
    </w:p>
    <w:p>
      <w:pPr>
        <w:spacing w:after="140" w:line="276"/>
      </w:pPr>
      <w:r>
        <w:rPr>
          <w:rFonts w:ascii="Cambria" w:cs="Cambria" w:eastAsia="Cambria" w:hAnsi="Cambria"/>
          <w:sz w:val="22"/>
          <w:szCs w:val="22"/>
        </w:rPr>
        <w:t xml:space="preserve">Clearance and instruments (M1–2), formative interviews and pilot (M3), survey (M4–5), explanatory interviews (M6), analysis (M7–8), working paper (M9–10), Accra validation workshop (M11), dissemination (M12). USD 14,300 against the 15,000 ceiling.</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 Note — ACET YLR 2027</dc:title>
  <dc:creator>ACET YLR 2027 application</dc:creator>
  <dc:description>Concept note for the ACET Young Leaders in Research 2027 Cohort</dc:description>
  <cp:lastModifiedBy>Un-named</cp:lastModifiedBy>
  <cp:revision>1</cp:revision>
  <dcterms:created xsi:type="dcterms:W3CDTF">2026-08-27T10:40:22.285Z</dcterms:created>
  <dcterms:modified xsi:type="dcterms:W3CDTF">2026-08-27T10:40:22.285Z</dcterms:modified>
</cp:coreProperties>
</file>

<file path=docProps/custom.xml><?xml version="1.0" encoding="utf-8"?>
<Properties xmlns="http://schemas.openxmlformats.org/officeDocument/2006/custom-properties" xmlns:vt="http://schemas.openxmlformats.org/officeDocument/2006/docPropsVTypes"/>
</file>