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line="260"/>
      </w:pPr>
      <w:r>
        <w:rPr>
          <w:rFonts w:ascii="Cambria" w:cs="Cambria" w:eastAsia="Cambria" w:hAnsi="Cambria"/>
          <w:b/>
          <w:bCs/>
          <w:sz w:val="30"/>
          <w:szCs w:val="30"/>
        </w:rPr>
        <w:t xml:space="preserve">Adoption Is Not Transformation: Green Technology and Value Addition in Ghana's Food Processing Micro-Enterprises</w:t>
      </w:r>
    </w:p>
    <w:p>
      <w:pPr>
        <w:spacing w:after="40" w:line="276"/>
      </w:pPr>
      <w:r>
        <w:rPr>
          <w:rFonts w:ascii="Cambria" w:cs="Cambria" w:eastAsia="Cambria" w:hAnsi="Cambria"/>
          <w:color w:val="595959"/>
          <w:sz w:val="19"/>
          <w:szCs w:val="19"/>
        </w:rPr>
        <w:t xml:space="preserve">Applicant  </w:t>
      </w:r>
      <w:r>
        <w:rPr>
          <w:rFonts w:ascii="Cambria" w:cs="Cambria" w:eastAsia="Cambria" w:hAnsi="Cambria"/>
          <w:color w:val="262626"/>
          <w:sz w:val="19"/>
          <w:szCs w:val="19"/>
        </w:rPr>
        <w:t xml:space="preserve">[Your name], [Institutional affiliation]</w:t>
      </w:r>
    </w:p>
    <w:p>
      <w:pPr>
        <w:spacing w:after="40" w:line="276"/>
      </w:pPr>
      <w:r>
        <w:rPr>
          <w:rFonts w:ascii="Cambria" w:cs="Cambria" w:eastAsia="Cambria" w:hAnsi="Cambria"/>
          <w:color w:val="595959"/>
          <w:sz w:val="19"/>
          <w:szCs w:val="19"/>
        </w:rPr>
        <w:t xml:space="preserve">Programme  </w:t>
      </w:r>
      <w:r>
        <w:rPr>
          <w:rFonts w:ascii="Cambria" w:cs="Cambria" w:eastAsia="Cambria" w:hAnsi="Cambria"/>
          <w:color w:val="262626"/>
          <w:sz w:val="19"/>
          <w:szCs w:val="19"/>
        </w:rPr>
        <w:t xml:space="preserve">ACET Young Leaders in Research, 2027 Cohort</w:t>
      </w:r>
    </w:p>
    <w:p>
      <w:pPr>
        <w:pBdr>
          <w:bottom w:val="single" w:color="BFBFBF" w:sz="6" w:space="10"/>
        </w:pBdr>
        <w:spacing w:after="260" w:line="276"/>
      </w:pPr>
      <w:r>
        <w:rPr>
          <w:rFonts w:ascii="Cambria" w:cs="Cambria" w:eastAsia="Cambria" w:hAnsi="Cambria"/>
          <w:color w:val="595959"/>
          <w:sz w:val="19"/>
          <w:szCs w:val="19"/>
        </w:rPr>
        <w:t xml:space="preserve">Thematic area  </w:t>
      </w:r>
      <w:r>
        <w:rPr>
          <w:rFonts w:ascii="Cambria" w:cs="Cambria" w:eastAsia="Cambria" w:hAnsi="Cambria"/>
          <w:color w:val="262626"/>
          <w:sz w:val="19"/>
          <w:szCs w:val="19"/>
        </w:rPr>
        <w:t xml:space="preserve">Green Industrial Transformation</w:t>
      </w:r>
    </w:p>
    <w:p>
      <w:pPr>
        <w:pStyle w:val="Heading2"/>
        <w:spacing w:after="120" w:before="300" w:line="276"/>
      </w:pPr>
      <w:r>
        <w:rPr>
          <w:rFonts w:ascii="Cambria" w:cs="Cambria" w:eastAsia="Cambria" w:hAnsi="Cambria"/>
          <w:b/>
          <w:bCs/>
          <w:color w:val="1A1A1A"/>
          <w:sz w:val="24"/>
          <w:szCs w:val="24"/>
        </w:rPr>
        <w:t xml:space="preserve">Background</w:t>
      </w:r>
    </w:p>
    <w:p>
      <w:pPr>
        <w:spacing w:after="140" w:line="276"/>
      </w:pPr>
      <w:r>
        <w:rPr>
          <w:rFonts w:ascii="Cambria" w:cs="Cambria" w:eastAsia="Cambria" w:hAnsi="Cambria"/>
          <w:sz w:val="22"/>
          <w:szCs w:val="22"/>
        </w:rPr>
        <w:t xml:space="preserve">Green industrial policy in Africa is financed on the basis of units deployed. Results-based financing pays per verified device installed, and national plans report units disseminated. Such figures record procurement, not production. Green industrialisation requires that equipment actually be used to make something of higher value. If much of what is deployed never enters production, these instruments are conditioned on the wrong measure, and that share is currently unknown.</w:t>
      </w:r>
    </w:p>
    <w:p>
      <w:pPr>
        <w:pStyle w:val="Heading2"/>
        <w:spacing w:after="120" w:before="300" w:line="276"/>
      </w:pPr>
      <w:r>
        <w:rPr>
          <w:rFonts w:ascii="Cambria" w:cs="Cambria" w:eastAsia="Cambria" w:hAnsi="Cambria"/>
          <w:b/>
          <w:bCs/>
          <w:color w:val="1A1A1A"/>
          <w:sz w:val="24"/>
          <w:szCs w:val="24"/>
        </w:rPr>
        <w:t xml:space="preserve">Framing and evidence</w:t>
      </w:r>
    </w:p>
    <w:p>
      <w:pPr>
        <w:spacing w:after="140" w:line="276"/>
      </w:pPr>
      <w:r>
        <w:rPr>
          <w:rFonts w:ascii="Cambria" w:cs="Cambria" w:eastAsia="Cambria" w:hAnsi="Cambria"/>
          <w:sz w:val="22"/>
          <w:szCs w:val="22"/>
        </w:rPr>
        <w:t xml:space="preserve">The problem is an energy efficiency gap among informal firms. Allcott and Greenstone (2012) explain why firms forgo energy investments that are privately profitable, and audited European enterprises adopt only 40 to 48 per cent of recommended measures. The pattern recurs in low-income settings, where 75 per cent of connected enterprises in electrified Indian villages consume under one kilowatt-hour daily (Pelz et al. 2021) and Kenyan mini-grids raised no business performance after two years (Pueyo et al. 2018). The mechanism does operate where identification is strong: Dinkelman (2011) finds South African electrification raised female employment 13.5 percentage points by releasing women from home production into microenterprise.</w:t>
      </w:r>
    </w:p>
    <w:p>
      <w:pPr>
        <w:spacing w:after="140" w:line="276"/>
      </w:pPr>
      <w:r>
        <w:rPr>
          <w:rFonts w:ascii="Cambria" w:cs="Cambria" w:eastAsia="Cambria" w:hAnsi="Cambria"/>
          <w:sz w:val="22"/>
          <w:szCs w:val="22"/>
        </w:rPr>
        <w:t xml:space="preserve">A second literature reaches a related conclusion about capital. Fafchamps et al. (2013) find that in urban Ghana, women running subsistence enterprises gained nothing from cash or in-kind grants, while larger women-owned firms grew only when capital arrived in kind. Neither literature has examined what happens when the capital is itself the green technology.</w:t>
      </w:r>
    </w:p>
    <w:p>
      <w:pPr>
        <w:pStyle w:val="Heading2"/>
        <w:spacing w:after="120" w:before="300" w:line="276"/>
      </w:pPr>
      <w:r>
        <w:rPr>
          <w:rFonts w:ascii="Cambria" w:cs="Cambria" w:eastAsia="Cambria" w:hAnsi="Cambria"/>
          <w:b/>
          <w:bCs/>
          <w:color w:val="1A1A1A"/>
          <w:sz w:val="24"/>
          <w:szCs w:val="24"/>
        </w:rPr>
        <w:t xml:space="preserve">Research question</w:t>
      </w:r>
    </w:p>
    <w:p>
      <w:pPr>
        <w:spacing w:after="140" w:line="276"/>
      </w:pPr>
      <w:r>
        <w:rPr>
          <w:rFonts w:ascii="Cambria" w:cs="Cambria" w:eastAsia="Cambria" w:hAnsi="Cambria"/>
          <w:sz w:val="22"/>
          <w:szCs w:val="22"/>
        </w:rPr>
        <w:t xml:space="preserve">Conditional on adoption, what converts green processing technology into value addition, and which complementary input is binding?</w:t>
      </w:r>
    </w:p>
    <w:p>
      <w:pPr>
        <w:spacing w:after="140" w:line="276"/>
      </w:pPr>
      <w:r>
        <w:rPr>
          <w:rFonts w:ascii="Cambria" w:cs="Cambria" w:eastAsia="Cambria" w:hAnsi="Cambria"/>
          <w:sz w:val="22"/>
          <w:szCs w:val="22"/>
        </w:rPr>
        <w:t xml:space="preserve">Two hypotheses follow from existing evidence. Fafchamps et al. imply that conversion is non-linear in enterprise scale, near zero below a threshold and positive above it. Field et al. (2019) imply that conversion is less likely where the household contains a second enterprise, because returns are redirected towards it.</w:t>
      </w:r>
    </w:p>
    <w:p>
      <w:pPr>
        <w:pStyle w:val="Heading2"/>
        <w:spacing w:after="120" w:before="300" w:line="276"/>
      </w:pPr>
      <w:r>
        <w:rPr>
          <w:rFonts w:ascii="Cambria" w:cs="Cambria" w:eastAsia="Cambria" w:hAnsi="Cambria"/>
          <w:b/>
          <w:bCs/>
          <w:color w:val="1A1A1A"/>
          <w:sz w:val="24"/>
          <w:szCs w:val="24"/>
        </w:rPr>
        <w:t xml:space="preserve">Setting and data</w:t>
      </w:r>
    </w:p>
    <w:p>
      <w:pPr>
        <w:spacing w:after="140" w:line="276"/>
      </w:pPr>
      <w:r>
        <w:rPr>
          <w:rFonts w:ascii="Cambria" w:cs="Cambria" w:eastAsia="Cambria" w:hAnsi="Cambria"/>
          <w:sz w:val="22"/>
          <w:szCs w:val="22"/>
        </w:rPr>
        <w:t xml:space="preserve">The setting is coastal fish smoking, where women are 96.9 per cent of processors. Traditional Chorkor ovens emit polycyclic aromatic hydrocarbons at seven to ten times European Union limits, while fuel-efficient Ahotor ovens reduce them. Because Ghanaian fisheries policy promotes higher-value markets through hygiene certification, the conversion pathway is concrete: the oven lowers contaminant levels, which establishes certification eligibility, which opens formal and export buyers. Existing work on the Ahotor oven covers adoption and contaminant levels but not enterprise outcomes. Inland cassava and shea processing, using solar drying and powered milling, supply contrast and the variation in enterprise scale the first hypothesis needs.</w:t>
      </w:r>
    </w:p>
    <w:p>
      <w:pPr>
        <w:spacing w:after="140" w:line="276"/>
      </w:pPr>
      <w:r>
        <w:rPr>
          <w:rFonts w:ascii="Cambria" w:cs="Cambria" w:eastAsia="Cambria" w:hAnsi="Cambria"/>
          <w:sz w:val="22"/>
          <w:szCs w:val="22"/>
        </w:rPr>
        <w:t xml:space="preserve">The sample is 500 enterprises, roughly 300 adopters and 200 non-adopters from the same clusters, drawn from pay-as-you-go solar and Ahotor programme records, which carry the installation dates the event study requires, and from enumeration at landing sites.</w:t>
      </w:r>
    </w:p>
    <w:p>
      <w:pPr>
        <w:pStyle w:val="Heading2"/>
        <w:spacing w:after="120" w:before="300" w:line="276"/>
      </w:pPr>
      <w:r>
        <w:rPr>
          <w:rFonts w:ascii="Cambria" w:cs="Cambria" w:eastAsia="Cambria" w:hAnsi="Cambria"/>
          <w:b/>
          <w:bCs/>
          <w:color w:val="1A1A1A"/>
          <w:sz w:val="24"/>
          <w:szCs w:val="24"/>
        </w:rPr>
        <w:t xml:space="preserve">Identification and measurement</w:t>
      </w:r>
    </w:p>
    <w:p>
      <w:pPr>
        <w:spacing w:after="140" w:line="276"/>
      </w:pPr>
      <w:r>
        <w:rPr>
          <w:rFonts w:ascii="Cambria" w:cs="Cambria" w:eastAsia="Cambria" w:hAnsi="Cambria"/>
          <w:sz w:val="22"/>
          <w:szCs w:val="22"/>
        </w:rPr>
        <w:t xml:space="preserve">Three strategies are combined. A retrospective panel supports an event study with enterprise fixed effects around adoption timing. Comparing converters with non-converters holds adoption constant, removing selection into adoption while remaining diagnostic rather than causal. A discrete choice experiment, fully experimental, randomises support packages across capital form, training, supervision, after-sales service and certification linkage, with attributes validated in formative interviews beforehand. Three hundred adopters completing eight tasks yield 2,400 observations for mixed logit estimation.</w:t>
      </w:r>
    </w:p>
    <w:p>
      <w:pPr>
        <w:spacing w:after="140" w:line="276"/>
      </w:pPr>
      <w:r>
        <w:rPr>
          <w:rFonts w:ascii="Cambria" w:cs="Cambria" w:eastAsia="Cambria" w:hAnsi="Cambria"/>
          <w:sz w:val="22"/>
          <w:szCs w:val="22"/>
        </w:rPr>
        <w:t xml:space="preserve">Two measurement decisions follow from the evidence. Profit is elicited directly, since detailed revenue and expense questions are less accurate and firms underreport revenues by roughly 30 per cent (de Mel et al. 2009). Use is verified by enumerator inspection, since self-reports overstate use by 28 to 46 per cent and miss disadoption (Hing et al. 2023). The gap between reported and verified use is itself a result.</w:t>
      </w:r>
    </w:p>
    <w:p>
      <w:pPr>
        <w:pStyle w:val="Heading2"/>
        <w:spacing w:after="120" w:before="300" w:line="276"/>
      </w:pPr>
      <w:r>
        <w:rPr>
          <w:rFonts w:ascii="Cambria" w:cs="Cambria" w:eastAsia="Cambria" w:hAnsi="Cambria"/>
          <w:b/>
          <w:bCs/>
          <w:color w:val="1A1A1A"/>
          <w:sz w:val="24"/>
          <w:szCs w:val="24"/>
        </w:rPr>
        <w:t xml:space="preserve">Outcomes</w:t>
      </w:r>
    </w:p>
    <w:p>
      <w:pPr>
        <w:spacing w:after="140" w:line="276"/>
      </w:pPr>
      <w:r>
        <w:rPr>
          <w:rFonts w:ascii="Cambria" w:cs="Cambria" w:eastAsia="Cambria" w:hAnsi="Cambria"/>
          <w:sz w:val="22"/>
          <w:szCs w:val="22"/>
        </w:rPr>
        <w:t xml:space="preserve">The primary outcome is enterprise profit per hour of processing labour. Secondary outcomes are verified use, certification status and buyer type, months operated, paid employment, spoilage, energy cost per kilogramme processed, and women's control over revenue. Energy is measured as intensity, not level, since successful conversion expands output and total fuel spending may rise. With 165 converters and 135 non-converters, the design detects 0.33 standard deviations at 80 per cent power.</w:t>
      </w:r>
    </w:p>
    <w:p>
      <w:pPr>
        <w:pStyle w:val="Heading2"/>
        <w:spacing w:after="120" w:before="300" w:line="276"/>
      </w:pPr>
      <w:r>
        <w:rPr>
          <w:rFonts w:ascii="Cambria" w:cs="Cambria" w:eastAsia="Cambria" w:hAnsi="Cambria"/>
          <w:b/>
          <w:bCs/>
          <w:color w:val="1A1A1A"/>
          <w:sz w:val="24"/>
          <w:szCs w:val="24"/>
        </w:rPr>
        <w:t xml:space="preserve">Contribution and policy relevance</w:t>
      </w:r>
    </w:p>
    <w:p>
      <w:pPr>
        <w:spacing w:after="140" w:line="276"/>
      </w:pPr>
      <w:r>
        <w:rPr>
          <w:rFonts w:ascii="Cambria" w:cs="Cambria" w:eastAsia="Cambria" w:hAnsi="Cambria"/>
          <w:sz w:val="22"/>
          <w:szCs w:val="22"/>
        </w:rPr>
        <w:t xml:space="preserve">The study produces the first verified conversion rate for green processing technology in Africa, with an experimental ranking of what closes the gap. The nearest studies estimate adoption-earnings associations in Nigeria (Owusu-Sekyere et al. 2024) and Kenya (Duke and Shell Foundation 2025), but neither measures conversion nor identifies the binding constraint.</w:t>
      </w:r>
    </w:p>
    <w:p>
      <w:pPr>
        <w:spacing w:after="140" w:line="276"/>
      </w:pPr>
      <w:r>
        <w:rPr>
          <w:rFonts w:ascii="Cambria" w:cs="Cambria" w:eastAsia="Cambria" w:hAnsi="Cambria"/>
          <w:sz w:val="22"/>
          <w:szCs w:val="22"/>
        </w:rPr>
        <w:t xml:space="preserve">Green industrial support is meant to be conditional and performance-based. Results-based financing conditions on deployment because conversion has never been measured. This study makes it measurable.</w:t>
      </w:r>
    </w:p>
    <w:p>
      <w:pPr>
        <w:pStyle w:val="Heading2"/>
        <w:spacing w:after="120" w:before="300" w:line="276"/>
      </w:pPr>
      <w:r>
        <w:rPr>
          <w:rFonts w:ascii="Cambria" w:cs="Cambria" w:eastAsia="Cambria" w:hAnsi="Cambria"/>
          <w:b/>
          <w:bCs/>
          <w:color w:val="1A1A1A"/>
          <w:sz w:val="24"/>
          <w:szCs w:val="24"/>
        </w:rPr>
        <w:t xml:space="preserve">Feasibility</w:t>
      </w:r>
    </w:p>
    <w:p>
      <w:pPr>
        <w:spacing w:after="140" w:line="276"/>
      </w:pPr>
      <w:r>
        <w:rPr>
          <w:rFonts w:ascii="Cambria" w:cs="Cambria" w:eastAsia="Cambria" w:hAnsi="Cambria"/>
          <w:sz w:val="22"/>
          <w:szCs w:val="22"/>
        </w:rPr>
        <w:t xml:space="preserve">The schedule allows two months for clearance and instrument design, one for formative interviews and piloting, two for the survey, one for explanatory interviews, four for analysis and writing, and two for an Accra validation workshop and dissemination. The budget is USD 14,300 against the USD 15,000 ceiling.</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 Note — ACET YLR 2027</dc:title>
  <dc:creator>ACET YLR 2027 application</dc:creator>
  <dc:description>Concept note for the ACET Young Leaders in Research 2027 Cohort</dc:description>
  <cp:lastModifiedBy>Un-named</cp:lastModifiedBy>
  <cp:revision>1</cp:revision>
  <dcterms:created xsi:type="dcterms:W3CDTF">2026-08-27T13:44:01.392Z</dcterms:created>
  <dcterms:modified xsi:type="dcterms:W3CDTF">2026-08-27T13:44:01.405Z</dcterms:modified>
</cp:coreProperties>
</file>

<file path=docProps/custom.xml><?xml version="1.0" encoding="utf-8"?>
<Properties xmlns="http://schemas.openxmlformats.org/officeDocument/2006/custom-properties" xmlns:vt="http://schemas.openxmlformats.org/officeDocument/2006/docPropsVTypes"/>
</file>