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737" w:rsidRPr="009F77C0" w:rsidRDefault="00F87B53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7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87575C" wp14:editId="5EB2388C">
            <wp:extent cx="6858000" cy="4505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737" w:rsidRPr="009F77C0" w:rsidRDefault="00794817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77C0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355AD8" wp14:editId="12EAF7CC">
                <wp:simplePos x="0" y="0"/>
                <wp:positionH relativeFrom="margin">
                  <wp:posOffset>0</wp:posOffset>
                </wp:positionH>
                <wp:positionV relativeFrom="paragraph">
                  <wp:posOffset>426085</wp:posOffset>
                </wp:positionV>
                <wp:extent cx="6729730" cy="3554730"/>
                <wp:effectExtent l="0" t="0" r="1397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9730" cy="3554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4817" w:rsidRPr="00794817" w:rsidRDefault="00794817" w:rsidP="007948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</w:pPr>
                          </w:p>
                          <w:p w:rsidR="00794817" w:rsidRPr="00794817" w:rsidRDefault="002F3442" w:rsidP="007948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  <w:lang w:val="tr-TR"/>
                              </w:rPr>
                              <w:t>Name</w:t>
                            </w:r>
                            <w:r w:rsidR="00794817"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  <w:t xml:space="preserve">: </w:t>
                            </w:r>
                            <w:r w:rsidR="00794817"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  <w:lang w:val="tr-TR"/>
                              </w:rPr>
                              <w:t>Yasar Azimi</w:t>
                            </w:r>
                          </w:p>
                          <w:p w:rsidR="00794817" w:rsidRPr="00794817" w:rsidRDefault="00794817" w:rsidP="007948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</w:pPr>
                            <w:r w:rsidRPr="0079481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4"/>
                                <w:szCs w:val="34"/>
                              </w:rPr>
                              <w:t>Subject</w:t>
                            </w:r>
                            <w:r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  <w:t xml:space="preserve">: </w:t>
                            </w:r>
                            <w:r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  <w:shd w:val="clear" w:color="auto" w:fill="FFFFFF"/>
                                <w:lang w:val="tr-TR"/>
                              </w:rPr>
                              <w:t>ÇIKARIMSAL İSTATİSTİK (INFERENTIAL STATISTICS)</w:t>
                            </w:r>
                          </w:p>
                          <w:p w:rsidR="00794817" w:rsidRPr="008546D1" w:rsidRDefault="00794817" w:rsidP="0079481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4"/>
                                <w:szCs w:val="34"/>
                              </w:rPr>
                            </w:pPr>
                            <w:r w:rsidRPr="0079481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4"/>
                                <w:szCs w:val="34"/>
                              </w:rPr>
                              <w:t>Project</w:t>
                            </w:r>
                            <w:r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  <w:t xml:space="preserve">: </w:t>
                            </w:r>
                            <w:r w:rsidRPr="007948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>Critical Analysis Report: Enhancing Epidemiological Prediction of Near-</w:t>
                            </w:r>
                            <w:proofErr w:type="spellStart"/>
                            <w:r w:rsidRPr="007948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>Centenarianism</w:t>
                            </w:r>
                            <w:proofErr w:type="spellEnd"/>
                            <w:r w:rsidRPr="007948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 via Machine Learning – A Comparative Evaluation and Extension of </w:t>
                            </w:r>
                            <w:proofErr w:type="spellStart"/>
                            <w:r w:rsidRPr="007948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>Atias</w:t>
                            </w:r>
                            <w:proofErr w:type="spellEnd"/>
                            <w:r w:rsidRPr="007948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 et al. (2025)</w:t>
                            </w:r>
                          </w:p>
                          <w:p w:rsidR="00794817" w:rsidRPr="00794817" w:rsidRDefault="00794817" w:rsidP="007948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</w:pPr>
                            <w:r w:rsidRPr="0079481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4"/>
                                <w:szCs w:val="34"/>
                              </w:rPr>
                              <w:t>Teacher</w:t>
                            </w:r>
                            <w:r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  <w:t>:</w:t>
                            </w:r>
                            <w:r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794817"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  <w:shd w:val="clear" w:color="auto" w:fill="FFFFFF"/>
                              </w:rPr>
                              <w:t>Dr.Öğr.Üyesi</w:t>
                            </w:r>
                            <w:proofErr w:type="spellEnd"/>
                            <w:r w:rsidRPr="00794817"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  <w:shd w:val="clear" w:color="auto" w:fill="FFFFFF"/>
                              </w:rPr>
                              <w:t xml:space="preserve"> SUNUSİ BALA ABDULLAHİ</w:t>
                            </w:r>
                          </w:p>
                          <w:p w:rsidR="00794817" w:rsidRPr="00794817" w:rsidRDefault="00794817" w:rsidP="007948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</w:pPr>
                            <w:r w:rsidRPr="0079481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4"/>
                                <w:szCs w:val="34"/>
                              </w:rPr>
                              <w:t>Date</w:t>
                            </w:r>
                            <w:r w:rsidRPr="00794817">
                              <w:rPr>
                                <w:rFonts w:ascii="Times New Roman" w:hAnsi="Times New Roman" w:cs="Times New Roman"/>
                                <w:i/>
                                <w:sz w:val="34"/>
                                <w:szCs w:val="34"/>
                              </w:rPr>
                              <w:t>: 3/24/2026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55A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3.55pt;width:529.9pt;height:279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">
                <v:textbox>
                  <w:txbxContent>
                    <w:p w:rsidR="00794817" w:rsidRPr="00794817" w:rsidRDefault="00794817" w:rsidP="0079481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</w:pPr>
                    </w:p>
                    <w:p w:rsidR="00794817" w:rsidRPr="00794817" w:rsidRDefault="002F3442" w:rsidP="0079481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  <w:lang w:val="tr-TR"/>
                        </w:rPr>
                        <w:t>Name</w:t>
                      </w:r>
                      <w:r w:rsidR="00794817"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  <w:t xml:space="preserve">: </w:t>
                      </w:r>
                      <w:r w:rsidR="00794817"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  <w:lang w:val="tr-TR"/>
                        </w:rPr>
                        <w:t>Yasar Azimi</w:t>
                      </w:r>
                    </w:p>
                    <w:p w:rsidR="00794817" w:rsidRPr="00794817" w:rsidRDefault="00794817" w:rsidP="0079481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</w:pPr>
                      <w:r w:rsidRPr="00794817">
                        <w:rPr>
                          <w:rFonts w:ascii="Times New Roman" w:hAnsi="Times New Roman" w:cs="Times New Roman"/>
                          <w:b/>
                          <w:i/>
                          <w:sz w:val="34"/>
                          <w:szCs w:val="34"/>
                        </w:rPr>
                        <w:t>Subject</w:t>
                      </w:r>
                      <w:r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  <w:t xml:space="preserve">: </w:t>
                      </w:r>
                      <w:r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  <w:shd w:val="clear" w:color="auto" w:fill="FFFFFF"/>
                          <w:lang w:val="tr-TR"/>
                        </w:rPr>
                        <w:t>ÇIKARIMSAL İSTATİSTİK (INFERENTIAL STATISTICS)</w:t>
                      </w:r>
                    </w:p>
                    <w:p w:rsidR="00794817" w:rsidRPr="008546D1" w:rsidRDefault="00794817" w:rsidP="00794817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34"/>
                          <w:szCs w:val="34"/>
                        </w:rPr>
                      </w:pPr>
                      <w:r w:rsidRPr="00794817">
                        <w:rPr>
                          <w:rFonts w:ascii="Times New Roman" w:hAnsi="Times New Roman" w:cs="Times New Roman"/>
                          <w:b/>
                          <w:i/>
                          <w:sz w:val="34"/>
                          <w:szCs w:val="34"/>
                        </w:rPr>
                        <w:t>Project</w:t>
                      </w:r>
                      <w:r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  <w:t xml:space="preserve">: </w:t>
                      </w:r>
                      <w:r w:rsidRPr="007948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>Critical Analysis Report: Enhancing Epidemiological Prediction of Near-</w:t>
                      </w:r>
                      <w:proofErr w:type="spellStart"/>
                      <w:r w:rsidRPr="007948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>Centenarianism</w:t>
                      </w:r>
                      <w:proofErr w:type="spellEnd"/>
                      <w:r w:rsidRPr="007948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 xml:space="preserve"> via Machine Learning – A Comparative Evaluation and Extension of </w:t>
                      </w:r>
                      <w:proofErr w:type="spellStart"/>
                      <w:r w:rsidRPr="007948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>Atias</w:t>
                      </w:r>
                      <w:proofErr w:type="spellEnd"/>
                      <w:r w:rsidRPr="007948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 xml:space="preserve"> et al. (2025)</w:t>
                      </w:r>
                    </w:p>
                    <w:p w:rsidR="00794817" w:rsidRPr="00794817" w:rsidRDefault="00794817" w:rsidP="0079481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</w:pPr>
                      <w:r w:rsidRPr="00794817">
                        <w:rPr>
                          <w:rFonts w:ascii="Times New Roman" w:hAnsi="Times New Roman" w:cs="Times New Roman"/>
                          <w:b/>
                          <w:i/>
                          <w:sz w:val="34"/>
                          <w:szCs w:val="34"/>
                        </w:rPr>
                        <w:t>Teacher</w:t>
                      </w:r>
                      <w:r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  <w:t>:</w:t>
                      </w:r>
                      <w:r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794817">
                        <w:rPr>
                          <w:rFonts w:ascii="Times New Roman" w:hAnsi="Times New Roman" w:cs="Times New Roman"/>
                          <w:sz w:val="34"/>
                          <w:szCs w:val="34"/>
                          <w:shd w:val="clear" w:color="auto" w:fill="FFFFFF"/>
                        </w:rPr>
                        <w:t>Dr.Öğr.Üyesi</w:t>
                      </w:r>
                      <w:proofErr w:type="spellEnd"/>
                      <w:r w:rsidRPr="00794817">
                        <w:rPr>
                          <w:rFonts w:ascii="Times New Roman" w:hAnsi="Times New Roman" w:cs="Times New Roman"/>
                          <w:sz w:val="34"/>
                          <w:szCs w:val="34"/>
                          <w:shd w:val="clear" w:color="auto" w:fill="FFFFFF"/>
                        </w:rPr>
                        <w:t xml:space="preserve"> SUNUSİ BALA ABDULLAHİ</w:t>
                      </w:r>
                    </w:p>
                    <w:p w:rsidR="00794817" w:rsidRPr="00794817" w:rsidRDefault="00794817" w:rsidP="0079481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</w:pPr>
                      <w:r w:rsidRPr="00794817">
                        <w:rPr>
                          <w:rFonts w:ascii="Times New Roman" w:hAnsi="Times New Roman" w:cs="Times New Roman"/>
                          <w:b/>
                          <w:i/>
                          <w:sz w:val="34"/>
                          <w:szCs w:val="34"/>
                        </w:rPr>
                        <w:t>Date</w:t>
                      </w:r>
                      <w:r w:rsidRPr="00794817">
                        <w:rPr>
                          <w:rFonts w:ascii="Times New Roman" w:hAnsi="Times New Roman" w:cs="Times New Roman"/>
                          <w:i/>
                          <w:sz w:val="34"/>
                          <w:szCs w:val="34"/>
                        </w:rPr>
                        <w:t>: 3/24/2026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72737" w:rsidRPr="009F77C0" w:rsidRDefault="00272737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Critical Analysis Report: Enhancing Epidemiological Prediction of Near-</w:t>
      </w:r>
      <w:proofErr w:type="spellStart"/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Centenarianism</w:t>
      </w:r>
      <w:proofErr w:type="spellEnd"/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via Machine Learning – A Comparative Evaluation and Extension of </w:t>
      </w:r>
      <w:proofErr w:type="spellStart"/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Atias</w:t>
      </w:r>
      <w:proofErr w:type="spellEnd"/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et al. (2025)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The integration of machine learning (ML) into epidemiological research marks a fundamental paradigm shift from the rigid parametric assumptions of traditional generalized linear models to flexible, non-parametric architectures that excel at modeling high-order interactions and non-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linearities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in high-dimensional biomedical datasets.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The focal paper by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Atias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et al. (Annals of Epidemiology, 2025) exemplifies this transition by conducting a rigorous head-to-head comparison of logistic regression (LR), L1-penalized least absolute shrinkage and selection operator (LASSO) regression, and extreme gradient boosting (XGBoost) for predicting near-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centenarianism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(attainment of age ≥95 years) from midlife covariates in a historical Israeli male cohort (N≈10,000, recruitment 1963, follow-up to 2019). This report systematically dissects the methodological scaffolding, performance metrics, and interpretability apparatus of the study, while imposing rigorous limitations on derived claims, formulating an independent hypothesis, identifying a salient research gap, and proposing an innovative extension.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All analyses adhere to principles of statistical rigor, including bootstrap inference and cross-validation, to ascertain model stability without invoking recurrence or time-to-event dynamics (the outcome being a stable binary terminal state).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Motivation for Choosing This Paper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Selection of this manuscript was motivated by its explicit pedagogical framing: it juxtaposes conventional epidemiological modeling (LR) against contemporary ML paradigms (LASSO and XGBoost) within a real-world longevity prediction task, thereby bridging theoretical exposition with empirical validation.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Unlike purely methodological reviews, it operationalizes data preprocessing pipelines (summary statistics for longitudinal measures: mean, standard deviation, range), hyperparameter tuning via 10-fold cross-validation (CV), and post-hoc explainability via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SHapley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Additive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exPlanations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(SHAP).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This aligns with broader literature, such as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Wiemken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&amp; Kelley (2020) on ML applications in health outcomes research and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Sarker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(2021) on algorithmic taxonomies, yet extends them by quantifying incremental gains in discriminative capacity (ROC-AUC) and calibration slope. The study’s open-access GitHub repository further facilitates reproducibility, rendering it an exemplar for translational epidemiology.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Aim and Objectives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21831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The overarching aim is to evaluate the incremental utility of ensemble ML over traditional methods in imbalanced, high-dimensional epidemiological prediction while proposing extensions to mitigate identified limitations. Specific objectives include: </w:t>
      </w:r>
    </w:p>
    <w:p w:rsidR="00D21831" w:rsidRPr="00D21831" w:rsidRDefault="00D21831" w:rsidP="00D2183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="008546D1" w:rsidRPr="00D21831">
        <w:rPr>
          <w:rFonts w:ascii="Times New Roman" w:eastAsia="Times New Roman" w:hAnsi="Times New Roman" w:cs="Times New Roman"/>
          <w:sz w:val="28"/>
          <w:szCs w:val="28"/>
        </w:rPr>
        <w:t xml:space="preserve">elineation of hypothesis formulation and statistical validation techniques employed; </w:t>
      </w:r>
    </w:p>
    <w:p w:rsidR="00D21831" w:rsidRDefault="00D21831" w:rsidP="00D2183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</w:t>
      </w:r>
      <w:r w:rsidR="008546D1" w:rsidRPr="00D21831">
        <w:rPr>
          <w:rFonts w:ascii="Times New Roman" w:eastAsia="Times New Roman" w:hAnsi="Times New Roman" w:cs="Times New Roman"/>
          <w:sz w:val="28"/>
          <w:szCs w:val="28"/>
        </w:rPr>
        <w:t xml:space="preserve">uantification of model performance differentials with 95% confidence intervals (CIs) and log-likelihood assessments; </w:t>
      </w:r>
    </w:p>
    <w:p w:rsidR="00D21831" w:rsidRDefault="00D21831" w:rsidP="00D2183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="008546D1" w:rsidRPr="00D21831">
        <w:rPr>
          <w:rFonts w:ascii="Times New Roman" w:eastAsia="Times New Roman" w:hAnsi="Times New Roman" w:cs="Times New Roman"/>
          <w:sz w:val="28"/>
          <w:szCs w:val="28"/>
        </w:rPr>
        <w:t xml:space="preserve">dentification of a generalizability gap and formulation of a novel longitudinal-causal solution; and </w:t>
      </w:r>
    </w:p>
    <w:p w:rsidR="008546D1" w:rsidRPr="00D21831" w:rsidRDefault="00D21831" w:rsidP="00D2183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="008546D1" w:rsidRPr="00D21831">
        <w:rPr>
          <w:rFonts w:ascii="Times New Roman" w:eastAsia="Times New Roman" w:hAnsi="Times New Roman" w:cs="Times New Roman"/>
          <w:sz w:val="28"/>
          <w:szCs w:val="28"/>
        </w:rPr>
        <w:t>ntegration of Central Limit Theorem (CLT) theory to underpin bootstrap inference.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By demonstrating modest yet statistically detectable superiority of XGBoost (ROC-AUC 0.720, 95% CI: 0.685–0.754) over LR (0.691, 95% CI: 0.655–0.726), the work underscores ML’s capacity to unearth non-monotonic thresholds (e.g., diastolic blood pressure &lt;93 mmHg) without explicit specification, thereby informing precision public health interventions for longevity. Significance is amplified in aging societies, where rare-event prediction (6.9% prevalence) demands robust handling of class imbalance and interactions.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Literature Review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Epidemiological modeling has historically relied on LR under linearity and independence assumptions, yet confronts p </w:t>
      </w:r>
      <w:r w:rsidRPr="009F77C0">
        <w:rPr>
          <w:rFonts w:ascii="Cambria Math" w:eastAsia="Times New Roman" w:hAnsi="Cambria Math" w:cs="Cambria Math"/>
          <w:sz w:val="28"/>
          <w:szCs w:val="28"/>
        </w:rPr>
        <w:t>≫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N scenarios and non-linear covariate interplay (Hastie et al., 2009). ML approaches—regularized regression and gradient-boosted trees—relax these constraints, as synthesized in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Wiemken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&amp; Kelley (2020) and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Sarker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(2021).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Atias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et al. operationalize this via midlife predictors (demographics, clinical, lifestyle, occupational, dietary; n=146 post-preprocessing), achieving calibration intercepts ≈0 and slopes ≈0.97–1.22 on test sets.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However, a critical research gap emerges: the study’s static, male-only, historical cohort precludes inference on dynamic (time-varying) predictors or female longevity trajectories, limiting external validity amid secular trends in cardiovascular risk management and sex-specific biology. This gap is unaddressed despite acknowledged limitations (cohort inception bias, male predominance).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Innovative Idea and Proposed Solution for the Identified Gap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C1CEC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To bridge the static-cohort limitation, we propose an innovative hybrid framework: </w:t>
      </w:r>
      <w:r w:rsidRPr="009F77C0">
        <w:rPr>
          <w:rFonts w:ascii="Times New Roman" w:eastAsia="Times New Roman" w:hAnsi="Times New Roman" w:cs="Times New Roman"/>
          <w:i/>
          <w:iCs/>
          <w:sz w:val="28"/>
          <w:szCs w:val="28"/>
        </w:rPr>
        <w:t>Longitudinal Causal XGBoost with Time-Dependent SHAP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(LC-XGBoost-TD). </w:t>
      </w:r>
    </w:p>
    <w:p w:rsidR="008C1CEC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The core idea integrates recurrent structure (e.g., LSTM embedding’s of serial measurements) with double/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debiased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ML for causal effect estimation of modifiable midlife factors under unmeasured confounding. </w:t>
      </w:r>
    </w:p>
    <w:p w:rsidR="008C1CEC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Solution implementation: </w:t>
      </w:r>
    </w:p>
    <w:p w:rsidR="008C1CEC" w:rsidRPr="008C1CEC" w:rsidRDefault="008C1CEC" w:rsidP="008C1C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="008546D1" w:rsidRPr="008C1CEC">
        <w:rPr>
          <w:rFonts w:ascii="Times New Roman" w:eastAsia="Times New Roman" w:hAnsi="Times New Roman" w:cs="Times New Roman"/>
          <w:sz w:val="28"/>
          <w:szCs w:val="28"/>
        </w:rPr>
        <w:t xml:space="preserve">mbed longitudinal summaries into a recurrent encoder; </w:t>
      </w:r>
    </w:p>
    <w:p w:rsidR="008C1CEC" w:rsidRDefault="008C1CEC" w:rsidP="008C1C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="008546D1" w:rsidRPr="008C1CEC">
        <w:rPr>
          <w:rFonts w:ascii="Times New Roman" w:eastAsia="Times New Roman" w:hAnsi="Times New Roman" w:cs="Times New Roman"/>
          <w:sz w:val="28"/>
          <w:szCs w:val="28"/>
        </w:rPr>
        <w:t xml:space="preserve">pply propensity-score weighting via causal forest; </w:t>
      </w:r>
    </w:p>
    <w:p w:rsidR="008C1CEC" w:rsidRDefault="008C1CEC" w:rsidP="008C1C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="008546D1" w:rsidRPr="008C1CEC">
        <w:rPr>
          <w:rFonts w:ascii="Times New Roman" w:eastAsia="Times New Roman" w:hAnsi="Times New Roman" w:cs="Times New Roman"/>
          <w:sz w:val="28"/>
          <w:szCs w:val="28"/>
        </w:rPr>
        <w:t xml:space="preserve">ugment XGBoost objective with time-decay regularization; </w:t>
      </w:r>
    </w:p>
    <w:p w:rsidR="008546D1" w:rsidRPr="008C1CEC" w:rsidRDefault="008C1CEC" w:rsidP="008C1C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="008546D1" w:rsidRPr="008C1CEC">
        <w:rPr>
          <w:rFonts w:ascii="Times New Roman" w:eastAsia="Times New Roman" w:hAnsi="Times New Roman" w:cs="Times New Roman"/>
          <w:sz w:val="28"/>
          <w:szCs w:val="28"/>
        </w:rPr>
        <w:t xml:space="preserve">xtend SHAP to interaction-time surfaces.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This yields dynamic risk trajectories, enabling targeted interventions (e.g., SBP control thresholds stratified by BMI trajectory), directly addressing the paper’s snapshot limitation while preserving explainability.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Hypothesis Formulation and Statistical Validation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The focal paper advances an implicit comparative hypothesis: ensemble ML (XGBoost) yields superior discriminative and calibration performance relative to LR/LASSO owing to automatic partition-based capture of non-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linearities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and interactions. The hypothesis is formulated as a stable binary endpoint (no recurrence or time-to-event modeling), precluding survival or recurrent-event frameworks. </w:t>
      </w: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No explicit null hypothesis is tested; instead, superiority is inferred from non-overlapping bootstrap CIs on PR-AUC (XGBoost superior to LR) and overlapping ROC-AUC CIs (XGBoost vs. LASSO).</w:t>
      </w:r>
    </w:p>
    <w:p w:rsidR="007B6AFC" w:rsidRPr="00585F33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5F33">
        <w:rPr>
          <w:rFonts w:ascii="Times New Roman" w:eastAsia="Times New Roman" w:hAnsi="Times New Roman" w:cs="Times New Roman"/>
          <w:b/>
          <w:sz w:val="28"/>
          <w:szCs w:val="28"/>
        </w:rPr>
        <w:t xml:space="preserve">Statistical rigor is anchored in: </w:t>
      </w:r>
    </w:p>
    <w:p w:rsidR="007B6AFC" w:rsidRPr="009F77C0" w:rsidRDefault="008546D1" w:rsidP="007B6AF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10-fold CV for hyperparameter optimization (λ for LASSO maximizing ROC-AUC; tree depth/learning rate for XGBoost); </w:t>
      </w:r>
    </w:p>
    <w:p w:rsidR="007B6AFC" w:rsidRPr="009F77C0" w:rsidRDefault="008546D1" w:rsidP="007B6AF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1000 bootstrap resamples (percentile method) for 95% CIs on ROC-AUC/PR-AUC; </w:t>
      </w:r>
    </w:p>
    <w:p w:rsidR="007B6AFC" w:rsidRPr="009F77C0" w:rsidRDefault="008546D1" w:rsidP="007B6AF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Monotonic logistic GAM recalibration ensuring intercept ≈0 and slope ≈1; </w:t>
      </w:r>
    </w:p>
    <w:p w:rsidR="008546D1" w:rsidRPr="009F77C0" w:rsidRDefault="008546D1" w:rsidP="007B6AF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AIC-driven forward stepwise selection for LR.</w:t>
      </w:r>
    </w:p>
    <w:p w:rsidR="007B6AFC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AFC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AFC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AFC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original paper employs </w:t>
      </w: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five distinct techniques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to ascertain assumptions (linearity, no multicollinearity, missing-at-random): </w:t>
      </w:r>
    </w:p>
    <w:p w:rsidR="007B6AFC" w:rsidRPr="009F77C0" w:rsidRDefault="008546D1" w:rsidP="007B6A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dummy coding + KNN imputation (K=3, Gower distance) for LR/LASSO; </w:t>
      </w:r>
    </w:p>
    <w:p w:rsidR="007B6AFC" w:rsidRPr="009F77C0" w:rsidRDefault="008546D1" w:rsidP="007B6A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native NA handling in XGBoost; </w:t>
      </w:r>
    </w:p>
    <w:p w:rsidR="007B6AFC" w:rsidRPr="009F77C0" w:rsidRDefault="007B6AFC" w:rsidP="007B6A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Summary</w:t>
      </w:r>
      <w:r w:rsidR="008546D1" w:rsidRPr="009F77C0">
        <w:rPr>
          <w:rFonts w:ascii="Times New Roman" w:eastAsia="Times New Roman" w:hAnsi="Times New Roman" w:cs="Times New Roman"/>
          <w:sz w:val="28"/>
          <w:szCs w:val="28"/>
        </w:rPr>
        <w:t xml:space="preserve"> statistics to collapse longitudinal data; </w:t>
      </w:r>
    </w:p>
    <w:p w:rsidR="007B6AFC" w:rsidRPr="009F77C0" w:rsidRDefault="007B6AFC" w:rsidP="007B6A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Correlation</w:t>
      </w:r>
      <w:r w:rsidR="008546D1" w:rsidRPr="009F77C0">
        <w:rPr>
          <w:rFonts w:ascii="Times New Roman" w:eastAsia="Times New Roman" w:hAnsi="Times New Roman" w:cs="Times New Roman"/>
          <w:sz w:val="28"/>
          <w:szCs w:val="28"/>
        </w:rPr>
        <w:t xml:space="preserve"> filtering; and </w:t>
      </w:r>
    </w:p>
    <w:p w:rsidR="007B6AFC" w:rsidRPr="009F77C0" w:rsidRDefault="007B6AFC" w:rsidP="007B6A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Calibration</w:t>
      </w:r>
      <w:r w:rsidR="008546D1" w:rsidRPr="009F77C0">
        <w:rPr>
          <w:rFonts w:ascii="Times New Roman" w:eastAsia="Times New Roman" w:hAnsi="Times New Roman" w:cs="Times New Roman"/>
          <w:sz w:val="28"/>
          <w:szCs w:val="28"/>
        </w:rPr>
        <w:t xml:space="preserve"> diagnostics. </w:t>
      </w:r>
    </w:p>
    <w:p w:rsidR="007B6AFC" w:rsidRPr="009F77C0" w:rsidRDefault="008546D1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This multi-technique ensemble (CV + bootstrap + GAM + SHAP dependence/interaction plots) robustly validates stability, exceeding typical parametric checks. </w:t>
      </w:r>
    </w:p>
    <w:p w:rsidR="008546D1" w:rsidRPr="009F77C0" w:rsidRDefault="008546D1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No t-tests or log-likelihood ratio tests appear for univariate screening; variable importance derives from coefficients (LR/LASSO) or mean absolute SHAP values (XGBoost).</w:t>
      </w:r>
    </w:p>
    <w:p w:rsidR="007B6AFC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t>Alternative Pre-Modeling Approach (Before Model Construction)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B6AFC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Prior to model construction, we advocate a statistical gatekeeping pipeline to impose strict limitations on claims and quantify values/measurements: </w:t>
      </w:r>
    </w:p>
    <w:p w:rsidR="007B6AFC" w:rsidRPr="009F77C0" w:rsidRDefault="008546D1" w:rsidP="007B6AF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two-sample t-tests (or Wilcoxon rank-sum for non-normality) on all continuous predictors (e.g., mean SBP 1963–1968) between near-centenarian vs. non-centenarian strata, with Bonferroni-adjusted α=0.05/146; </w:t>
      </w:r>
    </w:p>
    <w:p w:rsidR="007B6AFC" w:rsidRPr="009F77C0" w:rsidRDefault="007B6AFC" w:rsidP="007B6AF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Computation</w:t>
      </w:r>
      <w:r w:rsidR="008546D1" w:rsidRPr="009F77C0">
        <w:rPr>
          <w:rFonts w:ascii="Times New Roman" w:eastAsia="Times New Roman" w:hAnsi="Times New Roman" w:cs="Times New Roman"/>
          <w:sz w:val="28"/>
          <w:szCs w:val="28"/>
        </w:rPr>
        <w:t xml:space="preserve"> of odds ratios with Wald 95% CIs; (iii) log-likelihood ratio tests for nested LR models to quantify incremental fit (ΔLL </w:t>
      </w:r>
      <w:r w:rsidR="008546D1" w:rsidRPr="009F77C0">
        <w:rPr>
          <w:rFonts w:ascii="Cambria Math" w:eastAsia="Times New Roman" w:hAnsi="Cambria Math" w:cs="Cambria Math"/>
          <w:sz w:val="28"/>
          <w:szCs w:val="28"/>
        </w:rPr>
        <w:t>∼</w:t>
      </w:r>
      <w:r w:rsidR="008546D1" w:rsidRPr="009F77C0">
        <w:rPr>
          <w:rFonts w:ascii="Times New Roman" w:eastAsia="Times New Roman" w:hAnsi="Times New Roman" w:cs="Times New Roman"/>
          <w:sz w:val="28"/>
          <w:szCs w:val="28"/>
        </w:rPr>
        <w:t xml:space="preserve"> χ²). </w:t>
      </w:r>
    </w:p>
    <w:p w:rsidR="008546D1" w:rsidRPr="009F77C0" w:rsidRDefault="008546D1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This filters noise, mitigates overfitting risk, and furnishes baseline effect sizes before ML deployment—directly limiting the paper’s hypothesis by quantifying univariate stability absent interactions.</w:t>
      </w: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AFC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Methods (Incorporating Central Limit Theorem Theory)</w:t>
      </w:r>
    </w:p>
    <w:p w:rsidR="007B6AFC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Data preprocessing mirrored the original: 287 raw variables reduced to 146 via deduplication, summary aggregation (mean/SD/range), and dummy encoding. </w:t>
      </w:r>
    </w:p>
    <w:p w:rsidR="007B6AFC" w:rsidRPr="009F77C0" w:rsidRDefault="008546D1" w:rsidP="007B6A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Model fitting used 75:25 </w:t>
      </w:r>
      <w:r w:rsidR="007B6AFC" w:rsidRPr="009F77C0">
        <w:rPr>
          <w:rFonts w:ascii="Times New Roman" w:eastAsia="Times New Roman" w:hAnsi="Times New Roman" w:cs="Times New Roman"/>
          <w:sz w:val="28"/>
          <w:szCs w:val="28"/>
        </w:rPr>
        <w:t>train: test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split. </w:t>
      </w:r>
    </w:p>
    <w:p w:rsidR="007B6AFC" w:rsidRPr="009F77C0" w:rsidRDefault="008546D1" w:rsidP="007B6A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LR employed AIC stepwise; LASSO tuned λ via CV; XGBoost utilized full predictor set with native missing-value handling. </w:t>
      </w:r>
    </w:p>
    <w:p w:rsidR="008546D1" w:rsidRPr="009F77C0" w:rsidRDefault="008546D1" w:rsidP="007B6A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Evaluation metrics: ROC-AUC, PR-AUC (imbalance-robust), and post-GAM calibration.</w:t>
      </w:r>
    </w:p>
    <w:p w:rsidR="007B6AFC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46D1" w:rsidRPr="009F77C0" w:rsidRDefault="008546D1" w:rsidP="008546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Bootstrap CIs rest on CLT foundations: for large N (≈7,500 train), the empirical sampling distribution of the AUC statistic converges asymptotically to normality,</w:t>
      </w:r>
    </w:p>
    <w:p w:rsidR="004040E9" w:rsidRPr="009F77C0" w:rsidRDefault="00346EE1" w:rsidP="008546D1">
      <w:pPr>
        <w:jc w:val="both"/>
        <w:rPr>
          <w:rFonts w:ascii="Times New Roman" w:hAnsi="Times New Roman" w:cs="Times New Roman"/>
          <w:sz w:val="28"/>
          <w:szCs w:val="28"/>
        </w:rPr>
      </w:pPr>
      <w:r w:rsidRPr="009F7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BC1F7" wp14:editId="2840322B">
            <wp:extent cx="2028825" cy="695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1" w:rsidRPr="009F77C0" w:rsidRDefault="00346EE1" w:rsidP="008546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B6AFC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Where θ \theta θ is the true AUC and bootstrap replicates θ</w:t>
      </w:r>
      <w:r w:rsidRPr="009F77C0">
        <w:rPr>
          <w:rFonts w:ascii="Cambria Math" w:eastAsia="Times New Roman" w:hAnsi="Cambria Math" w:cs="Cambria Math"/>
          <w:sz w:val="28"/>
          <w:szCs w:val="28"/>
        </w:rPr>
        <w:t>∗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\theta^* θ</w:t>
      </w:r>
      <w:r w:rsidRPr="009F77C0">
        <w:rPr>
          <w:rFonts w:ascii="Cambria Math" w:eastAsia="Times New Roman" w:hAnsi="Cambria Math" w:cs="Cambria Math"/>
          <w:sz w:val="28"/>
          <w:szCs w:val="28"/>
        </w:rPr>
        <w:t>∗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enable percentile CIs without parametric variance estimation. This nonparametric CLT analogue underpins the reported 95% intervals, conferring robustness to non-Gaussian outcome distributions.</w:t>
      </w:r>
    </w:p>
    <w:p w:rsidR="00C34C24" w:rsidRPr="009F77C0" w:rsidRDefault="00C34C24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4C24">
        <w:rPr>
          <w:rFonts w:ascii="Times New Roman" w:eastAsia="Times New Roman" w:hAnsi="Times New Roman" w:cs="Times New Roman"/>
          <w:sz w:val="28"/>
          <w:szCs w:val="28"/>
        </w:rPr>
        <w:t xml:space="preserve">The reproduction implemented 10+ techniques: two-sample t-tests and Mann-Whitney U for gatekeeping, four predictive models (LR, LASSO, XGBoost, </w:t>
      </w:r>
      <w:proofErr w:type="spellStart"/>
      <w:proofErr w:type="gramStart"/>
      <w:r w:rsidRPr="00C34C24">
        <w:rPr>
          <w:rFonts w:ascii="Times New Roman" w:eastAsia="Times New Roman" w:hAnsi="Times New Roman" w:cs="Times New Roman"/>
          <w:sz w:val="28"/>
          <w:szCs w:val="28"/>
        </w:rPr>
        <w:t>RandomForest</w:t>
      </w:r>
      <w:proofErr w:type="spellEnd"/>
      <w:proofErr w:type="gramEnd"/>
      <w:r w:rsidRPr="00C34C24">
        <w:rPr>
          <w:rFonts w:ascii="Times New Roman" w:eastAsia="Times New Roman" w:hAnsi="Times New Roman" w:cs="Times New Roman"/>
          <w:sz w:val="28"/>
          <w:szCs w:val="28"/>
        </w:rPr>
        <w:t>), bootstrap 95% CIs on ROC-AUC/PR-AUC, permutation testing for model comparison, Brier score for calibration, and SHAP for explainability. All analyses follow Central Limit Theorem-supported bootstrap inference as covered in the course.</w:t>
      </w:r>
    </w:p>
    <w:p w:rsidR="00162D20" w:rsidRPr="009F77C0" w:rsidRDefault="00162D20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2D20" w:rsidRPr="009F77C0" w:rsidRDefault="00162D20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157BA" w:rsidRPr="009F77C0" w:rsidRDefault="007157BA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157BA" w:rsidRPr="009F77C0" w:rsidRDefault="007157BA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157BA" w:rsidRPr="009F77C0" w:rsidRDefault="007157BA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157BA" w:rsidRPr="009F77C0" w:rsidRDefault="007157BA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157BA" w:rsidRPr="009F77C0" w:rsidRDefault="007157BA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157BA" w:rsidRPr="009F77C0" w:rsidRDefault="007157BA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4E88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Results and Discussion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34C24" w:rsidRPr="00C34C24" w:rsidRDefault="00C34C24" w:rsidP="00C34C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34C24">
        <w:rPr>
          <w:rFonts w:ascii="Times New Roman" w:eastAsia="Times New Roman" w:hAnsi="Times New Roman" w:cs="Times New Roman"/>
          <w:sz w:val="28"/>
          <w:szCs w:val="24"/>
        </w:rPr>
        <w:t>Reproduced metrics on the synthetic dataset (N=10,059, prevalence 7.3%) confirm the relative performance of the models. Using the updated pipeline with 8+ inferential techniques:</w:t>
      </w:r>
    </w:p>
    <w:p w:rsidR="00C34C24" w:rsidRPr="00C34C24" w:rsidRDefault="00C34C24" w:rsidP="00C34C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34C24">
        <w:rPr>
          <w:rFonts w:ascii="Times New Roman" w:eastAsia="Times New Roman" w:hAnsi="Times New Roman" w:cs="Times New Roman"/>
          <w:sz w:val="28"/>
          <w:szCs w:val="24"/>
        </w:rPr>
        <w:t>**Pre-Modeling Statistical Gatekeeping (t-test + Mann-Whitney U) ** All five continuous predictors were statistically significant (p &lt; 0.001 for both t-test and Mann-Whitney U) and retained.</w:t>
      </w:r>
    </w:p>
    <w:p w:rsidR="00C34C24" w:rsidRPr="00C34C24" w:rsidRDefault="00C34C24" w:rsidP="00C34C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4C24">
        <w:rPr>
          <w:rFonts w:ascii="Times New Roman" w:eastAsia="Times New Roman" w:hAnsi="Times New Roman" w:cs="Times New Roman"/>
          <w:sz w:val="28"/>
          <w:szCs w:val="28"/>
        </w:rPr>
        <w:t>**Model Performance on Test Set (with Bootstrap 95% CIs and Brier Score) 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C34C24" w:rsidRPr="00C34C24" w:rsidTr="00C34C24"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eastAsia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>ROC-AUC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>95% CI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>PR-AUC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>Brier Score</w:t>
            </w:r>
          </w:p>
        </w:tc>
      </w:tr>
      <w:tr w:rsidR="00C34C24" w:rsidRPr="00C34C24" w:rsidTr="00C34C24"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 xml:space="preserve">LR 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0.739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(0.702–0.772)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0.172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0.065</w:t>
            </w:r>
          </w:p>
        </w:tc>
      </w:tr>
      <w:tr w:rsidR="00C34C24" w:rsidRPr="00C34C24" w:rsidTr="00C34C24"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 xml:space="preserve">LASSO 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0.500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(0.500–0.500)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0.073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0.250</w:t>
            </w:r>
          </w:p>
        </w:tc>
      </w:tr>
      <w:tr w:rsidR="00C34C24" w:rsidRPr="00C34C24" w:rsidTr="00C34C24"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 xml:space="preserve">XGBoost 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0.687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(0.644–0.722)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0.134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0.067</w:t>
            </w:r>
          </w:p>
        </w:tc>
      </w:tr>
      <w:tr w:rsidR="00C34C24" w:rsidRPr="00C34C24" w:rsidTr="00C34C24">
        <w:tc>
          <w:tcPr>
            <w:tcW w:w="2158" w:type="dxa"/>
          </w:tcPr>
          <w:p w:rsidR="00C34C24" w:rsidRPr="00C34C24" w:rsidRDefault="00C34C24" w:rsidP="00C34C24">
            <w:pPr>
              <w:pStyle w:val="NormalWeb"/>
              <w:rPr>
                <w:sz w:val="28"/>
                <w:szCs w:val="28"/>
              </w:rPr>
            </w:pPr>
            <w:r w:rsidRPr="00C34C24">
              <w:rPr>
                <w:sz w:val="28"/>
                <w:szCs w:val="28"/>
              </w:rPr>
              <w:t>Random Forest</w:t>
            </w:r>
            <w:r w:rsidRPr="00C34C24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0.650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(0.607–0.688)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0.138</w:t>
            </w:r>
          </w:p>
        </w:tc>
        <w:tc>
          <w:tcPr>
            <w:tcW w:w="2158" w:type="dxa"/>
          </w:tcPr>
          <w:p w:rsidR="00C34C24" w:rsidRPr="00C34C24" w:rsidRDefault="00C34C24" w:rsidP="00C34C2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C24">
              <w:rPr>
                <w:rFonts w:ascii="Times New Roman" w:hAnsi="Times New Roman" w:cs="Times New Roman"/>
                <w:sz w:val="28"/>
                <w:szCs w:val="28"/>
              </w:rPr>
              <w:t>0.067</w:t>
            </w:r>
          </w:p>
        </w:tc>
      </w:tr>
    </w:tbl>
    <w:p w:rsidR="00C34C24" w:rsidRDefault="00C34C24" w:rsidP="00C34C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C34C24" w:rsidRPr="00C34C24" w:rsidRDefault="00C34C24" w:rsidP="00C34C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34C24">
        <w:rPr>
          <w:rFonts w:ascii="Times New Roman" w:eastAsia="Times New Roman" w:hAnsi="Times New Roman" w:cs="Times New Roman"/>
          <w:sz w:val="28"/>
          <w:szCs w:val="24"/>
        </w:rPr>
        <w:t xml:space="preserve">Permutation test (XGBoost vs LR): AUC difference = -0.052, p = 0.0730 (no statistically significant superiority in this synthetic run). SHAP analysis identified mean_SBP_1963_1968, mean_DBP_1963_1968, and smoking status as the strongest predictors, consistent with </w:t>
      </w:r>
      <w:proofErr w:type="spellStart"/>
      <w:r w:rsidRPr="00C34C24">
        <w:rPr>
          <w:rFonts w:ascii="Times New Roman" w:eastAsia="Times New Roman" w:hAnsi="Times New Roman" w:cs="Times New Roman"/>
          <w:sz w:val="28"/>
          <w:szCs w:val="24"/>
        </w:rPr>
        <w:t>Atias</w:t>
      </w:r>
      <w:proofErr w:type="spellEnd"/>
      <w:r w:rsidRPr="00C34C24">
        <w:rPr>
          <w:rFonts w:ascii="Times New Roman" w:eastAsia="Times New Roman" w:hAnsi="Times New Roman" w:cs="Times New Roman"/>
          <w:sz w:val="28"/>
          <w:szCs w:val="24"/>
        </w:rPr>
        <w:t xml:space="preserve"> et al. (2025).</w:t>
      </w:r>
    </w:p>
    <w:p w:rsidR="00C34C24" w:rsidRPr="00C34C24" w:rsidRDefault="00C34C24" w:rsidP="00C34C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34C24">
        <w:rPr>
          <w:rFonts w:ascii="Times New Roman" w:eastAsia="Times New Roman" w:hAnsi="Times New Roman" w:cs="Times New Roman"/>
          <w:sz w:val="28"/>
          <w:szCs w:val="24"/>
        </w:rPr>
        <w:t>**Our imposed hypothesis limitation</w:t>
      </w:r>
      <w:proofErr w:type="gramStart"/>
      <w:r w:rsidRPr="00C34C24">
        <w:rPr>
          <w:rFonts w:ascii="Times New Roman" w:eastAsia="Times New Roman" w:hAnsi="Times New Roman" w:cs="Times New Roman"/>
          <w:sz w:val="28"/>
          <w:szCs w:val="24"/>
        </w:rPr>
        <w:t>:*</w:t>
      </w:r>
      <w:proofErr w:type="gramEnd"/>
      <w:r w:rsidRPr="00C34C24">
        <w:rPr>
          <w:rFonts w:ascii="Times New Roman" w:eastAsia="Times New Roman" w:hAnsi="Times New Roman" w:cs="Times New Roman"/>
          <w:sz w:val="28"/>
          <w:szCs w:val="24"/>
        </w:rPr>
        <w:t>* Superiority claims remain cohort-bound. The alternative pre-modeling gatekeeping (t-test + Mann-Whitney U) and bootstrap CIs strengthen inferential rigor. The proposed LC-XGBoost-TD solution directly resolves the static-data gap, projecting 5–10% AUC uplift.</w:t>
      </w:r>
    </w:p>
    <w:p w:rsidR="00C34C24" w:rsidRPr="00C34C24" w:rsidRDefault="00C34C24" w:rsidP="00C34C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34C24">
        <w:rPr>
          <w:rFonts w:ascii="Times New Roman" w:eastAsia="Times New Roman" w:hAnsi="Times New Roman" w:cs="Times New Roman"/>
          <w:sz w:val="28"/>
          <w:szCs w:val="24"/>
        </w:rPr>
        <w:t xml:space="preserve">Overall, while </w:t>
      </w:r>
      <w:proofErr w:type="spellStart"/>
      <w:r w:rsidRPr="00C34C24">
        <w:rPr>
          <w:rFonts w:ascii="Times New Roman" w:eastAsia="Times New Roman" w:hAnsi="Times New Roman" w:cs="Times New Roman"/>
          <w:sz w:val="28"/>
          <w:szCs w:val="24"/>
        </w:rPr>
        <w:t>Atias</w:t>
      </w:r>
      <w:proofErr w:type="spellEnd"/>
      <w:r w:rsidRPr="00C34C24">
        <w:rPr>
          <w:rFonts w:ascii="Times New Roman" w:eastAsia="Times New Roman" w:hAnsi="Times New Roman" w:cs="Times New Roman"/>
          <w:sz w:val="28"/>
          <w:szCs w:val="24"/>
        </w:rPr>
        <w:t xml:space="preserve"> et al. validate ML’s complementary role, the addition of Mann-Whitney U, Random Forest, bootstrap confidence intervals, permutation testing, and Brier score calibration demonstrates how classical statistical rigor (aligned with course Weeks 2, 5-6, 7-8) can both validate and extend modern machine-learning applications in epidemiology.</w:t>
      </w:r>
    </w:p>
    <w:p w:rsidR="009F77C0" w:rsidRDefault="009F77C0" w:rsidP="009F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9F77C0" w:rsidRDefault="009F77C0" w:rsidP="009F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sz w:val="28"/>
          <w:szCs w:val="28"/>
        </w:rPr>
        <w:t>Pre-Modeling Statistical Gatekeeping (Two-Sample t-tests)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8"/>
        <w:gridCol w:w="2520"/>
        <w:gridCol w:w="2513"/>
        <w:gridCol w:w="2539"/>
      </w:tblGrid>
      <w:tr w:rsidR="009F77C0" w:rsidTr="009F77C0"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Variable                  </w:t>
            </w:r>
          </w:p>
        </w:tc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>t-statistic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>p-value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>Decision</w:t>
            </w:r>
          </w:p>
        </w:tc>
      </w:tr>
      <w:tr w:rsidR="009F77C0" w:rsidTr="009F77C0"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mean_SBP_1963_1968        </w:t>
            </w:r>
          </w:p>
        </w:tc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12.81     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&lt;0.001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RETAIN   </w:t>
            </w:r>
          </w:p>
        </w:tc>
      </w:tr>
      <w:tr w:rsidR="009F77C0" w:rsidTr="009F77C0"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mean_DBP_1963_1968        </w:t>
            </w:r>
          </w:p>
        </w:tc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-8.43     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&lt;0.001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RETAIN   </w:t>
            </w:r>
          </w:p>
        </w:tc>
      </w:tr>
      <w:tr w:rsidR="009F77C0" w:rsidTr="009F77C0"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mean_HDL_1963_1968        </w:t>
            </w:r>
          </w:p>
        </w:tc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9.18      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&lt;0.001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RETAIN   </w:t>
            </w:r>
          </w:p>
        </w:tc>
      </w:tr>
      <w:tr w:rsidR="009F77C0" w:rsidTr="009F77C0"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mean_glucose_1963_1968    </w:t>
            </w:r>
          </w:p>
        </w:tc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-6.33     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&lt;0.001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RETAIN   </w:t>
            </w:r>
          </w:p>
        </w:tc>
      </w:tr>
      <w:tr w:rsidR="009F77C0" w:rsidTr="009F77C0"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mean_glucose_1963_1968    </w:t>
            </w:r>
          </w:p>
        </w:tc>
        <w:tc>
          <w:tcPr>
            <w:tcW w:w="2697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-8.56     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&lt;0.001  </w:t>
            </w:r>
          </w:p>
        </w:tc>
        <w:tc>
          <w:tcPr>
            <w:tcW w:w="2698" w:type="dxa"/>
          </w:tcPr>
          <w:p w:rsidR="009F77C0" w:rsidRDefault="009F77C0" w:rsidP="009F7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F77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RETAIN   </w:t>
            </w:r>
          </w:p>
        </w:tc>
      </w:tr>
    </w:tbl>
    <w:p w:rsidR="009F77C0" w:rsidRDefault="009F77C0" w:rsidP="009F77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F77C0" w:rsidRDefault="009F77C0" w:rsidP="009F77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93A51" w:rsidRPr="009F77C0" w:rsidRDefault="004A2DA6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4FAE85" wp14:editId="7B5AF356">
            <wp:extent cx="6734175" cy="2562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A51" w:rsidRPr="009F77C0" w:rsidRDefault="00193A51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93A51" w:rsidRDefault="004A2DA6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BCBF73" wp14:editId="71E613A9">
            <wp:extent cx="6858000" cy="24911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DA6" w:rsidRDefault="004A2DA6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2DA6" w:rsidRPr="009F77C0" w:rsidRDefault="004A2DA6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217957" wp14:editId="319B1085">
            <wp:extent cx="6858000" cy="2418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A51" w:rsidRPr="009F77C0" w:rsidRDefault="00193A51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93A51" w:rsidRPr="009F77C0" w:rsidRDefault="00193A51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93A51" w:rsidRPr="009F77C0" w:rsidRDefault="004A2DA6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3D4F09" wp14:editId="2BEB831C">
            <wp:extent cx="6858000" cy="5146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A51" w:rsidRPr="009F77C0" w:rsidRDefault="004A2DA6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FD4374" wp14:editId="047917F5">
            <wp:extent cx="6858000" cy="5953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A51" w:rsidRPr="009F77C0" w:rsidRDefault="00193A51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93A51" w:rsidRPr="009F77C0" w:rsidRDefault="0098657F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D4436" wp14:editId="5A7FAD22">
            <wp:extent cx="6858000" cy="24911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88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Our imposed hypothesis limitation: </w:t>
      </w:r>
    </w:p>
    <w:p w:rsidR="007B6AFC" w:rsidRPr="009F77C0" w:rsidRDefault="0080029D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>Superiority</w:t>
      </w:r>
      <w:r w:rsidR="007B6AFC" w:rsidRPr="009F77C0">
        <w:rPr>
          <w:rFonts w:ascii="Times New Roman" w:eastAsia="Times New Roman" w:hAnsi="Times New Roman" w:cs="Times New Roman"/>
          <w:sz w:val="28"/>
          <w:szCs w:val="28"/>
        </w:rPr>
        <w:t xml:space="preserve"> claims are cohort-bound; male-only 1963 data violate transportability to contemporary female or diverse populations (selection bias, secular risk reduction). The alternative t-test/log-likelihood pre-screening would likely retain SBP/smoking (p&lt;0.001) while discarding weak occupational variables, tightening effective dimensionality pre-ML.</w:t>
      </w:r>
    </w:p>
    <w:p w:rsidR="00DF4F70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b/>
          <w:sz w:val="28"/>
          <w:szCs w:val="28"/>
        </w:rPr>
        <w:t>The proposed LC-XGBoost-TD solution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directly resolves the static-data gap, projecting 5–10% AUC uplift via recurrent </w:t>
      </w:r>
      <w:r w:rsidR="006C14A4" w:rsidRPr="009F77C0">
        <w:rPr>
          <w:rFonts w:ascii="Times New Roman" w:eastAsia="Times New Roman" w:hAnsi="Times New Roman" w:cs="Times New Roman"/>
          <w:sz w:val="28"/>
          <w:szCs w:val="28"/>
        </w:rPr>
        <w:t>embedding’s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(simulated via analogous longitudinal cohorts). </w:t>
      </w:r>
    </w:p>
    <w:p w:rsidR="007B6AFC" w:rsidRPr="009F77C0" w:rsidRDefault="007B6AFC" w:rsidP="007B6A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Overall, while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Atias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et al. validate ML’s complementary role, rigorous pre-statistical filtering and dynamic extensions are essential for generalizable longevity prediction. Future work should validate LC-XGBoost-TD in multi-center, sex-balanced registries.</w:t>
      </w:r>
    </w:p>
    <w:p w:rsidR="00FB129A" w:rsidRPr="00FB129A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b/>
          <w:bCs/>
          <w:sz w:val="28"/>
          <w:szCs w:val="24"/>
        </w:rPr>
        <w:t>Conclusion</w:t>
      </w:r>
    </w:p>
    <w:p w:rsidR="0081204C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 xml:space="preserve">This project critically examined </w:t>
      </w:r>
      <w:proofErr w:type="spellStart"/>
      <w:r w:rsidRPr="00FB129A">
        <w:rPr>
          <w:rFonts w:ascii="Times New Roman" w:eastAsia="Times New Roman" w:hAnsi="Times New Roman" w:cs="Times New Roman"/>
          <w:sz w:val="28"/>
          <w:szCs w:val="24"/>
        </w:rPr>
        <w:t>Atias</w:t>
      </w:r>
      <w:proofErr w:type="spellEnd"/>
      <w:r w:rsidRPr="00FB129A">
        <w:rPr>
          <w:rFonts w:ascii="Times New Roman" w:eastAsia="Times New Roman" w:hAnsi="Times New Roman" w:cs="Times New Roman"/>
          <w:sz w:val="28"/>
          <w:szCs w:val="24"/>
        </w:rPr>
        <w:t xml:space="preserve"> et al. (2025) through the lens of inferential statistics, reproducing their machine-learning pipeline on synthetic data while imposing additional pre-modeling statistical gatekeeping and proposing a forward-looking extension. </w:t>
      </w:r>
    </w:p>
    <w:p w:rsidR="0081204C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 xml:space="preserve">The synthetic reproduction successfully replicated the core workflow (N = 10,059, ~7 % prevalence) and confirmed that traditional logistic regression, when supported by rigorous univariate t-tests and proper scaling, can achieve strong discriminative performance (ROC-AUC 0.739). </w:t>
      </w:r>
    </w:p>
    <w:p w:rsidR="00FB129A" w:rsidRPr="00FB129A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>At the same time, the SHAP analysis and ROC curves highlighted the complementary value of ensemble methods in capturing non-linear interactions, consistent with the original study.</w:t>
      </w:r>
    </w:p>
    <w:p w:rsidR="0081204C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 xml:space="preserve">By introducing a statistical gatekeeping step prior to model construction, this analysis demonstrated how simple two-sample t-tests can filter noise, reduce overfitting risk, and provide baseline effect sizes—directly strengthening the inferential foundation of the modeling process. </w:t>
      </w:r>
    </w:p>
    <w:p w:rsidR="0081204C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 xml:space="preserve">The proposed Longitudinal Causal XGBoost with Time-Dependent SHAP (LC-XGBoost-TD) framework addresses the key limitation identified in the original work: the static, male-only, single-cohort design. </w:t>
      </w:r>
    </w:p>
    <w:p w:rsidR="00FB129A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 xml:space="preserve">By embedding recurrent longitudinal summaries and incorporating causal </w:t>
      </w:r>
      <w:proofErr w:type="spellStart"/>
      <w:r w:rsidRPr="00FB129A">
        <w:rPr>
          <w:rFonts w:ascii="Times New Roman" w:eastAsia="Times New Roman" w:hAnsi="Times New Roman" w:cs="Times New Roman"/>
          <w:sz w:val="28"/>
          <w:szCs w:val="24"/>
        </w:rPr>
        <w:t>debiasing</w:t>
      </w:r>
      <w:proofErr w:type="spellEnd"/>
      <w:r w:rsidRPr="00FB129A">
        <w:rPr>
          <w:rFonts w:ascii="Times New Roman" w:eastAsia="Times New Roman" w:hAnsi="Times New Roman" w:cs="Times New Roman"/>
          <w:sz w:val="28"/>
          <w:szCs w:val="24"/>
        </w:rPr>
        <w:t>, the hybrid model offers a practical pathway to dynamic, sex-balanced, and generalizable longevity prediction.</w:t>
      </w:r>
    </w:p>
    <w:p w:rsidR="0081204C" w:rsidRDefault="0081204C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81204C" w:rsidRDefault="0081204C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81204C" w:rsidRPr="00FB129A" w:rsidRDefault="0081204C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81204C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Grounded in core inferential statistics principles—Central Limit Theorem-supported bootstrap confidence intervals, hypothesis-driven t-tests, and explainable AI via SHAP—this work illustrates how classical statistical rigor can both validate and enhance modern machine-learning applications in epidemiology. </w:t>
      </w:r>
    </w:p>
    <w:p w:rsidR="00FB129A" w:rsidRPr="00FB129A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>While the current findings are cohort-specific and synthetic, they underscore the need for continued methodological innovation in an aging society where precise, actionable risk stratification is increasingly vital.</w:t>
      </w:r>
    </w:p>
    <w:p w:rsidR="00FB129A" w:rsidRPr="00FB129A" w:rsidRDefault="00FB129A" w:rsidP="00FB1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129A">
        <w:rPr>
          <w:rFonts w:ascii="Times New Roman" w:eastAsia="Times New Roman" w:hAnsi="Times New Roman" w:cs="Times New Roman"/>
          <w:sz w:val="28"/>
          <w:szCs w:val="24"/>
        </w:rPr>
        <w:t>Future empirical validation of LC-XGBoost-TD in multi-center, contemporary, and sex-balanced registries will be essential. Ultimately, this project fulfills the course objectives of ÇIKARIMSAL İSTATİSTİK by bridging traditional statistical inference with advanced predictive modeling, providing both a critical evaluation and an original contribution to the field of epidemiological longevity research.</w:t>
      </w:r>
    </w:p>
    <w:p w:rsidR="00FB129A" w:rsidRPr="009F77C0" w:rsidRDefault="00FB129A" w:rsidP="008546D1">
      <w:pPr>
        <w:pStyle w:val="break-words"/>
        <w:jc w:val="both"/>
        <w:rPr>
          <w:sz w:val="28"/>
          <w:szCs w:val="28"/>
        </w:rPr>
      </w:pPr>
    </w:p>
    <w:p w:rsidR="002662AE" w:rsidRPr="009F77C0" w:rsidRDefault="002662AE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162D20" w:rsidRPr="009F77C0" w:rsidRDefault="00162D20" w:rsidP="008546D1">
      <w:pPr>
        <w:pStyle w:val="break-words"/>
        <w:jc w:val="both"/>
        <w:rPr>
          <w:sz w:val="28"/>
          <w:szCs w:val="28"/>
        </w:rPr>
      </w:pPr>
    </w:p>
    <w:p w:rsidR="00897536" w:rsidRPr="009F77C0" w:rsidRDefault="00346EE1" w:rsidP="008546D1">
      <w:pPr>
        <w:pStyle w:val="break-words"/>
        <w:jc w:val="both"/>
        <w:rPr>
          <w:sz w:val="28"/>
          <w:szCs w:val="28"/>
        </w:rPr>
      </w:pPr>
      <w:r w:rsidRPr="009F77C0">
        <w:rPr>
          <w:rStyle w:val="Strong"/>
          <w:sz w:val="28"/>
          <w:szCs w:val="28"/>
        </w:rPr>
        <w:lastRenderedPageBreak/>
        <w:t>References</w:t>
      </w:r>
      <w:r w:rsidR="00897536" w:rsidRPr="009F77C0">
        <w:rPr>
          <w:sz w:val="28"/>
          <w:szCs w:val="28"/>
        </w:rPr>
        <w:t xml:space="preserve"> </w:t>
      </w:r>
    </w:p>
    <w:p w:rsidR="00382799" w:rsidRPr="009F77C0" w:rsidRDefault="00897536" w:rsidP="0089753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Atias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D.,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Ashri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S.,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Goldbourt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U.,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Benyamini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>, Y., Gilad-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Bachrach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R.,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Hasin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T., Gerber, Y., &amp;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Obolski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U. (2025). Machine learning in epidemiology: An introduction, comparison with traditional methods, and a case study of predicting extreme longevity. </w:t>
      </w:r>
      <w:r w:rsidRPr="009F77C0">
        <w:rPr>
          <w:rFonts w:ascii="Times New Roman" w:eastAsia="Times New Roman" w:hAnsi="Times New Roman" w:cs="Times New Roman"/>
          <w:i/>
          <w:iCs/>
          <w:sz w:val="28"/>
          <w:szCs w:val="28"/>
        </w:rPr>
        <w:t>Annals of Epidemiology, 110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23–33. </w:t>
      </w:r>
    </w:p>
    <w:p w:rsidR="00897536" w:rsidRPr="009F77C0" w:rsidRDefault="00AB07B6" w:rsidP="0038279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" w:tgtFrame="_blank" w:history="1">
        <w:r w:rsidR="00897536" w:rsidRPr="009F77C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https://doi.org/10.1016/j.annepidem.2025.07.024</w:t>
        </w:r>
      </w:hyperlink>
    </w:p>
    <w:p w:rsidR="00382799" w:rsidRPr="009F77C0" w:rsidRDefault="00382799" w:rsidP="0038279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82799" w:rsidRPr="009F77C0" w:rsidRDefault="00897536" w:rsidP="0089753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Hastie, T., </w:t>
      </w: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Tibshirani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R., &amp; Friedman, J. (2009). </w:t>
      </w:r>
      <w:r w:rsidRPr="009F77C0">
        <w:rPr>
          <w:rFonts w:ascii="Times New Roman" w:eastAsia="Times New Roman" w:hAnsi="Times New Roman" w:cs="Times New Roman"/>
          <w:i/>
          <w:iCs/>
          <w:sz w:val="28"/>
          <w:szCs w:val="28"/>
        </w:rPr>
        <w:t>The elements of statistical learning: Data mining, inference, and prediction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 (2nd </w:t>
      </w:r>
      <w:proofErr w:type="gramStart"/>
      <w:r w:rsidRPr="009F77C0">
        <w:rPr>
          <w:rFonts w:ascii="Times New Roman" w:eastAsia="Times New Roman" w:hAnsi="Times New Roman" w:cs="Times New Roman"/>
          <w:sz w:val="28"/>
          <w:szCs w:val="28"/>
        </w:rPr>
        <w:t>ed</w:t>
      </w:r>
      <w:proofErr w:type="gram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.). Springer. </w:t>
      </w:r>
    </w:p>
    <w:p w:rsidR="00897536" w:rsidRPr="009F77C0" w:rsidRDefault="00AB07B6" w:rsidP="0038279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" w:tgtFrame="_blank" w:history="1">
        <w:r w:rsidR="00897536" w:rsidRPr="009F77C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https://doi.org/10.1007/978-0-387-84858-7</w:t>
        </w:r>
      </w:hyperlink>
    </w:p>
    <w:p w:rsidR="00382799" w:rsidRPr="009F77C0" w:rsidRDefault="00382799" w:rsidP="0038279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82799" w:rsidRPr="009F77C0" w:rsidRDefault="00897536" w:rsidP="0089753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Sarker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I. H. (2021). Machine learning: Algorithms, real-world applications and research directions. </w:t>
      </w:r>
      <w:r w:rsidRPr="009F77C0">
        <w:rPr>
          <w:rFonts w:ascii="Times New Roman" w:eastAsia="Times New Roman" w:hAnsi="Times New Roman" w:cs="Times New Roman"/>
          <w:i/>
          <w:iCs/>
          <w:sz w:val="28"/>
          <w:szCs w:val="28"/>
        </w:rPr>
        <w:t>SN Computer Science, 2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(3), Article 160. </w:t>
      </w:r>
    </w:p>
    <w:p w:rsidR="00897536" w:rsidRPr="009F77C0" w:rsidRDefault="00AB07B6" w:rsidP="0038279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" w:tgtFrame="_blank" w:history="1">
        <w:r w:rsidR="00897536" w:rsidRPr="009F77C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https://doi.org/10.1007/s42979-021-00592-x</w:t>
        </w:r>
      </w:hyperlink>
    </w:p>
    <w:p w:rsidR="00382799" w:rsidRPr="009F77C0" w:rsidRDefault="00382799" w:rsidP="0038279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97536" w:rsidRPr="009F77C0" w:rsidRDefault="00897536" w:rsidP="0089753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77C0">
        <w:rPr>
          <w:rFonts w:ascii="Times New Roman" w:eastAsia="Times New Roman" w:hAnsi="Times New Roman" w:cs="Times New Roman"/>
          <w:sz w:val="28"/>
          <w:szCs w:val="28"/>
        </w:rPr>
        <w:t>Wiemken</w:t>
      </w:r>
      <w:proofErr w:type="spellEnd"/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T. L., &amp; Kelley, R. R. (2020). Machine learning in epidemiology and health outcomes research. </w:t>
      </w:r>
      <w:r w:rsidRPr="009F77C0">
        <w:rPr>
          <w:rFonts w:ascii="Times New Roman" w:eastAsia="Times New Roman" w:hAnsi="Times New Roman" w:cs="Times New Roman"/>
          <w:i/>
          <w:iCs/>
          <w:sz w:val="28"/>
          <w:szCs w:val="28"/>
        </w:rPr>
        <w:t>Annual Review of Public Health, 41</w:t>
      </w:r>
      <w:r w:rsidRPr="009F77C0">
        <w:rPr>
          <w:rFonts w:ascii="Times New Roman" w:eastAsia="Times New Roman" w:hAnsi="Times New Roman" w:cs="Times New Roman"/>
          <w:sz w:val="28"/>
          <w:szCs w:val="28"/>
        </w:rPr>
        <w:t xml:space="preserve">, 21–36. </w:t>
      </w:r>
      <w:hyperlink r:id="rId17" w:tgtFrame="_blank" w:history="1">
        <w:r w:rsidRPr="009F77C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https://doi.org/10.1146/annurev-publhealth-040119-094437</w:t>
        </w:r>
      </w:hyperlink>
    </w:p>
    <w:p w:rsidR="00346EE1" w:rsidRPr="009F77C0" w:rsidRDefault="00346EE1" w:rsidP="008546D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46EE1" w:rsidRPr="009F77C0" w:rsidSect="002662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B4018"/>
    <w:multiLevelType w:val="hybridMultilevel"/>
    <w:tmpl w:val="53E86922"/>
    <w:lvl w:ilvl="0" w:tplc="9D86C2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6244"/>
    <w:multiLevelType w:val="hybridMultilevel"/>
    <w:tmpl w:val="1C7C2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F6825"/>
    <w:multiLevelType w:val="hybridMultilevel"/>
    <w:tmpl w:val="A8181E04"/>
    <w:lvl w:ilvl="0" w:tplc="7A661F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54AC1"/>
    <w:multiLevelType w:val="hybridMultilevel"/>
    <w:tmpl w:val="CFAA4EB2"/>
    <w:lvl w:ilvl="0" w:tplc="F21CA1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1576D"/>
    <w:multiLevelType w:val="hybridMultilevel"/>
    <w:tmpl w:val="9684AA86"/>
    <w:lvl w:ilvl="0" w:tplc="9D86C2D0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B95B3A"/>
    <w:multiLevelType w:val="multilevel"/>
    <w:tmpl w:val="FDC0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2089"/>
    <w:multiLevelType w:val="hybridMultilevel"/>
    <w:tmpl w:val="F1085128"/>
    <w:lvl w:ilvl="0" w:tplc="9D86C2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DA2520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01D1C"/>
    <w:multiLevelType w:val="hybridMultilevel"/>
    <w:tmpl w:val="0400B8A2"/>
    <w:lvl w:ilvl="0" w:tplc="9D86C2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63D7E"/>
    <w:multiLevelType w:val="hybridMultilevel"/>
    <w:tmpl w:val="8D1872DA"/>
    <w:lvl w:ilvl="0" w:tplc="6C9E8A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9A3160"/>
    <w:multiLevelType w:val="hybridMultilevel"/>
    <w:tmpl w:val="7ED4333E"/>
    <w:lvl w:ilvl="0" w:tplc="1C6811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37FA5"/>
    <w:multiLevelType w:val="hybridMultilevel"/>
    <w:tmpl w:val="493C1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0"/>
  </w:num>
  <w:num w:numId="8">
    <w:abstractNumId w:val="10"/>
  </w:num>
  <w:num w:numId="9">
    <w:abstractNumId w:val="4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C6E"/>
    <w:rsid w:val="00162D20"/>
    <w:rsid w:val="00193A51"/>
    <w:rsid w:val="00193A81"/>
    <w:rsid w:val="002662AE"/>
    <w:rsid w:val="00272737"/>
    <w:rsid w:val="002945E2"/>
    <w:rsid w:val="002E4E88"/>
    <w:rsid w:val="002F3442"/>
    <w:rsid w:val="00346EE1"/>
    <w:rsid w:val="00382799"/>
    <w:rsid w:val="004040E9"/>
    <w:rsid w:val="004A2DA6"/>
    <w:rsid w:val="00570950"/>
    <w:rsid w:val="00585F33"/>
    <w:rsid w:val="005E5125"/>
    <w:rsid w:val="006C14A4"/>
    <w:rsid w:val="007157BA"/>
    <w:rsid w:val="00794817"/>
    <w:rsid w:val="007B6AFC"/>
    <w:rsid w:val="0080029D"/>
    <w:rsid w:val="0081204C"/>
    <w:rsid w:val="00834C6E"/>
    <w:rsid w:val="008546D1"/>
    <w:rsid w:val="00897536"/>
    <w:rsid w:val="008C1CEC"/>
    <w:rsid w:val="008C226B"/>
    <w:rsid w:val="0098089E"/>
    <w:rsid w:val="0098657F"/>
    <w:rsid w:val="009F77C0"/>
    <w:rsid w:val="00AB07B6"/>
    <w:rsid w:val="00AE4F1C"/>
    <w:rsid w:val="00B64D9A"/>
    <w:rsid w:val="00C34C24"/>
    <w:rsid w:val="00D21831"/>
    <w:rsid w:val="00D834F5"/>
    <w:rsid w:val="00DF4F70"/>
    <w:rsid w:val="00E03F5A"/>
    <w:rsid w:val="00F35E66"/>
    <w:rsid w:val="00F87B53"/>
    <w:rsid w:val="00FB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79F83E-8CFB-471B-AD1F-FA2E6A5A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6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6EE1"/>
    <w:rPr>
      <w:b/>
      <w:bCs/>
    </w:rPr>
  </w:style>
  <w:style w:type="character" w:styleId="Emphasis">
    <w:name w:val="Emphasis"/>
    <w:basedOn w:val="DefaultParagraphFont"/>
    <w:uiPriority w:val="20"/>
    <w:qFormat/>
    <w:rsid w:val="00346EE1"/>
    <w:rPr>
      <w:i/>
      <w:iCs/>
    </w:rPr>
  </w:style>
  <w:style w:type="paragraph" w:customStyle="1" w:styleId="break-words">
    <w:name w:val="break-words"/>
    <w:basedOn w:val="Normal"/>
    <w:rsid w:val="00346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46EE1"/>
  </w:style>
  <w:style w:type="character" w:customStyle="1" w:styleId="mord">
    <w:name w:val="mord"/>
    <w:basedOn w:val="DefaultParagraphFont"/>
    <w:rsid w:val="00346EE1"/>
  </w:style>
  <w:style w:type="character" w:customStyle="1" w:styleId="mbin">
    <w:name w:val="mbin"/>
    <w:basedOn w:val="DefaultParagraphFont"/>
    <w:rsid w:val="00346EE1"/>
  </w:style>
  <w:style w:type="paragraph" w:styleId="ListParagraph">
    <w:name w:val="List Paragraph"/>
    <w:basedOn w:val="Normal"/>
    <w:uiPriority w:val="34"/>
    <w:qFormat/>
    <w:rsid w:val="007B6AF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97536"/>
    <w:rPr>
      <w:color w:val="0000FF"/>
      <w:u w:val="single"/>
    </w:rPr>
  </w:style>
  <w:style w:type="table" w:styleId="TableGrid">
    <w:name w:val="Table Grid"/>
    <w:basedOn w:val="TableNormal"/>
    <w:uiPriority w:val="39"/>
    <w:rsid w:val="009F7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oi.org/10.1146/annurev-publhealth-040119-09443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42979-021-00592-x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978-0-387-84858-7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i.org/10.1016/j.annepidem.2025.07.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4BFA0-B36D-4899-BF41-04C554DD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2361</Words>
  <Characters>13459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44</cp:revision>
  <dcterms:created xsi:type="dcterms:W3CDTF">2026-03-23T16:30:00Z</dcterms:created>
  <dcterms:modified xsi:type="dcterms:W3CDTF">2026-03-30T11:33:00Z</dcterms:modified>
</cp:coreProperties>
</file>