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:rsidR="009D3AA0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Proposed Solution Template</w:t>
      </w:r>
    </w:p>
    <w:p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/>
      </w:tblPr>
      <w:tblGrid>
        <w:gridCol w:w="4508"/>
        <w:gridCol w:w="4508"/>
      </w:tblGrid>
      <w:tr w:rsidR="005B2106" w:rsidRPr="00AB20AC" w:rsidTr="005C23C7">
        <w:tc>
          <w:tcPr>
            <w:tcW w:w="4508" w:type="dxa"/>
          </w:tcPr>
          <w:p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:rsidR="005B2106" w:rsidRPr="00AB20AC" w:rsidRDefault="006B784A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3 Feb</w:t>
            </w:r>
            <w:r w:rsidR="005B2106" w:rsidRPr="00AB20AC">
              <w:rPr>
                <w:rFonts w:cstheme="minorHAnsi"/>
              </w:rPr>
              <w:t xml:space="preserve"> 202</w:t>
            </w:r>
            <w:r>
              <w:rPr>
                <w:rFonts w:cstheme="minorHAnsi"/>
              </w:rPr>
              <w:t>6</w:t>
            </w:r>
          </w:p>
        </w:tc>
      </w:tr>
      <w:tr w:rsidR="000708AF" w:rsidRPr="00AB20AC" w:rsidTr="005C23C7">
        <w:tc>
          <w:tcPr>
            <w:tcW w:w="4508" w:type="dxa"/>
          </w:tcPr>
          <w:p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:rsidR="000708AF" w:rsidRPr="00353869" w:rsidRDefault="006B784A" w:rsidP="000708AF">
            <w:r w:rsidRPr="006B784A">
              <w:t>LTVIP2026TMIDS24929</w:t>
            </w:r>
          </w:p>
        </w:tc>
      </w:tr>
      <w:tr w:rsidR="006B784A" w:rsidRPr="00AB20AC" w:rsidTr="005C23C7">
        <w:tc>
          <w:tcPr>
            <w:tcW w:w="4508" w:type="dxa"/>
          </w:tcPr>
          <w:p w:rsidR="006B784A" w:rsidRPr="00AB20AC" w:rsidRDefault="006B784A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:rsidR="006B784A" w:rsidRPr="00353869" w:rsidRDefault="006B784A" w:rsidP="00D60FE1">
            <w:r>
              <w:t>E</w:t>
            </w:r>
            <w:r w:rsidRPr="00353869">
              <w:t xml:space="preserve">mpowering </w:t>
            </w:r>
            <w:r>
              <w:t>India: A</w:t>
            </w:r>
            <w:r w:rsidRPr="00353869">
              <w:t>nalysing the evolution of union budget allocations for sustainable growth</w:t>
            </w:r>
          </w:p>
        </w:tc>
      </w:tr>
      <w:tr w:rsidR="006B784A" w:rsidRPr="00AB20AC" w:rsidTr="005C23C7">
        <w:tc>
          <w:tcPr>
            <w:tcW w:w="4508" w:type="dxa"/>
          </w:tcPr>
          <w:p w:rsidR="006B784A" w:rsidRPr="00AB20AC" w:rsidRDefault="006B784A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:rsidR="006B784A" w:rsidRPr="00AB20AC" w:rsidRDefault="00320105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5 </w:t>
            </w:r>
            <w:r w:rsidR="006B784A" w:rsidRPr="00AB20AC">
              <w:rPr>
                <w:rFonts w:cstheme="minorHAnsi"/>
              </w:rPr>
              <w:t>Marks</w:t>
            </w:r>
          </w:p>
        </w:tc>
      </w:tr>
    </w:tbl>
    <w:p w:rsidR="007A3AE5" w:rsidRPr="00AB20AC" w:rsidRDefault="007A3AE5" w:rsidP="00DB6A25">
      <w:pPr>
        <w:rPr>
          <w:rFonts w:cstheme="minorHAnsi"/>
          <w:b/>
          <w:bCs/>
        </w:rPr>
      </w:pPr>
    </w:p>
    <w:p w:rsidR="00DB6A25" w:rsidRPr="00AB20AC" w:rsidRDefault="00604389" w:rsidP="00DB6A25">
      <w:pPr>
        <w:rPr>
          <w:rFonts w:cstheme="minorHAnsi"/>
          <w:b/>
          <w:bCs/>
        </w:rPr>
      </w:pPr>
      <w:r w:rsidRPr="00AB20AC">
        <w:rPr>
          <w:rFonts w:cstheme="minorHAnsi"/>
          <w:b/>
          <w:bCs/>
        </w:rPr>
        <w:t>Proposed Solution Template</w:t>
      </w:r>
      <w:r w:rsidR="003C4A8E" w:rsidRPr="00AB20AC">
        <w:rPr>
          <w:rFonts w:cstheme="minorHAnsi"/>
          <w:b/>
          <w:bCs/>
        </w:rPr>
        <w:t>:</w:t>
      </w:r>
    </w:p>
    <w:p w:rsidR="003E3A16" w:rsidRDefault="00AB20AC" w:rsidP="00DB6A25">
      <w:pPr>
        <w:rPr>
          <w:rFonts w:cstheme="minorHAnsi"/>
        </w:rPr>
      </w:pPr>
      <w:r w:rsidRPr="00AB20AC">
        <w:rPr>
          <w:rFonts w:cstheme="minorHAnsi"/>
        </w:rPr>
        <w:t>Project team shall fill the following information in proposed solution template.</w:t>
      </w:r>
    </w:p>
    <w:tbl>
      <w:tblPr>
        <w:tblStyle w:val="TableGrid"/>
        <w:tblW w:w="9067" w:type="dxa"/>
        <w:tblLook w:val="04A0"/>
      </w:tblPr>
      <w:tblGrid>
        <w:gridCol w:w="901"/>
        <w:gridCol w:w="3658"/>
        <w:gridCol w:w="4508"/>
      </w:tblGrid>
      <w:tr w:rsidR="00AB20AC" w:rsidRPr="00B76D2E" w:rsidTr="00B76D2E">
        <w:trPr>
          <w:trHeight w:val="557"/>
        </w:trPr>
        <w:tc>
          <w:tcPr>
            <w:tcW w:w="901" w:type="dxa"/>
          </w:tcPr>
          <w:p w:rsidR="00AB20AC" w:rsidRPr="00B76D2E" w:rsidRDefault="00AB20AC" w:rsidP="00DB6A25">
            <w:pPr>
              <w:rPr>
                <w:rFonts w:cstheme="minorHAnsi"/>
                <w:b/>
                <w:bCs/>
              </w:rPr>
            </w:pPr>
            <w:proofErr w:type="spellStart"/>
            <w:r w:rsidRPr="00B76D2E">
              <w:rPr>
                <w:rFonts w:cstheme="minorHAnsi"/>
                <w:b/>
                <w:bCs/>
              </w:rPr>
              <w:t>S.No</w:t>
            </w:r>
            <w:proofErr w:type="spellEnd"/>
            <w:r w:rsidRPr="00B76D2E">
              <w:rPr>
                <w:rFonts w:cstheme="minorHAnsi"/>
                <w:b/>
                <w:bCs/>
              </w:rPr>
              <w:t>.</w:t>
            </w:r>
          </w:p>
        </w:tc>
        <w:tc>
          <w:tcPr>
            <w:tcW w:w="3658" w:type="dxa"/>
          </w:tcPr>
          <w:p w:rsidR="00AB20AC" w:rsidRPr="00B76D2E" w:rsidRDefault="00AB20AC" w:rsidP="00DB6A25">
            <w:pPr>
              <w:rPr>
                <w:rFonts w:cstheme="minorHAnsi"/>
                <w:b/>
                <w:bCs/>
              </w:rPr>
            </w:pPr>
            <w:r w:rsidRPr="00B76D2E">
              <w:rPr>
                <w:rFonts w:cstheme="minorHAnsi"/>
                <w:b/>
                <w:bCs/>
              </w:rPr>
              <w:t>Parameter</w:t>
            </w:r>
          </w:p>
        </w:tc>
        <w:tc>
          <w:tcPr>
            <w:tcW w:w="4508" w:type="dxa"/>
          </w:tcPr>
          <w:p w:rsidR="00AB20AC" w:rsidRPr="00B76D2E" w:rsidRDefault="00AB20AC" w:rsidP="00DB6A25">
            <w:pPr>
              <w:rPr>
                <w:rFonts w:cstheme="minorHAnsi"/>
                <w:b/>
                <w:bCs/>
              </w:rPr>
            </w:pPr>
            <w:r w:rsidRPr="00B76D2E">
              <w:rPr>
                <w:rFonts w:cstheme="minorHAnsi"/>
                <w:b/>
                <w:bCs/>
              </w:rPr>
              <w:t>Description</w:t>
            </w:r>
          </w:p>
        </w:tc>
      </w:tr>
      <w:tr w:rsidR="00AB20AC" w:rsidRPr="00AB20AC" w:rsidTr="00B76D2E">
        <w:trPr>
          <w:trHeight w:val="817"/>
        </w:trPr>
        <w:tc>
          <w:tcPr>
            <w:tcW w:w="901" w:type="dxa"/>
          </w:tcPr>
          <w:p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>Problem Statement (Problem to be solved)</w:t>
            </w:r>
          </w:p>
        </w:tc>
        <w:tc>
          <w:tcPr>
            <w:tcW w:w="4508" w:type="dxa"/>
          </w:tcPr>
          <w:p w:rsidR="00AB20AC" w:rsidRPr="00AB20AC" w:rsidRDefault="00353869" w:rsidP="00AB20AC">
            <w:pPr>
              <w:rPr>
                <w:rFonts w:cstheme="minorHAnsi"/>
              </w:rPr>
            </w:pPr>
            <w:r w:rsidRPr="00353869">
              <w:rPr>
                <w:rFonts w:cstheme="minorHAnsi"/>
              </w:rPr>
              <w:t>Business stakeholders, renewable energy startups, EV manufacturers, and pharmaceutical companies lack clear and interactive insights into Union Budget allocations (2021–2024). The complexity of ministry-wise, category-wise, and scheme-wise budget data makes it difficult to analyze funding trends and make strategic investment decisions.</w:t>
            </w:r>
          </w:p>
        </w:tc>
      </w:tr>
      <w:tr w:rsidR="00AB20AC" w:rsidRPr="00AB20AC" w:rsidTr="00B76D2E">
        <w:trPr>
          <w:trHeight w:val="817"/>
        </w:trPr>
        <w:tc>
          <w:tcPr>
            <w:tcW w:w="901" w:type="dxa"/>
          </w:tcPr>
          <w:p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>Idea / Solution description</w:t>
            </w:r>
          </w:p>
        </w:tc>
        <w:tc>
          <w:tcPr>
            <w:tcW w:w="4508" w:type="dxa"/>
          </w:tcPr>
          <w:p w:rsidR="00AB20AC" w:rsidRPr="00AB20AC" w:rsidRDefault="00353869" w:rsidP="00AB20AC">
            <w:pPr>
              <w:rPr>
                <w:rFonts w:cstheme="minorHAnsi"/>
              </w:rPr>
            </w:pPr>
            <w:r w:rsidRPr="00353869">
              <w:rPr>
                <w:rFonts w:cstheme="minorHAnsi"/>
              </w:rPr>
              <w:t>The project provides a SQL-based data management system integrated with Tableau dashboards to visualize Union Budget allocations. It presents ministry-wise, scheme-wise, category-wise, revenue vs capital comparisons, and year-wise trends through interactive dashboards and stories to support data-driven decision-making.</w:t>
            </w:r>
          </w:p>
        </w:tc>
      </w:tr>
      <w:tr w:rsidR="00AB20AC" w:rsidRPr="00AB20AC" w:rsidTr="00B76D2E">
        <w:trPr>
          <w:trHeight w:val="787"/>
        </w:trPr>
        <w:tc>
          <w:tcPr>
            <w:tcW w:w="901" w:type="dxa"/>
          </w:tcPr>
          <w:p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 xml:space="preserve">Novelty / Uniqueness </w:t>
            </w:r>
          </w:p>
        </w:tc>
        <w:tc>
          <w:tcPr>
            <w:tcW w:w="4508" w:type="dxa"/>
          </w:tcPr>
          <w:p w:rsidR="00AB20AC" w:rsidRPr="00AB20AC" w:rsidRDefault="00353869" w:rsidP="00AB20AC">
            <w:pPr>
              <w:rPr>
                <w:rFonts w:cstheme="minorHAnsi"/>
              </w:rPr>
            </w:pPr>
            <w:r w:rsidRPr="00353869">
              <w:rPr>
                <w:rFonts w:cstheme="minorHAnsi"/>
              </w:rPr>
              <w:t>Combines multi-year Union Budget data (2021–2024) with structured SQL processing and interactive Tableau visualization. Includes calculated fields, filters, Top-5 comparisons, revenue vs capital analysis, and integrated web deployment using Flask for enhanced accessibility.</w:t>
            </w:r>
          </w:p>
        </w:tc>
      </w:tr>
      <w:tr w:rsidR="00AB20AC" w:rsidRPr="00AB20AC" w:rsidTr="00B76D2E">
        <w:trPr>
          <w:trHeight w:val="817"/>
        </w:trPr>
        <w:tc>
          <w:tcPr>
            <w:tcW w:w="901" w:type="dxa"/>
          </w:tcPr>
          <w:p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>Social Impact / Customer Satisfaction</w:t>
            </w:r>
          </w:p>
        </w:tc>
        <w:tc>
          <w:tcPr>
            <w:tcW w:w="4508" w:type="dxa"/>
          </w:tcPr>
          <w:p w:rsidR="00AB20AC" w:rsidRPr="00AB20AC" w:rsidRDefault="00353869" w:rsidP="00AB20AC">
            <w:pPr>
              <w:rPr>
                <w:rFonts w:cstheme="minorHAnsi"/>
              </w:rPr>
            </w:pPr>
            <w:r w:rsidRPr="00353869">
              <w:rPr>
                <w:rFonts w:cstheme="minorHAnsi"/>
              </w:rPr>
              <w:t>Improves transparency and understanding of government budget allocations. Helps startups and industries align their strategies with national priorities such as renewable energy, EV adoption, and healthcare development. Encourages informed, data-driven strategic planning.</w:t>
            </w:r>
          </w:p>
        </w:tc>
      </w:tr>
      <w:tr w:rsidR="00AB20AC" w:rsidRPr="00AB20AC" w:rsidTr="00B76D2E">
        <w:trPr>
          <w:trHeight w:val="817"/>
        </w:trPr>
        <w:tc>
          <w:tcPr>
            <w:tcW w:w="901" w:type="dxa"/>
          </w:tcPr>
          <w:p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 xml:space="preserve">Business Model </w:t>
            </w:r>
            <w:r w:rsidR="00604AAA">
              <w:rPr>
                <w:rFonts w:eastAsia="Arial" w:cstheme="minorHAnsi"/>
                <w:color w:val="222222"/>
                <w:lang w:val="en-US"/>
              </w:rPr>
              <w:t>(Revenue Model)</w:t>
            </w:r>
          </w:p>
        </w:tc>
        <w:tc>
          <w:tcPr>
            <w:tcW w:w="4508" w:type="dxa"/>
          </w:tcPr>
          <w:p w:rsidR="00AB20AC" w:rsidRPr="00AB20AC" w:rsidRDefault="00353869" w:rsidP="00AB20AC">
            <w:pPr>
              <w:rPr>
                <w:rFonts w:cstheme="minorHAnsi"/>
              </w:rPr>
            </w:pPr>
            <w:r w:rsidRPr="00353869">
              <w:rPr>
                <w:rFonts w:cstheme="minorHAnsi"/>
              </w:rPr>
              <w:t>Can be extended as a subscription-based analytics platform providing advanced sector-specific insights, premium forecasting features, downloadable reports, and API-based access for enterprises or research institutions.</w:t>
            </w:r>
          </w:p>
        </w:tc>
      </w:tr>
      <w:tr w:rsidR="00604AAA" w:rsidRPr="00AB20AC" w:rsidTr="00B76D2E">
        <w:trPr>
          <w:trHeight w:val="817"/>
        </w:trPr>
        <w:tc>
          <w:tcPr>
            <w:tcW w:w="901" w:type="dxa"/>
          </w:tcPr>
          <w:p w:rsidR="00604AAA" w:rsidRPr="00AB20AC" w:rsidRDefault="00604AAA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:rsidR="00604AAA" w:rsidRPr="00AB20AC" w:rsidRDefault="00604AAA" w:rsidP="00AB20AC">
            <w:pPr>
              <w:rPr>
                <w:rFonts w:eastAsia="Arial" w:cstheme="minorHAnsi"/>
                <w:color w:val="222222"/>
                <w:lang w:val="en-US"/>
              </w:rPr>
            </w:pPr>
            <w:r>
              <w:rPr>
                <w:rFonts w:eastAsia="Arial" w:cstheme="minorHAnsi"/>
                <w:color w:val="222222"/>
                <w:lang w:val="en-US"/>
              </w:rPr>
              <w:t>Scalability of the Solution</w:t>
            </w:r>
          </w:p>
        </w:tc>
        <w:tc>
          <w:tcPr>
            <w:tcW w:w="4508" w:type="dxa"/>
          </w:tcPr>
          <w:p w:rsidR="00604AAA" w:rsidRPr="00AB20AC" w:rsidRDefault="00353869" w:rsidP="00AB20AC">
            <w:pPr>
              <w:rPr>
                <w:rFonts w:cstheme="minorHAnsi"/>
              </w:rPr>
            </w:pPr>
            <w:r w:rsidRPr="00353869">
              <w:rPr>
                <w:rFonts w:cstheme="minorHAnsi"/>
              </w:rPr>
              <w:t>Easily scalable by incorporating additional fiscal years, integrating real-time government data sources, adding predictive analytics (ML models), sector-specific deep analysis, and expanding to state budget analysis for more granular insights.</w:t>
            </w:r>
          </w:p>
        </w:tc>
      </w:tr>
    </w:tbl>
    <w:p w:rsidR="00AB20AC" w:rsidRPr="00AB20AC" w:rsidRDefault="00AB20AC" w:rsidP="00DB6A25">
      <w:pPr>
        <w:rPr>
          <w:rFonts w:cstheme="minorHAnsi"/>
        </w:rPr>
      </w:pPr>
    </w:p>
    <w:sectPr w:rsidR="00AB20AC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B2106"/>
    <w:rsid w:val="000708AF"/>
    <w:rsid w:val="00213958"/>
    <w:rsid w:val="00320105"/>
    <w:rsid w:val="00353869"/>
    <w:rsid w:val="003C4A8E"/>
    <w:rsid w:val="003E3A16"/>
    <w:rsid w:val="005B2106"/>
    <w:rsid w:val="00604389"/>
    <w:rsid w:val="00604AAA"/>
    <w:rsid w:val="006B784A"/>
    <w:rsid w:val="007A3AE5"/>
    <w:rsid w:val="007D3B4C"/>
    <w:rsid w:val="00975144"/>
    <w:rsid w:val="009D3AA0"/>
    <w:rsid w:val="00AB20AC"/>
    <w:rsid w:val="00AC6D16"/>
    <w:rsid w:val="00AC7F0A"/>
    <w:rsid w:val="00B73FE7"/>
    <w:rsid w:val="00B76D2E"/>
    <w:rsid w:val="00C757A5"/>
    <w:rsid w:val="00DB6A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3F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kotte</cp:lastModifiedBy>
  <cp:revision>2</cp:revision>
  <dcterms:created xsi:type="dcterms:W3CDTF">2026-02-17T14:40:00Z</dcterms:created>
  <dcterms:modified xsi:type="dcterms:W3CDTF">2026-02-17T14:40:00Z</dcterms:modified>
</cp:coreProperties>
</file>