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3E9F" w:rsidRDefault="003F1F4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D43E9F" w:rsidRDefault="003F1F4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:rsidR="00D43E9F" w:rsidRDefault="00D43E9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D43E9F">
        <w:tc>
          <w:tcPr>
            <w:tcW w:w="4508" w:type="dxa"/>
          </w:tcPr>
          <w:p w:rsidR="00D43E9F" w:rsidRDefault="003F1F4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D43E9F" w:rsidRDefault="003F1F4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February 2026</w:t>
            </w:r>
          </w:p>
        </w:tc>
      </w:tr>
      <w:tr w:rsidR="00D43E9F">
        <w:tc>
          <w:tcPr>
            <w:tcW w:w="4508" w:type="dxa"/>
          </w:tcPr>
          <w:p w:rsidR="00D43E9F" w:rsidRDefault="003F1F4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D43E9F" w:rsidRDefault="003F1F4B">
            <w:pPr>
              <w:rPr>
                <w:rFonts w:ascii="Calibri" w:eastAsia="Calibri" w:hAnsi="Calibri" w:cs="Calibri"/>
              </w:rPr>
            </w:pPr>
            <w:r w:rsidRPr="003F1F4B">
              <w:rPr>
                <w:rFonts w:ascii="Calibri" w:eastAsia="Calibri" w:hAnsi="Calibri" w:cs="Calibri"/>
              </w:rPr>
              <w:t>LTVIP2026TMIDS24929</w:t>
            </w:r>
          </w:p>
        </w:tc>
      </w:tr>
      <w:tr w:rsidR="00D43E9F">
        <w:tc>
          <w:tcPr>
            <w:tcW w:w="4508" w:type="dxa"/>
          </w:tcPr>
          <w:p w:rsidR="00D43E9F" w:rsidRDefault="003F1F4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D43E9F" w:rsidRPr="00AC6F21" w:rsidRDefault="003F1F4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AC6F21">
              <w:rPr>
                <w:sz w:val="20"/>
                <w:szCs w:val="20"/>
              </w:rPr>
              <w:t xml:space="preserve">Empowering India: </w:t>
            </w:r>
            <w:proofErr w:type="spellStart"/>
            <w:r w:rsidRPr="00AC6F21">
              <w:rPr>
                <w:sz w:val="20"/>
                <w:szCs w:val="20"/>
              </w:rPr>
              <w:t>Analysing</w:t>
            </w:r>
            <w:proofErr w:type="spellEnd"/>
            <w:r w:rsidRPr="00AC6F21">
              <w:rPr>
                <w:sz w:val="20"/>
                <w:szCs w:val="20"/>
              </w:rPr>
              <w:t xml:space="preserve"> the evolution of union budget allocations for sustainable growth</w:t>
            </w:r>
          </w:p>
        </w:tc>
      </w:tr>
      <w:tr w:rsidR="00D43E9F">
        <w:tc>
          <w:tcPr>
            <w:tcW w:w="4508" w:type="dxa"/>
          </w:tcPr>
          <w:p w:rsidR="00D43E9F" w:rsidRDefault="003F1F4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5 Marks</w:t>
            </w:r>
          </w:p>
        </w:tc>
      </w:tr>
    </w:tbl>
    <w:p w:rsidR="00D43E9F" w:rsidRDefault="00D43E9F">
      <w:pPr>
        <w:spacing w:after="160" w:line="259" w:lineRule="auto"/>
        <w:rPr>
          <w:rFonts w:ascii="Calibri" w:eastAsia="Calibri" w:hAnsi="Calibri" w:cs="Calibri"/>
          <w:b/>
        </w:rPr>
      </w:pPr>
    </w:p>
    <w:p w:rsidR="00D43E9F" w:rsidRDefault="003F1F4B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D43E9F" w:rsidRDefault="003F1F4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565"/>
        <w:gridCol w:w="5580"/>
      </w:tblGrid>
      <w:tr w:rsidR="00D43E9F">
        <w:trPr>
          <w:trHeight w:val="557"/>
        </w:trPr>
        <w:tc>
          <w:tcPr>
            <w:tcW w:w="735" w:type="dxa"/>
          </w:tcPr>
          <w:p w:rsidR="00D43E9F" w:rsidRDefault="003F1F4B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D43E9F" w:rsidRDefault="003F1F4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D43E9F" w:rsidRDefault="003F1F4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D43E9F">
        <w:trPr>
          <w:trHeight w:val="817"/>
        </w:trPr>
        <w:tc>
          <w:tcPr>
            <w:tcW w:w="735" w:type="dxa"/>
          </w:tcPr>
          <w:p w:rsidR="00D43E9F" w:rsidRDefault="00D43E9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D43E9F" w:rsidRDefault="003F1F4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Category, Ministry, Scheme, Actual Revenue (2021–22), Actual Capital (2021–22), Total Budget (2021–22), Estimated Revenue (2022–23), Revised Estimates (2022–23), Budget Estimates (2023–24)</w:t>
            </w:r>
          </w:p>
        </w:tc>
      </w:tr>
      <w:tr w:rsidR="00D43E9F">
        <w:trPr>
          <w:trHeight w:val="817"/>
        </w:trPr>
        <w:tc>
          <w:tcPr>
            <w:tcW w:w="735" w:type="dxa"/>
          </w:tcPr>
          <w:p w:rsidR="00D43E9F" w:rsidRDefault="00D43E9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D43E9F" w:rsidRDefault="003F1F4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Removed null values, standardized column names, formatted currency values, verified data types (numeric/string), structured year-wise data</w:t>
            </w:r>
          </w:p>
        </w:tc>
      </w:tr>
      <w:tr w:rsidR="00D43E9F">
        <w:trPr>
          <w:trHeight w:val="817"/>
        </w:trPr>
        <w:tc>
          <w:tcPr>
            <w:tcW w:w="735" w:type="dxa"/>
          </w:tcPr>
          <w:p w:rsidR="00D43E9F" w:rsidRDefault="003F1F4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D43E9F" w:rsidRDefault="003F1F4B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Year Filter (2021–22, 2022–23, 2023–24), Category Filter, Ministry Filter, Scheme Filter</w:t>
            </w:r>
          </w:p>
        </w:tc>
      </w:tr>
      <w:tr w:rsidR="00D43E9F">
        <w:trPr>
          <w:trHeight w:val="817"/>
        </w:trPr>
        <w:tc>
          <w:tcPr>
            <w:tcW w:w="735" w:type="dxa"/>
          </w:tcPr>
          <w:p w:rsidR="00D43E9F" w:rsidRDefault="003F1F4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D43E9F" w:rsidRDefault="003F1F4B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Total Investment (All Years), Revenue vs Capital Difference, Year-wise Growth %, Top 5 Ranking (Ministry/Scheme), Budget Share %</w:t>
            </w:r>
          </w:p>
        </w:tc>
      </w:tr>
      <w:tr w:rsidR="00D43E9F">
        <w:trPr>
          <w:trHeight w:val="817"/>
        </w:trPr>
        <w:tc>
          <w:tcPr>
            <w:tcW w:w="735" w:type="dxa"/>
          </w:tcPr>
          <w:p w:rsidR="00D43E9F" w:rsidRDefault="003F1F4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D43E9F" w:rsidRDefault="003F1F4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No. of Visualizations / Graphs – 7 (Top 5 Schemes, Top 5 Ministries, Category-wise Budget, Department-wise Budget, Scheme-wise Budget, Total Investment KPI, Revenue vs Capital Comparison)</w:t>
            </w:r>
          </w:p>
        </w:tc>
      </w:tr>
      <w:tr w:rsidR="00D43E9F">
        <w:trPr>
          <w:trHeight w:val="817"/>
        </w:trPr>
        <w:tc>
          <w:tcPr>
            <w:tcW w:w="735" w:type="dxa"/>
          </w:tcPr>
          <w:p w:rsidR="00D43E9F" w:rsidRDefault="003F1F4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D43E9F" w:rsidRDefault="003F1F4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No. of Scenes – 5 (Introduction, Category Analysis, Ministry Analysis, Scheme Analysis, Conclusion &amp; Business Insights)</w:t>
            </w:r>
          </w:p>
        </w:tc>
      </w:tr>
    </w:tbl>
    <w:p w:rsidR="00D43E9F" w:rsidRDefault="00D43E9F">
      <w:pPr>
        <w:spacing w:after="160" w:line="259" w:lineRule="auto"/>
        <w:rPr>
          <w:rFonts w:ascii="Calibri" w:eastAsia="Calibri" w:hAnsi="Calibri" w:cs="Calibri"/>
        </w:rPr>
      </w:pPr>
    </w:p>
    <w:p w:rsidR="00D43E9F" w:rsidRDefault="00D43E9F"/>
    <w:p w:rsidR="00D43E9F" w:rsidRDefault="00D43E9F"/>
    <w:p w:rsidR="00D43E9F" w:rsidRDefault="00D43E9F"/>
    <w:sectPr w:rsidR="00D43E9F" w:rsidSect="00FD19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CA0FC4"/>
    <w:multiLevelType w:val="multilevel"/>
    <w:tmpl w:val="FA02B9D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43E9F"/>
    <w:rsid w:val="003F1F4B"/>
    <w:rsid w:val="007B6444"/>
    <w:rsid w:val="00AC6F21"/>
    <w:rsid w:val="00BA31BA"/>
    <w:rsid w:val="00D43E9F"/>
    <w:rsid w:val="00D6150E"/>
    <w:rsid w:val="00FD19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1949"/>
  </w:style>
  <w:style w:type="paragraph" w:styleId="Heading1">
    <w:name w:val="heading 1"/>
    <w:basedOn w:val="Normal"/>
    <w:next w:val="Normal"/>
    <w:uiPriority w:val="9"/>
    <w:qFormat/>
    <w:rsid w:val="00FD194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D194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D194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D194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D194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D194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D194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FD1949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FD1949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FD194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D194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D194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FD194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FD194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FD194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FD194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FD194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kotte srinivasarao</dc:creator>
  <cp:lastModifiedBy>kotte</cp:lastModifiedBy>
  <cp:revision>3</cp:revision>
  <dcterms:created xsi:type="dcterms:W3CDTF">2026-02-17T14:17:00Z</dcterms:created>
  <dcterms:modified xsi:type="dcterms:W3CDTF">2026-02-17T14:19:00Z</dcterms:modified>
</cp:coreProperties>
</file>