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WORKSHOP DIA 05 - POWER BI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  <w:tab/>
        <w:t xml:space="preserve">Soma de Vínculo Governamental (Government Bond) por gênero (gender)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Nesse gráfico, podemos perceber que homens têm maior vínculo governamental com o Governo do que mulheres, com uma diferença de 50% a mais de vínculos.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60487" cy="2083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487" cy="208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  <w:tab/>
        <w:t xml:space="preserve">Soma de idade (age) por gênero (gender)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Nesse caso, é fato que as mulheres tendem a se envolver com financias em idades mais precoces do que os homens, que apresentam uma média de idades mais avançada.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516303" cy="20680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6303" cy="206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</w:t>
        <w:tab/>
        <w:t xml:space="preserve">Soma de Depósitos Fixos (Fixed Deposits) por Gênero (Gender)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 acordo com os dados do gráfico, é possível deduzir que os homens possuem mais ou menos 18,75% a mais que as mulheres em relação aos depósitos fixos.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736276" cy="149451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276" cy="149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</w:t>
        <w:tab/>
        <w:t xml:space="preserve">Soma de Fundos Mútuos (Mutual Funds) por gênero (gender) e Fonte (Source)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 fim, é perceptível que a maioria das pessoas optam por Consultores Financeiros </w:t>
        <w:tab/>
        <w:t xml:space="preserve">(Financial Consultants) e Jornais e Revistas (Newspapers and Magazines), respectivamente. Quanto a minoria das pessoas, as mulheres preferem Internet e os homens Televisão (Television).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65434" cy="22586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434" cy="2258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GRÁFICOS GERADOS NO POWER BI: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329566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329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