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23B"/>
          <w:sz w:val="44"/>
        </w:rPr>
        <w:t>LoadBoot — Legal Document Templates</w:t>
      </w:r>
    </w:p>
    <w:p>
      <w:pPr>
        <w:jc w:val="center"/>
      </w:pPr>
      <w:r>
        <w:rPr>
          <w:color w:val="0883F7"/>
          <w:sz w:val="24"/>
        </w:rPr>
        <w:t>Carrier Dispatch Service Agreement · Broker–Carrier Terms · Surety-Bond Note</w:t>
      </w:r>
    </w:p>
    <w:p/>
    <w:p>
      <w:pPr>
        <w:jc w:val="center"/>
      </w:pPr>
      <w:r>
        <w:rPr>
          <w:b/>
          <w:color w:val="B41B1B"/>
          <w:sz w:val="28"/>
        </w:rPr>
        <w:t>⚠  DRAFT — FOR ATTORNEY REVIEW ONLY · NOT LEGAL ADVICE</w:t>
      </w:r>
    </w:p>
    <w:p>
      <w:r>
        <w:rPr>
          <w:b w:val="0"/>
          <w:i/>
          <w:sz w:val="22"/>
        </w:rPr>
        <w:t>These are starting-point TEMPLATES generated to give your licensed legal counsel a structure to work from. They are NOT legal advice, are NOT tailored to your state or business, and are NOT enforceable as written. Bracketed items like [STATE], [FEE %], and [PARTY NAME] are placeholders. Freight brokerage and dispatch are regulated by the FMCSA and by state law; a qualified transportation attorney must review, edit, and approve every provision before you use any of this with real carriers, brokers, or shippers.</w:t>
      </w:r>
    </w:p>
    <w:p>
      <w:r>
        <w:rPr>
          <w:b w:val="0"/>
          <w:i/>
          <w:color w:val="B41B1B"/>
          <w:sz w:val="22"/>
        </w:rPr>
        <w:t>Author makes no warranty of fitness, completeness, or legal sufficiency. Do not rely on these documents as a substitute for advice from a licensed attorney.</w:t>
      </w:r>
    </w:p>
    <w:p>
      <w:r>
        <w:br w:type="page"/>
      </w:r>
    </w:p>
    <w:p>
      <w:pPr>
        <w:spacing w:before="0" w:after="160"/>
      </w:pPr>
      <w:r>
        <w:rPr>
          <w:b/>
          <w:color w:val="10223B"/>
          <w:sz w:val="36"/>
        </w:rPr>
        <w:t>TEMPLATE 1 — Carrier Dispatch Service Agreement</w:t>
      </w:r>
    </w:p>
    <w:p>
      <w:r>
        <w:rPr>
          <w:b w:val="0"/>
          <w:i w:val="0"/>
          <w:sz w:val="22"/>
        </w:rPr>
        <w:t>This Dispatch Service Agreement ("Agreement") is entered into as of [DATE] by and between LoadBoot [LEGAL ENTITY, e.g. LoadBoot LLC], a [STATE] [entity type] ("Dispatcher"), and [CARRIER LEGAL NAME], a motor carrier holding USDOT No. [DOT] / MC No. [MC] ("Carrier"). Dispatcher and Carrier are each a "Party."</w:t>
      </w:r>
    </w:p>
    <w:p>
      <w:pPr>
        <w:spacing w:before="240" w:after="120"/>
      </w:pPr>
      <w:r>
        <w:rPr>
          <w:b/>
          <w:color w:val="10223B"/>
          <w:sz w:val="30"/>
        </w:rPr>
        <w:t>1. Nature of Services; Not a Broker</w:t>
      </w:r>
    </w:p>
    <w:p>
      <w:r>
        <w:rPr>
          <w:b w:val="0"/>
          <w:i w:val="0"/>
          <w:sz w:val="22"/>
        </w:rPr>
        <w:t>Dispatcher provides administrative dispatch and back-office support to Carrier. Dispatcher acts solely as Carrier's agent for the limited purposes described here and is NOT a freight broker, freight forwarder, or motor carrier. Carrier at all times retains its own operating authority and the sole right to accept or reject any load. [COUNSEL: confirm this structure keeps Dispatcher outside FMCSA broker-authority requirements for your model.]</w:t>
      </w:r>
    </w:p>
    <w:p>
      <w:pPr>
        <w:spacing w:before="240" w:after="120"/>
      </w:pPr>
      <w:r>
        <w:rPr>
          <w:b/>
          <w:color w:val="10223B"/>
          <w:sz w:val="30"/>
        </w:rPr>
        <w:t>2. Scope of Services</w:t>
      </w:r>
    </w:p>
    <w:p>
      <w:pPr>
        <w:pStyle w:val="ListBullet"/>
      </w:pPr>
      <w:r>
        <w:t>Sourcing and presenting available loads on Carrier's preferred lanes and equipment.</w:t>
      </w:r>
    </w:p>
    <w:p>
      <w:pPr>
        <w:pStyle w:val="ListBullet"/>
      </w:pPr>
      <w:r>
        <w:t>Negotiating rates with brokers/shippers on Carrier's behalf, subject to Carrier's approval of each load.</w:t>
      </w:r>
    </w:p>
    <w:p>
      <w:pPr>
        <w:pStyle w:val="ListBullet"/>
      </w:pPr>
      <w:r>
        <w:t>Preparing rate confirmations and coordinating pickup/delivery appointments.</w:t>
      </w:r>
    </w:p>
    <w:p>
      <w:pPr>
        <w:pStyle w:val="ListBullet"/>
      </w:pPr>
      <w:r>
        <w:t>Assisting with paperwork: BOLs, PODs, invoices, and settlement tracking.</w:t>
      </w:r>
    </w:p>
    <w:p>
      <w:pPr>
        <w:pStyle w:val="ListBullet"/>
      </w:pPr>
      <w:r>
        <w:t>Optional back-office support: factoring coordination, IFTA, and compliance reminders [list as applicable].</w:t>
      </w:r>
    </w:p>
    <w:p>
      <w:pPr>
        <w:spacing w:before="240" w:after="120"/>
      </w:pPr>
      <w:r>
        <w:rPr>
          <w:b/>
          <w:color w:val="10223B"/>
          <w:sz w:val="30"/>
        </w:rPr>
        <w:t>3. Independent Contractor</w:t>
      </w:r>
    </w:p>
    <w:p>
      <w:r>
        <w:rPr>
          <w:b w:val="0"/>
          <w:i w:val="0"/>
          <w:sz w:val="22"/>
        </w:rPr>
        <w:t>The Parties are independent contractors. Nothing here creates a partnership, joint venture, employment, or agency relationship beyond the limited dispatch agency expressly granted. Carrier controls the means and methods of transportation, its drivers, and its equipment.</w:t>
      </w:r>
    </w:p>
    <w:p>
      <w:pPr>
        <w:spacing w:before="240" w:after="120"/>
      </w:pPr>
      <w:r>
        <w:rPr>
          <w:b/>
          <w:color w:val="10223B"/>
          <w:sz w:val="30"/>
        </w:rPr>
        <w:t>4. Dispatch Fee</w:t>
      </w:r>
    </w:p>
    <w:p>
      <w:r>
        <w:rPr>
          <w:b w:val="0"/>
          <w:i w:val="0"/>
          <w:sz w:val="22"/>
        </w:rPr>
        <w:t>Carrier shall pay Dispatcher a flat dispatch fee of [FEE %, e.g. 5%] of the gross linehaul revenue for each load booked through Dispatcher and completed by Carrier. The fee is [earned upon / payable upon] [completion of delivery / receipt of payment]. No sign-up fee, monthly minimum, or long-term commitment applies. [COUNSEL: define exactly what 'gross linehaul' includes/excludes — accessorials, fuel surcharge, detention.]</w:t>
      </w:r>
    </w:p>
    <w:p>
      <w:pPr>
        <w:spacing w:before="240" w:after="120"/>
      </w:pPr>
      <w:r>
        <w:rPr>
          <w:b/>
          <w:color w:val="10223B"/>
          <w:sz w:val="30"/>
        </w:rPr>
        <w:t>5. Carrier Responsibilities</w:t>
      </w:r>
    </w:p>
    <w:p>
      <w:pPr>
        <w:pStyle w:val="ListBullet"/>
      </w:pPr>
      <w:r>
        <w:t>Maintain active operating authority, and cargo &amp; auto-liability insurance meeting [MINIMUM LIMITS].</w:t>
      </w:r>
    </w:p>
    <w:p>
      <w:pPr>
        <w:pStyle w:val="ListBullet"/>
      </w:pPr>
      <w:r>
        <w:t>Comply with all FMCSA regulations, hours-of-service rules, and safety requirements. HOS feasibility and the legal duty to operate safely remain solely with Carrier and its drivers.</w:t>
      </w:r>
    </w:p>
    <w:p>
      <w:pPr>
        <w:pStyle w:val="ListBullet"/>
      </w:pPr>
      <w:r>
        <w:t>Provide accurate equipment, driver, and availability information.</w:t>
      </w:r>
    </w:p>
    <w:p>
      <w:pPr>
        <w:pStyle w:val="ListBullet"/>
      </w:pPr>
      <w:r>
        <w:t>Deliver freight as agreed and provide signed PODs promptly.</w:t>
      </w:r>
    </w:p>
    <w:p>
      <w:pPr>
        <w:spacing w:before="240" w:after="120"/>
      </w:pPr>
      <w:r>
        <w:rPr>
          <w:b/>
          <w:color w:val="10223B"/>
          <w:sz w:val="30"/>
        </w:rPr>
        <w:t>6. Approval of Loads; No Automatic Booking</w:t>
      </w:r>
    </w:p>
    <w:p>
      <w:r>
        <w:rPr>
          <w:b w:val="0"/>
          <w:i w:val="0"/>
          <w:sz w:val="22"/>
        </w:rPr>
        <w:t>Every load is presented to Carrier for approval before booking. Carrier's acceptance of a load constitutes its written approval of the rate, the schedule, and its own HOS feasibility for that load.</w:t>
      </w:r>
    </w:p>
    <w:p>
      <w:pPr>
        <w:spacing w:before="240" w:after="120"/>
      </w:pPr>
      <w:r>
        <w:rPr>
          <w:b/>
          <w:color w:val="10223B"/>
          <w:sz w:val="30"/>
        </w:rPr>
        <w:t>7. Anti-Circumvention / Non-Solicitation</w:t>
      </w:r>
    </w:p>
    <w:p>
      <w:r>
        <w:rPr>
          <w:b w:val="0"/>
          <w:i w:val="0"/>
          <w:sz w:val="22"/>
        </w:rPr>
        <w:t>[COUNSEL: this protects the marketplace. Draft to your enforceable standard.] During the Term and for [PERIOD] thereafter, Carrier agrees not to knowingly circumvent Dispatcher to work directly with a broker or shipper first introduced to Carrier by Dispatcher, except [carve-outs]. Remedy: [liquidated damages / fee continuation]. Enforceability of non-circumvention/non-solicitation varies by state — counsel must tailor.</w:t>
      </w:r>
    </w:p>
    <w:p>
      <w:pPr>
        <w:spacing w:before="240" w:after="120"/>
      </w:pPr>
      <w:r>
        <w:rPr>
          <w:b/>
          <w:color w:val="10223B"/>
          <w:sz w:val="30"/>
        </w:rPr>
        <w:t>8. Term and Termination</w:t>
      </w:r>
    </w:p>
    <w:p>
      <w:r>
        <w:rPr>
          <w:b w:val="0"/>
          <w:i w:val="0"/>
          <w:sz w:val="22"/>
        </w:rPr>
        <w:t>This Agreement begins on the Effective Date and continues until terminated. Either Party may terminate for any reason on [NOTICE PERIOD, e.g. immediate / 24 hours'] written notice. Fees earned on loads already booked survive termination. There is no contract lock-in.</w:t>
      </w:r>
    </w:p>
    <w:p>
      <w:pPr>
        <w:spacing w:before="240" w:after="120"/>
      </w:pPr>
      <w:r>
        <w:rPr>
          <w:b/>
          <w:color w:val="10223B"/>
          <w:sz w:val="30"/>
        </w:rPr>
        <w:t>9. Limitation of Liability; Indemnification</w:t>
      </w:r>
    </w:p>
    <w:p>
      <w:r>
        <w:rPr>
          <w:b w:val="0"/>
          <w:i w:val="0"/>
          <w:sz w:val="22"/>
        </w:rPr>
        <w:t>[COUNSEL — critical clauses.] Dispatcher's aggregate liability is limited to [CAP, e.g. fees paid in the prior [N] days]. Dispatcher is not liable for cargo loss/damage, carrier operations, driver conduct, or broker/shipper non-payment. Each Party indemnifies the other for claims arising from its own acts, omissions, or breach. Carrier indemnifies Dispatcher for all claims arising from Carrier's transportation operations.</w:t>
      </w:r>
    </w:p>
    <w:p>
      <w:pPr>
        <w:spacing w:before="240" w:after="120"/>
      </w:pPr>
      <w:r>
        <w:rPr>
          <w:b/>
          <w:color w:val="10223B"/>
          <w:sz w:val="30"/>
        </w:rPr>
        <w:t>10. Confidentiality</w:t>
      </w:r>
    </w:p>
    <w:p>
      <w:r>
        <w:rPr>
          <w:b w:val="0"/>
          <w:i w:val="0"/>
          <w:sz w:val="22"/>
        </w:rPr>
        <w:t>Each Party will protect the other's non-public business information and use it only to perform this Agreement.</w:t>
      </w:r>
    </w:p>
    <w:p>
      <w:pPr>
        <w:spacing w:before="240" w:after="120"/>
      </w:pPr>
      <w:r>
        <w:rPr>
          <w:b/>
          <w:color w:val="10223B"/>
          <w:sz w:val="30"/>
        </w:rPr>
        <w:t>11. Dispute Resolution; Governing Law</w:t>
      </w:r>
    </w:p>
    <w:p>
      <w:r>
        <w:rPr>
          <w:b w:val="0"/>
          <w:i w:val="0"/>
          <w:sz w:val="22"/>
        </w:rPr>
        <w:t>This Agreement is governed by the laws of [STATE], without regard to conflict-of-laws rules. Disputes will be resolved by [arbitration in [CITY, STATE] under [rules] / courts located in [COUNTY, STATE]]. [COUNSEL to set.]</w:t>
      </w:r>
    </w:p>
    <w:p>
      <w:pPr>
        <w:spacing w:before="240" w:after="120"/>
      </w:pPr>
      <w:r>
        <w:rPr>
          <w:b/>
          <w:color w:val="10223B"/>
          <w:sz w:val="30"/>
        </w:rPr>
        <w:t>12. Miscellaneous</w:t>
      </w:r>
    </w:p>
    <w:p>
      <w:r>
        <w:rPr>
          <w:b w:val="0"/>
          <w:i w:val="0"/>
          <w:sz w:val="22"/>
        </w:rPr>
        <w:t>Entire agreement; amendments in writing; no waiver by course of dealing; severability; assignment [terms]; notices to the addresses below; electronic signatures and records are valid. [COUNSEL to complete.]</w:t>
      </w:r>
    </w:p>
    <w:p/>
    <w:p>
      <w:r>
        <w:rPr>
          <w:b w:val="0"/>
          <w:i w:val="0"/>
          <w:sz w:val="22"/>
        </w:rPr>
        <w:t>DISPATCHER: LoadBoot [ENTITY]      By: ____________________  Name/Title: __________  Date: ________</w:t>
      </w:r>
    </w:p>
    <w:p>
      <w:r>
        <w:rPr>
          <w:b w:val="0"/>
          <w:i w:val="0"/>
          <w:sz w:val="22"/>
        </w:rPr>
        <w:t>CARRIER: [NAME]                    By: ____________________  Name/Title: __________  Date: ________</w:t>
      </w:r>
    </w:p>
    <w:p>
      <w:r>
        <w:br w:type="page"/>
      </w:r>
    </w:p>
    <w:p>
      <w:pPr>
        <w:spacing w:before="0" w:after="160"/>
      </w:pPr>
      <w:r>
        <w:rPr>
          <w:b/>
          <w:color w:val="10223B"/>
          <w:sz w:val="36"/>
        </w:rPr>
        <w:t>TEMPLATE 2 — Broker–Carrier / Marketplace Terms (key clauses)</w:t>
      </w:r>
    </w:p>
    <w:p>
      <w:r>
        <w:rPr>
          <w:b w:val="0"/>
          <w:i w:val="0"/>
          <w:sz w:val="22"/>
        </w:rPr>
        <w:t>For loads where a broker posts freight to carriers through the LoadBoot marketplace. [COUNSEL: if LoadBoot itself ever holds broker authority, a full FMCSA-compliant Broker-Carrier Agreement and $75,000 BMC-84 bond are required — see Template 3.]</w:t>
      </w:r>
    </w:p>
    <w:p>
      <w:pPr>
        <w:spacing w:before="240" w:after="120"/>
      </w:pPr>
      <w:r>
        <w:rPr>
          <w:b/>
          <w:color w:val="10223B"/>
          <w:sz w:val="30"/>
        </w:rPr>
        <w:t>Core clauses your attorney should include</w:t>
      </w:r>
    </w:p>
    <w:p>
      <w:pPr>
        <w:pStyle w:val="ListBullet"/>
      </w:pPr>
      <w:r>
        <w:t>Parties, authorities (MC/DOT), and effective date.</w:t>
      </w:r>
    </w:p>
    <w:p>
      <w:pPr>
        <w:pStyle w:val="ListBullet"/>
      </w:pPr>
      <w:r>
        <w:t>Independent contractor status; carrier controls transportation.</w:t>
      </w:r>
    </w:p>
    <w:p>
      <w:pPr>
        <w:pStyle w:val="ListBullet"/>
      </w:pPr>
      <w:r>
        <w:t>Rate &amp; payment terms; who pays whom and when; accessorials (detention, layover, TONU, lumper).</w:t>
      </w:r>
    </w:p>
    <w:p>
      <w:pPr>
        <w:pStyle w:val="ListBullet"/>
      </w:pPr>
      <w:r>
        <w:t>Insurance requirements and additional-insured status [limits].</w:t>
      </w:r>
    </w:p>
    <w:p>
      <w:pPr>
        <w:pStyle w:val="ListBullet"/>
      </w:pPr>
      <w:r>
        <w:t>Cargo liability and claims process [Carmack Amendment considerations].</w:t>
      </w:r>
    </w:p>
    <w:p>
      <w:pPr>
        <w:pStyle w:val="ListBullet"/>
      </w:pPr>
      <w:r>
        <w:t>Double-brokering prohibition and re-brokering consent.</w:t>
      </w:r>
    </w:p>
    <w:p>
      <w:pPr>
        <w:pStyle w:val="ListBullet"/>
      </w:pPr>
      <w:r>
        <w:t>Anti-circumvention between the parties introduced via the marketplace.</w:t>
      </w:r>
    </w:p>
    <w:p>
      <w:pPr>
        <w:pStyle w:val="ListBullet"/>
      </w:pPr>
      <w:r>
        <w:t>Indemnification, limitation of liability, confidentiality.</w:t>
      </w:r>
    </w:p>
    <w:p>
      <w:pPr>
        <w:pStyle w:val="ListBullet"/>
      </w:pPr>
      <w:r>
        <w:t>Governing law, venue, dispute resolution.</w:t>
      </w:r>
    </w:p>
    <w:p>
      <w:pPr>
        <w:pStyle w:val="ListBullet"/>
      </w:pPr>
      <w:r>
        <w:t>Term, termination, and survival.</w:t>
      </w:r>
    </w:p>
    <w:p>
      <w:r>
        <w:br w:type="page"/>
      </w:r>
    </w:p>
    <w:p>
      <w:pPr>
        <w:spacing w:before="0" w:after="160"/>
      </w:pPr>
      <w:r>
        <w:rPr>
          <w:b/>
          <w:color w:val="10223B"/>
          <w:sz w:val="36"/>
        </w:rPr>
        <w:t>TEMPLATE 3 — Surety Bond / Authority Note (informational)</w:t>
      </w:r>
    </w:p>
    <w:p>
      <w:r>
        <w:rPr>
          <w:b w:val="0"/>
          <w:i w:val="0"/>
          <w:sz w:val="22"/>
        </w:rPr>
        <w:t>This is factual background for your counsel and surety provider — not legal advice.</w:t>
      </w:r>
    </w:p>
    <w:p>
      <w:pPr>
        <w:pStyle w:val="ListBullet"/>
      </w:pPr>
      <w:r>
        <w:t>A property freight BROKER (or forwarder) operating under FMCSA authority must maintain a $75,000 surety bond (Form BMC-84) or trust fund agreement (Form BMC-85). This is a federal requirement (MAP-21).</w:t>
      </w:r>
    </w:p>
    <w:p>
      <w:pPr>
        <w:pStyle w:val="ListBullet"/>
      </w:pPr>
      <w:r>
        <w:t>A DISPATCH SERVICE that only supports carriers and does not arrange transportation as a broker generally does NOT need broker authority or a BMC-84 bond — but the line depends on how the business actually operates. Counsel must confirm your model.</w:t>
      </w:r>
    </w:p>
    <w:p>
      <w:pPr>
        <w:pStyle w:val="ListBullet"/>
      </w:pPr>
      <w:r>
        <w:t>If LoadBoot arranges freight as a broker (holds itself out to shippers, takes broker margin, etc.), it likely needs: broker operating authority (MC), the BMC-84 bond or BMC-85 trust, a designated process agent (Form BMC-84/BOC-3), and compliant broker-carrier agreements.</w:t>
      </w:r>
    </w:p>
    <w:p>
      <w:pPr>
        <w:pStyle w:val="ListBullet"/>
      </w:pPr>
      <w:r>
        <w:t>Obtain the bond through a licensed surety/insurance provider; the bond protects carriers/shippers against broker non-payment.</w:t>
      </w:r>
    </w:p>
    <w:p>
      <w:pPr>
        <w:pStyle w:val="ListBullet"/>
      </w:pPr>
      <w:r>
        <w:t>ACTION: have your transportation attorney classify LoadBoot's role (dispatcher vs broker vs both) — that classification drives which authority, bond, and agreements you need.</w:t>
      </w:r>
    </w:p>
    <w:p>
      <w:r>
        <w:br w:type="page"/>
      </w:r>
    </w:p>
    <w:p>
      <w:pPr>
        <w:spacing w:before="0" w:after="160"/>
      </w:pPr>
      <w:r>
        <w:rPr>
          <w:b/>
          <w:color w:val="10223B"/>
          <w:sz w:val="32"/>
        </w:rPr>
        <w:t>For your attorney — checklist</w:t>
      </w:r>
    </w:p>
    <w:p>
      <w:pPr>
        <w:pStyle w:val="ListNumber"/>
      </w:pPr>
      <w:r>
        <w:t>Classify LoadBoot's legal role for each transaction type (dispatch agent vs broker).</w:t>
      </w:r>
    </w:p>
    <w:p>
      <w:pPr>
        <w:pStyle w:val="ListNumber"/>
      </w:pPr>
      <w:r>
        <w:t>Set governing law, venue, and dispute-resolution mechanism.</w:t>
      </w:r>
    </w:p>
    <w:p>
      <w:pPr>
        <w:pStyle w:val="ListNumber"/>
      </w:pPr>
      <w:r>
        <w:t>Finalize dispatch-fee definition (what 'gross' includes) and payment timing.</w:t>
      </w:r>
    </w:p>
    <w:p>
      <w:pPr>
        <w:pStyle w:val="ListNumber"/>
      </w:pPr>
      <w:r>
        <w:t>Tailor anti-circumvention/non-solicitation to enforceable limits in [STATE].</w:t>
      </w:r>
    </w:p>
    <w:p>
      <w:pPr>
        <w:pStyle w:val="ListNumber"/>
      </w:pPr>
      <w:r>
        <w:t>Set insurance minimums and additional-insured requirements.</w:t>
      </w:r>
    </w:p>
    <w:p>
      <w:pPr>
        <w:pStyle w:val="ListNumber"/>
      </w:pPr>
      <w:r>
        <w:t>Confirm broker authority + BMC-84 bond needs (Template 3).</w:t>
      </w:r>
    </w:p>
    <w:p>
      <w:pPr>
        <w:pStyle w:val="ListNumber"/>
      </w:pPr>
      <w:r>
        <w:t>Complete limitation-of-liability and indemnification to your risk posture.</w:t>
      </w:r>
    </w:p>
    <w:p>
      <w:pPr>
        <w:pStyle w:val="ListNumber"/>
      </w:pPr>
      <w:r>
        <w:t>Approve final versions; then LoadBoot publishes them via the platform's cc_publish_agreement pipeline (versioned; acceptance is recorded per user).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