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162" w:rsidRPr="009334B7" w:rsidRDefault="002A260F" w:rsidP="009334B7">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Group 1 Dataset: </w:t>
      </w:r>
      <w:r w:rsidR="00A3781B" w:rsidRPr="009334B7">
        <w:rPr>
          <w:rFonts w:ascii="Times New Roman" w:hAnsi="Times New Roman" w:cs="Times New Roman"/>
          <w:b/>
          <w:sz w:val="24"/>
          <w:szCs w:val="24"/>
          <w:lang w:val="en-US"/>
        </w:rPr>
        <w:t>Clinical Questions and Corresponding</w:t>
      </w:r>
      <w:r>
        <w:rPr>
          <w:rFonts w:ascii="Times New Roman" w:hAnsi="Times New Roman" w:cs="Times New Roman"/>
          <w:b/>
          <w:sz w:val="24"/>
          <w:szCs w:val="24"/>
          <w:lang w:val="en-US"/>
        </w:rPr>
        <w:t xml:space="preserve"> Reference</w:t>
      </w:r>
      <w:r w:rsidR="00A3781B" w:rsidRPr="009334B7">
        <w:rPr>
          <w:rFonts w:ascii="Times New Roman" w:hAnsi="Times New Roman" w:cs="Times New Roman"/>
          <w:b/>
          <w:sz w:val="24"/>
          <w:szCs w:val="24"/>
          <w:lang w:val="en-US"/>
        </w:rPr>
        <w:t xml:space="preserve"> Responses</w:t>
      </w:r>
    </w:p>
    <w:tbl>
      <w:tblPr>
        <w:tblStyle w:val="TableGrid"/>
        <w:tblW w:w="0" w:type="auto"/>
        <w:tblLook w:val="04A0" w:firstRow="1" w:lastRow="0" w:firstColumn="1" w:lastColumn="0" w:noHBand="0" w:noVBand="1"/>
      </w:tblPr>
      <w:tblGrid>
        <w:gridCol w:w="3020"/>
        <w:gridCol w:w="4346"/>
        <w:gridCol w:w="1696"/>
      </w:tblGrid>
      <w:tr w:rsidR="00A3781B" w:rsidRPr="009334B7" w:rsidTr="0078263E">
        <w:tc>
          <w:tcPr>
            <w:tcW w:w="3020" w:type="dxa"/>
          </w:tcPr>
          <w:p w:rsidR="00A3781B" w:rsidRPr="009334B7" w:rsidRDefault="00A3781B" w:rsidP="009334B7">
            <w:pPr>
              <w:jc w:val="both"/>
              <w:rPr>
                <w:rFonts w:ascii="Times New Roman" w:hAnsi="Times New Roman" w:cs="Times New Roman"/>
                <w:b/>
                <w:color w:val="000000" w:themeColor="text1"/>
                <w:sz w:val="24"/>
                <w:szCs w:val="24"/>
                <w:lang w:val="en-US"/>
              </w:rPr>
            </w:pPr>
            <w:r w:rsidRPr="009334B7">
              <w:rPr>
                <w:rFonts w:ascii="Times New Roman" w:hAnsi="Times New Roman" w:cs="Times New Roman"/>
                <w:b/>
                <w:color w:val="000000" w:themeColor="text1"/>
                <w:sz w:val="24"/>
                <w:szCs w:val="24"/>
                <w:lang w:val="en-US"/>
              </w:rPr>
              <w:t>Question</w:t>
            </w:r>
            <w:r w:rsidRPr="009334B7">
              <w:rPr>
                <w:rFonts w:ascii="Times New Roman" w:hAnsi="Times New Roman" w:cs="Times New Roman"/>
                <w:b/>
                <w:color w:val="000000" w:themeColor="text1"/>
                <w:sz w:val="24"/>
                <w:szCs w:val="24"/>
                <w:lang w:val="en-US"/>
              </w:rPr>
              <w:t>s</w:t>
            </w:r>
          </w:p>
        </w:tc>
        <w:tc>
          <w:tcPr>
            <w:tcW w:w="4346" w:type="dxa"/>
          </w:tcPr>
          <w:p w:rsidR="00A3781B" w:rsidRPr="009334B7" w:rsidRDefault="002A260F" w:rsidP="009334B7">
            <w:pPr>
              <w:jc w:val="both"/>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Reference</w:t>
            </w:r>
            <w:r w:rsidRPr="009334B7">
              <w:rPr>
                <w:rFonts w:ascii="Times New Roman" w:hAnsi="Times New Roman" w:cs="Times New Roman"/>
                <w:b/>
                <w:sz w:val="24"/>
                <w:szCs w:val="24"/>
                <w:lang w:val="en-US"/>
              </w:rPr>
              <w:t xml:space="preserve"> Responses</w:t>
            </w:r>
          </w:p>
        </w:tc>
        <w:tc>
          <w:tcPr>
            <w:tcW w:w="1696" w:type="dxa"/>
          </w:tcPr>
          <w:p w:rsidR="00A3781B" w:rsidRPr="009334B7" w:rsidRDefault="00A3781B" w:rsidP="009334B7">
            <w:pPr>
              <w:jc w:val="both"/>
              <w:rPr>
                <w:rFonts w:ascii="Times New Roman" w:hAnsi="Times New Roman" w:cs="Times New Roman"/>
                <w:b/>
                <w:color w:val="000000" w:themeColor="text1"/>
                <w:sz w:val="24"/>
                <w:szCs w:val="24"/>
                <w:lang w:val="en-US"/>
              </w:rPr>
            </w:pPr>
            <w:r w:rsidRPr="009334B7">
              <w:rPr>
                <w:rFonts w:ascii="Times New Roman" w:hAnsi="Times New Roman" w:cs="Times New Roman"/>
                <w:b/>
                <w:color w:val="000000" w:themeColor="text1"/>
                <w:sz w:val="24"/>
                <w:szCs w:val="24"/>
                <w:lang w:val="en-US"/>
              </w:rPr>
              <w:t>Source</w:t>
            </w:r>
          </w:p>
        </w:tc>
      </w:tr>
      <w:tr w:rsidR="00A3781B" w:rsidRPr="009334B7" w:rsidTr="0078263E">
        <w:tc>
          <w:tcPr>
            <w:tcW w:w="3020"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 xml:space="preserve">What were the differences between the 2017 US </w:t>
            </w:r>
            <w:proofErr w:type="spellStart"/>
            <w:r w:rsidRPr="009334B7">
              <w:rPr>
                <w:rFonts w:ascii="Times New Roman" w:hAnsi="Times New Roman" w:cs="Times New Roman"/>
                <w:color w:val="000000" w:themeColor="text1"/>
                <w:sz w:val="24"/>
                <w:szCs w:val="24"/>
                <w:lang w:val="en-US"/>
              </w:rPr>
              <w:t>paediatric</w:t>
            </w:r>
            <w:proofErr w:type="spellEnd"/>
            <w:r w:rsidRPr="009334B7">
              <w:rPr>
                <w:rFonts w:ascii="Times New Roman" w:hAnsi="Times New Roman" w:cs="Times New Roman"/>
                <w:color w:val="000000" w:themeColor="text1"/>
                <w:sz w:val="24"/>
                <w:szCs w:val="24"/>
                <w:lang w:val="en-US"/>
              </w:rPr>
              <w:t xml:space="preserve"> guidelines and the 2016 European Society of Hypertension (ESH) guidelines in terms of blood pressure cut-points for adolescents?</w:t>
            </w:r>
          </w:p>
        </w:tc>
        <w:tc>
          <w:tcPr>
            <w:tcW w:w="434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 xml:space="preserve">The 2017 US </w:t>
            </w:r>
            <w:proofErr w:type="spellStart"/>
            <w:r w:rsidRPr="009334B7">
              <w:rPr>
                <w:rFonts w:ascii="Times New Roman" w:hAnsi="Times New Roman" w:cs="Times New Roman"/>
                <w:color w:val="000000" w:themeColor="text1"/>
                <w:sz w:val="24"/>
                <w:szCs w:val="24"/>
                <w:lang w:val="en-US"/>
              </w:rPr>
              <w:t>paediatric</w:t>
            </w:r>
            <w:proofErr w:type="spellEnd"/>
            <w:r w:rsidRPr="009334B7">
              <w:rPr>
                <w:rFonts w:ascii="Times New Roman" w:hAnsi="Times New Roman" w:cs="Times New Roman"/>
                <w:color w:val="000000" w:themeColor="text1"/>
                <w:sz w:val="24"/>
                <w:szCs w:val="24"/>
                <w:lang w:val="en-US"/>
              </w:rPr>
              <w:t xml:space="preserve"> guidelines recommended using US adult cut-points (≥ 130/80 mm Hg) for adolescents starting at age 13, while the 2016 ESH guidelines recommended European adult cut-points (≥ 140/90 mmHg) for adolescents starting at age 16, which is more consistent with physiological body growth.</w:t>
            </w:r>
          </w:p>
        </w:tc>
        <w:tc>
          <w:tcPr>
            <w:tcW w:w="169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Chapter 1: definition and</w:t>
            </w:r>
          </w:p>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classification</w:t>
            </w:r>
          </w:p>
        </w:tc>
      </w:tr>
      <w:tr w:rsidR="00A3781B" w:rsidRPr="009334B7" w:rsidTr="0078263E">
        <w:tc>
          <w:tcPr>
            <w:tcW w:w="3020"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What is the proposed cut-point for identifying left ventricular hypertrophy (LVH) by echocardiography in children?</w:t>
            </w:r>
          </w:p>
        </w:tc>
        <w:tc>
          <w:tcPr>
            <w:tcW w:w="434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 xml:space="preserve">The proposed cut-point for identifying LVH by echocardiography in this age-range is ≥45 g/m^2. Alternatively, </w:t>
            </w:r>
            <w:proofErr w:type="gramStart"/>
            <w:r w:rsidRPr="009334B7">
              <w:rPr>
                <w:rFonts w:ascii="Times New Roman" w:hAnsi="Times New Roman" w:cs="Times New Roman"/>
                <w:color w:val="000000" w:themeColor="text1"/>
                <w:sz w:val="24"/>
                <w:szCs w:val="24"/>
                <w:lang w:val="en-US"/>
              </w:rPr>
              <w:t>LVH may also be defined by the 95th percentile of height normalized for age and sex</w:t>
            </w:r>
            <w:proofErr w:type="gramEnd"/>
            <w:r w:rsidRPr="009334B7">
              <w:rPr>
                <w:rFonts w:ascii="Times New Roman" w:hAnsi="Times New Roman" w:cs="Times New Roman"/>
                <w:color w:val="000000" w:themeColor="text1"/>
                <w:sz w:val="24"/>
                <w:szCs w:val="24"/>
                <w:lang w:val="en-US"/>
              </w:rPr>
              <w:t>.</w:t>
            </w:r>
          </w:p>
        </w:tc>
        <w:tc>
          <w:tcPr>
            <w:tcW w:w="169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Chapter 3: clinical evaluation and</w:t>
            </w:r>
          </w:p>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assessment of</w:t>
            </w:r>
          </w:p>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hypertension-mediated target</w:t>
            </w:r>
          </w:p>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organ damage</w:t>
            </w:r>
          </w:p>
        </w:tc>
      </w:tr>
      <w:tr w:rsidR="00A3781B" w:rsidRPr="009334B7" w:rsidTr="0078263E">
        <w:tc>
          <w:tcPr>
            <w:tcW w:w="3020"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 xml:space="preserve">What are the recommended first-line antihypertensive agents for children and adolescents, and why </w:t>
            </w:r>
            <w:proofErr w:type="gramStart"/>
            <w:r w:rsidRPr="009334B7">
              <w:rPr>
                <w:rFonts w:ascii="Times New Roman" w:hAnsi="Times New Roman" w:cs="Times New Roman"/>
                <w:color w:val="000000" w:themeColor="text1"/>
                <w:sz w:val="24"/>
                <w:szCs w:val="24"/>
                <w:lang w:val="en-US"/>
              </w:rPr>
              <w:t>are beta-adrenergic blockers not typically recommended</w:t>
            </w:r>
            <w:proofErr w:type="gramEnd"/>
            <w:r w:rsidRPr="009334B7">
              <w:rPr>
                <w:rFonts w:ascii="Times New Roman" w:hAnsi="Times New Roman" w:cs="Times New Roman"/>
                <w:color w:val="000000" w:themeColor="text1"/>
                <w:sz w:val="24"/>
                <w:szCs w:val="24"/>
                <w:lang w:val="en-US"/>
              </w:rPr>
              <w:t>?</w:t>
            </w:r>
          </w:p>
        </w:tc>
        <w:tc>
          <w:tcPr>
            <w:tcW w:w="434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 xml:space="preserve">Drug choice </w:t>
            </w:r>
            <w:proofErr w:type="gramStart"/>
            <w:r w:rsidRPr="009334B7">
              <w:rPr>
                <w:rFonts w:ascii="Times New Roman" w:hAnsi="Times New Roman" w:cs="Times New Roman"/>
                <w:color w:val="000000" w:themeColor="text1"/>
                <w:sz w:val="24"/>
                <w:szCs w:val="24"/>
                <w:lang w:val="en-US"/>
              </w:rPr>
              <w:t>should be based</w:t>
            </w:r>
            <w:proofErr w:type="gramEnd"/>
            <w:r w:rsidRPr="009334B7">
              <w:rPr>
                <w:rFonts w:ascii="Times New Roman" w:hAnsi="Times New Roman" w:cs="Times New Roman"/>
                <w:color w:val="000000" w:themeColor="text1"/>
                <w:sz w:val="24"/>
                <w:szCs w:val="24"/>
                <w:lang w:val="en-US"/>
              </w:rPr>
              <w:t xml:space="preserve"> on presumed underlying pathophysiology, the presence of concurrent disorders and the availability of appropriate formulations. The recommended first-line antihypertensive agents include angiotensin-converting enzyme inhibitors (</w:t>
            </w:r>
            <w:proofErr w:type="spellStart"/>
            <w:r w:rsidRPr="009334B7">
              <w:rPr>
                <w:rFonts w:ascii="Times New Roman" w:hAnsi="Times New Roman" w:cs="Times New Roman"/>
                <w:color w:val="000000" w:themeColor="text1"/>
                <w:sz w:val="24"/>
                <w:szCs w:val="24"/>
                <w:lang w:val="en-US"/>
              </w:rPr>
              <w:t>ACEi</w:t>
            </w:r>
            <w:proofErr w:type="spellEnd"/>
            <w:r w:rsidRPr="009334B7">
              <w:rPr>
                <w:rFonts w:ascii="Times New Roman" w:hAnsi="Times New Roman" w:cs="Times New Roman"/>
                <w:color w:val="000000" w:themeColor="text1"/>
                <w:sz w:val="24"/>
                <w:szCs w:val="24"/>
                <w:lang w:val="en-US"/>
              </w:rPr>
              <w:t xml:space="preserve">), angiotensin receptor blockers (ARB), </w:t>
            </w:r>
            <w:proofErr w:type="spellStart"/>
            <w:proofErr w:type="gramStart"/>
            <w:r w:rsidRPr="009334B7">
              <w:rPr>
                <w:rFonts w:ascii="Times New Roman" w:hAnsi="Times New Roman" w:cs="Times New Roman"/>
                <w:color w:val="000000" w:themeColor="text1"/>
                <w:sz w:val="24"/>
                <w:szCs w:val="24"/>
                <w:lang w:val="en-US"/>
              </w:rPr>
              <w:t>dihydropyridine</w:t>
            </w:r>
            <w:proofErr w:type="spellEnd"/>
            <w:r w:rsidRPr="009334B7">
              <w:rPr>
                <w:rFonts w:ascii="Times New Roman" w:hAnsi="Times New Roman" w:cs="Times New Roman"/>
                <w:color w:val="000000" w:themeColor="text1"/>
                <w:sz w:val="24"/>
                <w:szCs w:val="24"/>
                <w:lang w:val="en-US"/>
              </w:rPr>
              <w:t xml:space="preserve"> calcium channel blockers</w:t>
            </w:r>
            <w:proofErr w:type="gramEnd"/>
            <w:r w:rsidRPr="009334B7">
              <w:rPr>
                <w:rFonts w:ascii="Times New Roman" w:hAnsi="Times New Roman" w:cs="Times New Roman"/>
                <w:color w:val="000000" w:themeColor="text1"/>
                <w:sz w:val="24"/>
                <w:szCs w:val="24"/>
                <w:lang w:val="en-US"/>
              </w:rPr>
              <w:t xml:space="preserve"> (CCB), and diuretics. Beta-adrenergic blockers are not recommended except in specific conditions due to potential </w:t>
            </w:r>
            <w:proofErr w:type="gramStart"/>
            <w:r w:rsidRPr="009334B7">
              <w:rPr>
                <w:rFonts w:ascii="Times New Roman" w:hAnsi="Times New Roman" w:cs="Times New Roman"/>
                <w:color w:val="000000" w:themeColor="text1"/>
                <w:sz w:val="24"/>
                <w:szCs w:val="24"/>
                <w:lang w:val="en-US"/>
              </w:rPr>
              <w:t>side-effects</w:t>
            </w:r>
            <w:proofErr w:type="gramEnd"/>
            <w:r w:rsidRPr="009334B7">
              <w:rPr>
                <w:rFonts w:ascii="Times New Roman" w:hAnsi="Times New Roman" w:cs="Times New Roman"/>
                <w:color w:val="000000" w:themeColor="text1"/>
                <w:sz w:val="24"/>
                <w:szCs w:val="24"/>
                <w:lang w:val="en-US"/>
              </w:rPr>
              <w:t xml:space="preserve">. A stepped-care approach </w:t>
            </w:r>
            <w:proofErr w:type="gramStart"/>
            <w:r w:rsidRPr="009334B7">
              <w:rPr>
                <w:rFonts w:ascii="Times New Roman" w:hAnsi="Times New Roman" w:cs="Times New Roman"/>
                <w:color w:val="000000" w:themeColor="text1"/>
                <w:sz w:val="24"/>
                <w:szCs w:val="24"/>
                <w:lang w:val="en-US"/>
              </w:rPr>
              <w:t>is suggested</w:t>
            </w:r>
            <w:proofErr w:type="gramEnd"/>
            <w:r w:rsidRPr="009334B7">
              <w:rPr>
                <w:rFonts w:ascii="Times New Roman" w:hAnsi="Times New Roman" w:cs="Times New Roman"/>
                <w:color w:val="000000" w:themeColor="text1"/>
                <w:sz w:val="24"/>
                <w:szCs w:val="24"/>
                <w:lang w:val="en-US"/>
              </w:rPr>
              <w:t xml:space="preserve"> for choosing antihypertensive agents.</w:t>
            </w:r>
          </w:p>
        </w:tc>
        <w:tc>
          <w:tcPr>
            <w:tcW w:w="169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Chapter 5: treatment of</w:t>
            </w:r>
          </w:p>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hypertension</w:t>
            </w:r>
          </w:p>
        </w:tc>
      </w:tr>
      <w:tr w:rsidR="00A3781B" w:rsidRPr="009334B7" w:rsidTr="0078263E">
        <w:tc>
          <w:tcPr>
            <w:tcW w:w="3020"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 xml:space="preserve">Why is early recognition and management of concomitant </w:t>
            </w:r>
            <w:proofErr w:type="spellStart"/>
            <w:r w:rsidRPr="009334B7">
              <w:rPr>
                <w:rFonts w:ascii="Times New Roman" w:hAnsi="Times New Roman" w:cs="Times New Roman"/>
                <w:color w:val="000000" w:themeColor="text1"/>
                <w:sz w:val="24"/>
                <w:szCs w:val="24"/>
                <w:lang w:val="en-US"/>
              </w:rPr>
              <w:t>cardiometabolic</w:t>
            </w:r>
            <w:proofErr w:type="spellEnd"/>
            <w:r w:rsidRPr="009334B7">
              <w:rPr>
                <w:rFonts w:ascii="Times New Roman" w:hAnsi="Times New Roman" w:cs="Times New Roman"/>
                <w:color w:val="000000" w:themeColor="text1"/>
                <w:sz w:val="24"/>
                <w:szCs w:val="24"/>
                <w:lang w:val="en-US"/>
              </w:rPr>
              <w:t xml:space="preserve"> risk factors (CMRFs) important in children and adolescents with hypertension?</w:t>
            </w:r>
          </w:p>
        </w:tc>
        <w:tc>
          <w:tcPr>
            <w:tcW w:w="434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Early recognition and management of concomitant CMRFs are important in children and adolescents with hypertension to prevent cardiovascular disease in adulthood.</w:t>
            </w:r>
          </w:p>
        </w:tc>
        <w:tc>
          <w:tcPr>
            <w:tcW w:w="1696" w:type="dxa"/>
          </w:tcPr>
          <w:p w:rsidR="00A3781B" w:rsidRPr="009334B7" w:rsidRDefault="00A3781B" w:rsidP="009334B7">
            <w:pPr>
              <w:jc w:val="both"/>
              <w:rPr>
                <w:rFonts w:ascii="Times New Roman" w:hAnsi="Times New Roman" w:cs="Times New Roman"/>
                <w:color w:val="000000" w:themeColor="text1"/>
                <w:sz w:val="24"/>
                <w:szCs w:val="24"/>
                <w:lang w:val="en-US"/>
              </w:rPr>
            </w:pPr>
            <w:r w:rsidRPr="009334B7">
              <w:rPr>
                <w:rFonts w:ascii="Times New Roman" w:hAnsi="Times New Roman" w:cs="Times New Roman"/>
                <w:color w:val="000000" w:themeColor="text1"/>
                <w:sz w:val="24"/>
                <w:szCs w:val="24"/>
                <w:lang w:val="en-US"/>
              </w:rPr>
              <w:t>Chapter 6: assessment and management of concomitant risk factors</w:t>
            </w:r>
          </w:p>
        </w:tc>
      </w:tr>
    </w:tbl>
    <w:p w:rsidR="00A3781B" w:rsidRPr="009334B7" w:rsidRDefault="00A3781B" w:rsidP="009334B7">
      <w:pPr>
        <w:jc w:val="both"/>
        <w:rPr>
          <w:rFonts w:ascii="Times New Roman" w:hAnsi="Times New Roman" w:cs="Times New Roman"/>
          <w:sz w:val="24"/>
          <w:szCs w:val="24"/>
          <w:lang w:val="en-US"/>
        </w:rPr>
      </w:pPr>
    </w:p>
    <w:p w:rsidR="00A3781B" w:rsidRPr="009334B7" w:rsidRDefault="00A3781B" w:rsidP="009334B7">
      <w:pPr>
        <w:jc w:val="both"/>
        <w:rPr>
          <w:rFonts w:ascii="Times New Roman" w:hAnsi="Times New Roman" w:cs="Times New Roman"/>
          <w:b/>
          <w:sz w:val="24"/>
          <w:szCs w:val="24"/>
          <w:lang w:val="en-US"/>
        </w:rPr>
      </w:pPr>
    </w:p>
    <w:p w:rsidR="00A3781B" w:rsidRPr="009334B7" w:rsidRDefault="00A3781B" w:rsidP="009334B7">
      <w:pPr>
        <w:jc w:val="both"/>
        <w:rPr>
          <w:rFonts w:ascii="Times New Roman" w:hAnsi="Times New Roman" w:cs="Times New Roman"/>
          <w:b/>
          <w:sz w:val="24"/>
          <w:szCs w:val="24"/>
          <w:lang w:val="en-US"/>
        </w:rPr>
      </w:pPr>
    </w:p>
    <w:p w:rsidR="00A3781B" w:rsidRPr="009334B7" w:rsidRDefault="00A3781B" w:rsidP="009334B7">
      <w:pPr>
        <w:jc w:val="both"/>
        <w:rPr>
          <w:rFonts w:ascii="Times New Roman" w:hAnsi="Times New Roman" w:cs="Times New Roman"/>
          <w:b/>
          <w:sz w:val="24"/>
          <w:szCs w:val="24"/>
          <w:lang w:val="en-US"/>
        </w:rPr>
      </w:pPr>
    </w:p>
    <w:p w:rsidR="00A3781B" w:rsidRPr="009334B7" w:rsidRDefault="00A3781B" w:rsidP="009334B7">
      <w:pPr>
        <w:jc w:val="both"/>
        <w:rPr>
          <w:rFonts w:ascii="Times New Roman" w:hAnsi="Times New Roman" w:cs="Times New Roman"/>
          <w:b/>
          <w:sz w:val="24"/>
          <w:szCs w:val="24"/>
          <w:lang w:val="en-US"/>
        </w:rPr>
      </w:pPr>
    </w:p>
    <w:p w:rsidR="00A3781B" w:rsidRPr="009334B7" w:rsidRDefault="00A3781B" w:rsidP="009334B7">
      <w:pPr>
        <w:jc w:val="both"/>
        <w:rPr>
          <w:rFonts w:ascii="Times New Roman" w:hAnsi="Times New Roman" w:cs="Times New Roman"/>
          <w:b/>
          <w:sz w:val="24"/>
          <w:szCs w:val="24"/>
          <w:lang w:val="en-US"/>
        </w:rPr>
      </w:pPr>
    </w:p>
    <w:p w:rsidR="00A3781B" w:rsidRPr="009334B7" w:rsidRDefault="00A3781B" w:rsidP="009334B7">
      <w:pPr>
        <w:jc w:val="both"/>
        <w:rPr>
          <w:rFonts w:ascii="Times New Roman" w:hAnsi="Times New Roman" w:cs="Times New Roman"/>
          <w:b/>
          <w:sz w:val="24"/>
          <w:szCs w:val="24"/>
          <w:lang w:val="en-US"/>
        </w:rPr>
      </w:pPr>
    </w:p>
    <w:p w:rsidR="00A3781B" w:rsidRPr="009334B7" w:rsidRDefault="00A3781B" w:rsidP="009334B7">
      <w:pPr>
        <w:jc w:val="both"/>
        <w:rPr>
          <w:rFonts w:ascii="Times New Roman" w:hAnsi="Times New Roman" w:cs="Times New Roman"/>
          <w:b/>
          <w:sz w:val="24"/>
          <w:szCs w:val="24"/>
          <w:lang w:val="en-US"/>
        </w:rPr>
      </w:pPr>
    </w:p>
    <w:p w:rsidR="00A3781B" w:rsidRPr="009334B7" w:rsidRDefault="002A260F" w:rsidP="009334B7">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Group </w:t>
      </w:r>
      <w:r>
        <w:rPr>
          <w:rFonts w:ascii="Times New Roman" w:hAnsi="Times New Roman" w:cs="Times New Roman"/>
          <w:b/>
          <w:sz w:val="24"/>
          <w:szCs w:val="24"/>
          <w:lang w:val="en-US"/>
        </w:rPr>
        <w:t>2</w:t>
      </w:r>
      <w:r>
        <w:rPr>
          <w:rFonts w:ascii="Times New Roman" w:hAnsi="Times New Roman" w:cs="Times New Roman"/>
          <w:b/>
          <w:sz w:val="24"/>
          <w:szCs w:val="24"/>
          <w:lang w:val="en-US"/>
        </w:rPr>
        <w:t xml:space="preserve"> Dataset: </w:t>
      </w:r>
      <w:r w:rsidR="00A3781B" w:rsidRPr="009334B7">
        <w:rPr>
          <w:rFonts w:ascii="Times New Roman" w:hAnsi="Times New Roman" w:cs="Times New Roman"/>
          <w:b/>
          <w:sz w:val="24"/>
          <w:szCs w:val="24"/>
          <w:lang w:val="en-US"/>
        </w:rPr>
        <w:t xml:space="preserve">Visual Element Questions and Corresponding </w:t>
      </w:r>
      <w:r>
        <w:rPr>
          <w:rFonts w:ascii="Times New Roman" w:hAnsi="Times New Roman" w:cs="Times New Roman"/>
          <w:b/>
          <w:sz w:val="24"/>
          <w:szCs w:val="24"/>
          <w:lang w:val="en-US"/>
        </w:rPr>
        <w:t>Reference</w:t>
      </w:r>
      <w:r w:rsidRPr="009334B7">
        <w:rPr>
          <w:rFonts w:ascii="Times New Roman" w:hAnsi="Times New Roman" w:cs="Times New Roman"/>
          <w:b/>
          <w:sz w:val="24"/>
          <w:szCs w:val="24"/>
          <w:lang w:val="en-US"/>
        </w:rPr>
        <w:t xml:space="preserve"> Responses</w:t>
      </w:r>
    </w:p>
    <w:tbl>
      <w:tblPr>
        <w:tblStyle w:val="TableGrid"/>
        <w:tblW w:w="0" w:type="auto"/>
        <w:tblLook w:val="04A0" w:firstRow="1" w:lastRow="0" w:firstColumn="1" w:lastColumn="0" w:noHBand="0" w:noVBand="1"/>
      </w:tblPr>
      <w:tblGrid>
        <w:gridCol w:w="3020"/>
        <w:gridCol w:w="4488"/>
        <w:gridCol w:w="1554"/>
      </w:tblGrid>
      <w:tr w:rsidR="00A3781B" w:rsidRPr="00A3781B" w:rsidTr="0078263E">
        <w:tc>
          <w:tcPr>
            <w:tcW w:w="3020" w:type="dxa"/>
          </w:tcPr>
          <w:p w:rsidR="00A3781B" w:rsidRPr="00A3781B" w:rsidRDefault="00A3781B" w:rsidP="009334B7">
            <w:pPr>
              <w:jc w:val="both"/>
              <w:rPr>
                <w:rFonts w:ascii="Times New Roman" w:eastAsia="Calibri" w:hAnsi="Times New Roman" w:cs="Times New Roman"/>
                <w:b/>
                <w:sz w:val="24"/>
                <w:szCs w:val="24"/>
                <w:lang w:val="en-US"/>
              </w:rPr>
            </w:pPr>
            <w:r w:rsidRPr="00A3781B">
              <w:rPr>
                <w:rFonts w:ascii="Times New Roman" w:eastAsia="Calibri" w:hAnsi="Times New Roman" w:cs="Times New Roman"/>
                <w:b/>
                <w:sz w:val="24"/>
                <w:szCs w:val="24"/>
                <w:lang w:val="en-US"/>
              </w:rPr>
              <w:t>Question</w:t>
            </w:r>
          </w:p>
        </w:tc>
        <w:tc>
          <w:tcPr>
            <w:tcW w:w="4488" w:type="dxa"/>
          </w:tcPr>
          <w:p w:rsidR="00A3781B" w:rsidRPr="00A3781B" w:rsidRDefault="002A260F" w:rsidP="009334B7">
            <w:pPr>
              <w:jc w:val="both"/>
              <w:rPr>
                <w:rFonts w:ascii="Times New Roman" w:eastAsia="Calibri" w:hAnsi="Times New Roman" w:cs="Times New Roman"/>
                <w:b/>
                <w:sz w:val="24"/>
                <w:szCs w:val="24"/>
                <w:lang w:val="en-US"/>
              </w:rPr>
            </w:pPr>
            <w:r>
              <w:rPr>
                <w:rFonts w:ascii="Times New Roman" w:hAnsi="Times New Roman" w:cs="Times New Roman"/>
                <w:b/>
                <w:sz w:val="24"/>
                <w:szCs w:val="24"/>
                <w:lang w:val="en-US"/>
              </w:rPr>
              <w:t>Reference</w:t>
            </w:r>
            <w:r w:rsidRPr="009334B7">
              <w:rPr>
                <w:rFonts w:ascii="Times New Roman" w:hAnsi="Times New Roman" w:cs="Times New Roman"/>
                <w:b/>
                <w:sz w:val="24"/>
                <w:szCs w:val="24"/>
                <w:lang w:val="en-US"/>
              </w:rPr>
              <w:t xml:space="preserve"> Responses</w:t>
            </w:r>
          </w:p>
        </w:tc>
        <w:tc>
          <w:tcPr>
            <w:tcW w:w="1554" w:type="dxa"/>
          </w:tcPr>
          <w:p w:rsidR="00A3781B" w:rsidRPr="00A3781B" w:rsidRDefault="00A3781B" w:rsidP="009334B7">
            <w:pPr>
              <w:jc w:val="both"/>
              <w:rPr>
                <w:rFonts w:ascii="Times New Roman" w:eastAsia="Calibri" w:hAnsi="Times New Roman" w:cs="Times New Roman"/>
                <w:b/>
                <w:sz w:val="24"/>
                <w:szCs w:val="24"/>
                <w:lang w:val="en-US"/>
              </w:rPr>
            </w:pPr>
            <w:r w:rsidRPr="00A3781B">
              <w:rPr>
                <w:rFonts w:ascii="Times New Roman" w:eastAsia="Calibri" w:hAnsi="Times New Roman" w:cs="Times New Roman"/>
                <w:b/>
                <w:sz w:val="24"/>
                <w:szCs w:val="24"/>
                <w:lang w:val="en-US"/>
              </w:rPr>
              <w:t>Source</w:t>
            </w:r>
          </w:p>
        </w:tc>
      </w:tr>
      <w:tr w:rsidR="00A3781B" w:rsidRPr="00A3781B" w:rsidTr="0078263E">
        <w:tc>
          <w:tcPr>
            <w:tcW w:w="3020"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Please list all anamnestic information for clinical</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evaluation in children/adolescents with hypertension</w:t>
            </w:r>
          </w:p>
        </w:tc>
        <w:tc>
          <w:tcPr>
            <w:tcW w:w="4488"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(1) Family history of HTN (namely pregnancy hypertension),</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 xml:space="preserve">CVD, familial </w:t>
            </w:r>
            <w:proofErr w:type="spellStart"/>
            <w:r w:rsidRPr="00A3781B">
              <w:rPr>
                <w:rFonts w:ascii="Times New Roman" w:eastAsia="Calibri" w:hAnsi="Times New Roman" w:cs="Times New Roman"/>
                <w:sz w:val="24"/>
                <w:szCs w:val="24"/>
                <w:lang w:val="en-US"/>
              </w:rPr>
              <w:t>hypercholesterolaemia</w:t>
            </w:r>
            <w:proofErr w:type="spellEnd"/>
            <w:r w:rsidRPr="00A3781B">
              <w:rPr>
                <w:rFonts w:ascii="Times New Roman" w:eastAsia="Calibri" w:hAnsi="Times New Roman" w:cs="Times New Roman"/>
                <w:sz w:val="24"/>
                <w:szCs w:val="24"/>
                <w:lang w:val="en-US"/>
              </w:rPr>
              <w:t>.</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(2) Birth weight and gestational age.</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(3) Environmental factors: smoking habit, salt intake, alcohol</w:t>
            </w:r>
          </w:p>
          <w:p w:rsidR="00A3781B" w:rsidRPr="00A3781B" w:rsidRDefault="00A3781B" w:rsidP="009334B7">
            <w:pPr>
              <w:jc w:val="both"/>
              <w:rPr>
                <w:rFonts w:ascii="Times New Roman" w:eastAsia="Calibri" w:hAnsi="Times New Roman" w:cs="Times New Roman"/>
                <w:sz w:val="24"/>
                <w:szCs w:val="24"/>
                <w:lang w:val="en-US"/>
              </w:rPr>
            </w:pPr>
            <w:proofErr w:type="gramStart"/>
            <w:r w:rsidRPr="00A3781B">
              <w:rPr>
                <w:rFonts w:ascii="Times New Roman" w:eastAsia="Calibri" w:hAnsi="Times New Roman" w:cs="Times New Roman"/>
                <w:sz w:val="24"/>
                <w:szCs w:val="24"/>
                <w:lang w:val="en-US"/>
              </w:rPr>
              <w:t>consumption</w:t>
            </w:r>
            <w:proofErr w:type="gramEnd"/>
            <w:r w:rsidRPr="00A3781B">
              <w:rPr>
                <w:rFonts w:ascii="Times New Roman" w:eastAsia="Calibri" w:hAnsi="Times New Roman" w:cs="Times New Roman"/>
                <w:sz w:val="24"/>
                <w:szCs w:val="24"/>
                <w:lang w:val="en-US"/>
              </w:rPr>
              <w:t>, drug/substance intake.</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(4) Physical exercise/leisure time.</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(5) Possible symptoms (headache, epistaxis, vertigo, visual</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impairment, strokes, low school performance, attention</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 xml:space="preserve">defects, </w:t>
            </w:r>
            <w:proofErr w:type="spellStart"/>
            <w:r w:rsidRPr="00A3781B">
              <w:rPr>
                <w:rFonts w:ascii="Times New Roman" w:eastAsia="Calibri" w:hAnsi="Times New Roman" w:cs="Times New Roman"/>
                <w:sz w:val="24"/>
                <w:szCs w:val="24"/>
                <w:lang w:val="en-US"/>
              </w:rPr>
              <w:t>dyspnoea</w:t>
            </w:r>
            <w:proofErr w:type="spellEnd"/>
            <w:r w:rsidRPr="00A3781B">
              <w:rPr>
                <w:rFonts w:ascii="Times New Roman" w:eastAsia="Calibri" w:hAnsi="Times New Roman" w:cs="Times New Roman"/>
                <w:sz w:val="24"/>
                <w:szCs w:val="24"/>
                <w:lang w:val="en-US"/>
              </w:rPr>
              <w:t>, chest pain, palpitations and syncope)</w:t>
            </w:r>
          </w:p>
        </w:tc>
        <w:tc>
          <w:tcPr>
            <w:tcW w:w="1554"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Table 3</w:t>
            </w:r>
          </w:p>
        </w:tc>
      </w:tr>
      <w:tr w:rsidR="00A3781B" w:rsidRPr="00A3781B" w:rsidTr="0078263E">
        <w:tc>
          <w:tcPr>
            <w:tcW w:w="3020"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How do primary and secondary hypertension in children differ regarding clinical signs?</w:t>
            </w:r>
          </w:p>
        </w:tc>
        <w:tc>
          <w:tcPr>
            <w:tcW w:w="4488"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 xml:space="preserve">In primary </w:t>
            </w:r>
            <w:proofErr w:type="gramStart"/>
            <w:r w:rsidRPr="00A3781B">
              <w:rPr>
                <w:rFonts w:ascii="Times New Roman" w:eastAsia="Calibri" w:hAnsi="Times New Roman" w:cs="Times New Roman"/>
                <w:sz w:val="24"/>
                <w:szCs w:val="24"/>
                <w:lang w:val="en-US"/>
              </w:rPr>
              <w:t>hypertension</w:t>
            </w:r>
            <w:proofErr w:type="gramEnd"/>
            <w:r w:rsidRPr="00A3781B">
              <w:rPr>
                <w:rFonts w:ascii="Times New Roman" w:eastAsia="Calibri" w:hAnsi="Times New Roman" w:cs="Times New Roman"/>
                <w:sz w:val="24"/>
                <w:szCs w:val="24"/>
                <w:lang w:val="en-US"/>
              </w:rPr>
              <w:t xml:space="preserve"> there is normally an absence of murmurs, normal femoral pulses and excess weight frequent. In secondary hypertension you will more likely find a cardiac/ and or </w:t>
            </w:r>
            <w:proofErr w:type="spellStart"/>
            <w:r w:rsidRPr="00A3781B">
              <w:rPr>
                <w:rFonts w:ascii="Times New Roman" w:eastAsia="Calibri" w:hAnsi="Times New Roman" w:cs="Times New Roman"/>
                <w:sz w:val="24"/>
                <w:szCs w:val="24"/>
                <w:lang w:val="en-US"/>
              </w:rPr>
              <w:t>adominal</w:t>
            </w:r>
            <w:proofErr w:type="spellEnd"/>
            <w:r w:rsidRPr="00A3781B">
              <w:rPr>
                <w:rFonts w:ascii="Times New Roman" w:eastAsia="Calibri" w:hAnsi="Times New Roman" w:cs="Times New Roman"/>
                <w:sz w:val="24"/>
                <w:szCs w:val="24"/>
                <w:lang w:val="en-US"/>
              </w:rPr>
              <w:t xml:space="preserve"> murmur, upper limb hypertension and weak/ Absent femoral pulses and excess weight rarely present.</w:t>
            </w:r>
          </w:p>
        </w:tc>
        <w:tc>
          <w:tcPr>
            <w:tcW w:w="1554"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Table 4</w:t>
            </w:r>
          </w:p>
        </w:tc>
      </w:tr>
      <w:tr w:rsidR="00A3781B" w:rsidRPr="00A3781B" w:rsidTr="0078263E">
        <w:tc>
          <w:tcPr>
            <w:tcW w:w="3020"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 xml:space="preserve">Which kind of physical activity and diet </w:t>
            </w:r>
            <w:proofErr w:type="gramStart"/>
            <w:r w:rsidRPr="00A3781B">
              <w:rPr>
                <w:rFonts w:ascii="Times New Roman" w:eastAsia="Calibri" w:hAnsi="Times New Roman" w:cs="Times New Roman"/>
                <w:sz w:val="24"/>
                <w:szCs w:val="24"/>
                <w:lang w:val="en-US"/>
              </w:rPr>
              <w:t>is recommended</w:t>
            </w:r>
            <w:proofErr w:type="gramEnd"/>
            <w:r w:rsidRPr="00A3781B">
              <w:rPr>
                <w:rFonts w:ascii="Times New Roman" w:eastAsia="Calibri" w:hAnsi="Times New Roman" w:cs="Times New Roman"/>
                <w:sz w:val="24"/>
                <w:szCs w:val="24"/>
                <w:lang w:val="en-US"/>
              </w:rPr>
              <w:t xml:space="preserve"> as part of lifestyles modifications in pediatric hypertension?</w:t>
            </w:r>
          </w:p>
        </w:tc>
        <w:tc>
          <w:tcPr>
            <w:tcW w:w="4488"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Activity</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(1) At least 60 min of activity per day, at least moderate</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w:t>
            </w:r>
            <w:proofErr w:type="gramStart"/>
            <w:r w:rsidRPr="00A3781B">
              <w:rPr>
                <w:rFonts w:ascii="Times New Roman" w:eastAsia="Calibri" w:hAnsi="Times New Roman" w:cs="Times New Roman"/>
                <w:sz w:val="24"/>
                <w:szCs w:val="24"/>
                <w:lang w:val="en-US"/>
              </w:rPr>
              <w:t>jogging</w:t>
            </w:r>
            <w:proofErr w:type="gramEnd"/>
            <w:r w:rsidRPr="00A3781B">
              <w:rPr>
                <w:rFonts w:ascii="Times New Roman" w:eastAsia="Calibri" w:hAnsi="Times New Roman" w:cs="Times New Roman"/>
                <w:sz w:val="24"/>
                <w:szCs w:val="24"/>
                <w:lang w:val="en-US"/>
              </w:rPr>
              <w:t>, cycling, or swimming).</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(2) More activity = more good health.</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(3) Aerobic mostly, but with resistance components (3 times/</w:t>
            </w:r>
          </w:p>
          <w:p w:rsidR="00A3781B" w:rsidRPr="00A3781B" w:rsidRDefault="00A3781B" w:rsidP="009334B7">
            <w:pPr>
              <w:jc w:val="both"/>
              <w:rPr>
                <w:rFonts w:ascii="Times New Roman" w:eastAsia="Calibri" w:hAnsi="Times New Roman" w:cs="Times New Roman"/>
                <w:sz w:val="24"/>
                <w:szCs w:val="24"/>
                <w:lang w:val="en-US"/>
              </w:rPr>
            </w:pPr>
            <w:proofErr w:type="gramStart"/>
            <w:r w:rsidRPr="00A3781B">
              <w:rPr>
                <w:rFonts w:ascii="Times New Roman" w:eastAsia="Calibri" w:hAnsi="Times New Roman" w:cs="Times New Roman"/>
                <w:sz w:val="24"/>
                <w:szCs w:val="24"/>
                <w:lang w:val="en-US"/>
              </w:rPr>
              <w:t>week</w:t>
            </w:r>
            <w:proofErr w:type="gramEnd"/>
            <w:r w:rsidRPr="00A3781B">
              <w:rPr>
                <w:rFonts w:ascii="Times New Roman" w:eastAsia="Calibri" w:hAnsi="Times New Roman" w:cs="Times New Roman"/>
                <w:sz w:val="24"/>
                <w:szCs w:val="24"/>
                <w:lang w:val="en-US"/>
              </w:rPr>
              <w:t>).</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 xml:space="preserve">(4) No more than 2-h sedentary </w:t>
            </w:r>
            <w:proofErr w:type="spellStart"/>
            <w:r w:rsidRPr="00A3781B">
              <w:rPr>
                <w:rFonts w:ascii="Times New Roman" w:eastAsia="Calibri" w:hAnsi="Times New Roman" w:cs="Times New Roman"/>
                <w:sz w:val="24"/>
                <w:szCs w:val="24"/>
                <w:lang w:val="en-US"/>
              </w:rPr>
              <w:t>behaviour</w:t>
            </w:r>
            <w:proofErr w:type="spellEnd"/>
            <w:r w:rsidRPr="00A3781B">
              <w:rPr>
                <w:rFonts w:ascii="Times New Roman" w:eastAsia="Calibri" w:hAnsi="Times New Roman" w:cs="Times New Roman"/>
                <w:sz w:val="24"/>
                <w:szCs w:val="24"/>
                <w:lang w:val="en-US"/>
              </w:rPr>
              <w:t xml:space="preserve"> per day.</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(5) If stage 2 hypertension, avoid competitive sports.</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Diet</w:t>
            </w:r>
          </w:p>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 xml:space="preserve">(1) Avoid free sugar (≤5% of total calories), soft-sweetened drinks, </w:t>
            </w:r>
            <w:proofErr w:type="gramStart"/>
            <w:r w:rsidRPr="00A3781B">
              <w:rPr>
                <w:rFonts w:ascii="Times New Roman" w:eastAsia="Calibri" w:hAnsi="Times New Roman" w:cs="Times New Roman"/>
                <w:sz w:val="24"/>
                <w:szCs w:val="24"/>
                <w:lang w:val="en-US"/>
              </w:rPr>
              <w:t>saturated</w:t>
            </w:r>
            <w:proofErr w:type="gramEnd"/>
            <w:r w:rsidRPr="00A3781B">
              <w:rPr>
                <w:rFonts w:ascii="Times New Roman" w:eastAsia="Calibri" w:hAnsi="Times New Roman" w:cs="Times New Roman"/>
                <w:sz w:val="24"/>
                <w:szCs w:val="24"/>
                <w:lang w:val="en-US"/>
              </w:rPr>
              <w:t xml:space="preserve"> fat. (2) Prefer fruits, vegetables, and grain products (ideally, ≥4–5 servings/day). (3) Limit sodium intake (,2300 mg/daily)</w:t>
            </w:r>
          </w:p>
        </w:tc>
        <w:tc>
          <w:tcPr>
            <w:tcW w:w="1554"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Table 5</w:t>
            </w:r>
          </w:p>
        </w:tc>
      </w:tr>
      <w:tr w:rsidR="00A3781B" w:rsidRPr="00A3781B" w:rsidTr="0078263E">
        <w:tc>
          <w:tcPr>
            <w:tcW w:w="3020"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 xml:space="preserve">What is the threshold for the modifiable cardio-metabolic risk factor </w:t>
            </w:r>
            <w:proofErr w:type="spellStart"/>
            <w:r w:rsidRPr="00A3781B">
              <w:rPr>
                <w:rFonts w:ascii="Times New Roman" w:eastAsia="Calibri" w:hAnsi="Times New Roman" w:cs="Times New Roman"/>
                <w:sz w:val="24"/>
                <w:szCs w:val="24"/>
                <w:lang w:val="en-US"/>
              </w:rPr>
              <w:t>dyslipidaemia</w:t>
            </w:r>
            <w:proofErr w:type="spellEnd"/>
            <w:r w:rsidRPr="00A3781B">
              <w:rPr>
                <w:rFonts w:ascii="Times New Roman" w:eastAsia="Calibri" w:hAnsi="Times New Roman" w:cs="Times New Roman"/>
                <w:sz w:val="24"/>
                <w:szCs w:val="24"/>
                <w:lang w:val="en-US"/>
              </w:rPr>
              <w:t xml:space="preserve"> regarding HDL </w:t>
            </w:r>
            <w:proofErr w:type="spellStart"/>
            <w:r w:rsidRPr="00A3781B">
              <w:rPr>
                <w:rFonts w:ascii="Times New Roman" w:eastAsia="Calibri" w:hAnsi="Times New Roman" w:cs="Times New Roman"/>
                <w:sz w:val="24"/>
                <w:szCs w:val="24"/>
                <w:lang w:val="en-US"/>
              </w:rPr>
              <w:t>cholesterin</w:t>
            </w:r>
            <w:proofErr w:type="spellEnd"/>
            <w:r w:rsidRPr="00A3781B">
              <w:rPr>
                <w:rFonts w:ascii="Times New Roman" w:eastAsia="Calibri" w:hAnsi="Times New Roman" w:cs="Times New Roman"/>
                <w:sz w:val="24"/>
                <w:szCs w:val="24"/>
                <w:lang w:val="en-US"/>
              </w:rPr>
              <w:t>?</w:t>
            </w:r>
          </w:p>
        </w:tc>
        <w:tc>
          <w:tcPr>
            <w:tcW w:w="4488"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The threshold is below 40 mg/dl.</w:t>
            </w:r>
          </w:p>
        </w:tc>
        <w:tc>
          <w:tcPr>
            <w:tcW w:w="1554" w:type="dxa"/>
          </w:tcPr>
          <w:p w:rsidR="00A3781B" w:rsidRPr="00A3781B" w:rsidRDefault="00A3781B" w:rsidP="009334B7">
            <w:pPr>
              <w:jc w:val="both"/>
              <w:rPr>
                <w:rFonts w:ascii="Times New Roman" w:eastAsia="Calibri" w:hAnsi="Times New Roman" w:cs="Times New Roman"/>
                <w:sz w:val="24"/>
                <w:szCs w:val="24"/>
                <w:lang w:val="en-US"/>
              </w:rPr>
            </w:pPr>
            <w:r w:rsidRPr="00A3781B">
              <w:rPr>
                <w:rFonts w:ascii="Times New Roman" w:eastAsia="Calibri" w:hAnsi="Times New Roman" w:cs="Times New Roman"/>
                <w:sz w:val="24"/>
                <w:szCs w:val="24"/>
                <w:lang w:val="en-US"/>
              </w:rPr>
              <w:t>Table 6</w:t>
            </w:r>
          </w:p>
        </w:tc>
      </w:tr>
    </w:tbl>
    <w:p w:rsidR="00A3781B" w:rsidRPr="009334B7" w:rsidRDefault="00A3781B" w:rsidP="009334B7">
      <w:pPr>
        <w:jc w:val="both"/>
        <w:rPr>
          <w:rFonts w:ascii="Times New Roman" w:hAnsi="Times New Roman" w:cs="Times New Roman"/>
          <w:sz w:val="24"/>
          <w:szCs w:val="24"/>
          <w:lang w:val="en-US"/>
        </w:rPr>
      </w:pPr>
    </w:p>
    <w:p w:rsidR="009334B7" w:rsidRPr="009334B7" w:rsidRDefault="009334B7" w:rsidP="009334B7">
      <w:pPr>
        <w:jc w:val="both"/>
        <w:rPr>
          <w:rFonts w:ascii="Times New Roman" w:hAnsi="Times New Roman" w:cs="Times New Roman"/>
          <w:sz w:val="24"/>
          <w:szCs w:val="24"/>
          <w:lang w:val="en-US"/>
        </w:rPr>
      </w:pPr>
    </w:p>
    <w:p w:rsidR="002A260F" w:rsidRDefault="002A260F" w:rsidP="009334B7">
      <w:pPr>
        <w:jc w:val="both"/>
        <w:rPr>
          <w:rFonts w:ascii="Times New Roman" w:hAnsi="Times New Roman" w:cs="Times New Roman"/>
          <w:b/>
          <w:sz w:val="24"/>
          <w:szCs w:val="24"/>
          <w:lang w:val="en-US"/>
        </w:rPr>
      </w:pPr>
    </w:p>
    <w:p w:rsidR="009334B7" w:rsidRPr="009334B7" w:rsidRDefault="002A260F" w:rsidP="009334B7">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Group </w:t>
      </w:r>
      <w:r>
        <w:rPr>
          <w:rFonts w:ascii="Times New Roman" w:hAnsi="Times New Roman" w:cs="Times New Roman"/>
          <w:b/>
          <w:sz w:val="24"/>
          <w:szCs w:val="24"/>
          <w:lang w:val="en-US"/>
        </w:rPr>
        <w:t>3</w:t>
      </w:r>
      <w:r>
        <w:rPr>
          <w:rFonts w:ascii="Times New Roman" w:hAnsi="Times New Roman" w:cs="Times New Roman"/>
          <w:b/>
          <w:sz w:val="24"/>
          <w:szCs w:val="24"/>
          <w:lang w:val="en-US"/>
        </w:rPr>
        <w:t xml:space="preserve"> Dataset:</w:t>
      </w:r>
      <w:r>
        <w:rPr>
          <w:rFonts w:ascii="Times New Roman" w:hAnsi="Times New Roman" w:cs="Times New Roman"/>
          <w:b/>
          <w:sz w:val="24"/>
          <w:szCs w:val="24"/>
          <w:lang w:val="en-US"/>
        </w:rPr>
        <w:t xml:space="preserve"> General Questions and Corresponding </w:t>
      </w:r>
      <w:r>
        <w:rPr>
          <w:rFonts w:ascii="Times New Roman" w:hAnsi="Times New Roman" w:cs="Times New Roman"/>
          <w:b/>
          <w:sz w:val="24"/>
          <w:szCs w:val="24"/>
          <w:lang w:val="en-US"/>
        </w:rPr>
        <w:t>Reference</w:t>
      </w:r>
      <w:r w:rsidRPr="009334B7">
        <w:rPr>
          <w:rFonts w:ascii="Times New Roman" w:hAnsi="Times New Roman" w:cs="Times New Roman"/>
          <w:b/>
          <w:sz w:val="24"/>
          <w:szCs w:val="24"/>
          <w:lang w:val="en-US"/>
        </w:rPr>
        <w:t xml:space="preserve"> Responses</w:t>
      </w:r>
    </w:p>
    <w:tbl>
      <w:tblPr>
        <w:tblStyle w:val="TableGrid"/>
        <w:tblW w:w="0" w:type="auto"/>
        <w:tblLook w:val="04A0" w:firstRow="1" w:lastRow="0" w:firstColumn="1" w:lastColumn="0" w:noHBand="0" w:noVBand="1"/>
      </w:tblPr>
      <w:tblGrid>
        <w:gridCol w:w="3020"/>
        <w:gridCol w:w="3725"/>
        <w:gridCol w:w="2317"/>
      </w:tblGrid>
      <w:tr w:rsidR="009334B7" w:rsidRPr="009334B7" w:rsidTr="009334B7">
        <w:tc>
          <w:tcPr>
            <w:tcW w:w="3020" w:type="dxa"/>
          </w:tcPr>
          <w:p w:rsidR="009334B7" w:rsidRPr="002A260F" w:rsidRDefault="002A260F" w:rsidP="009334B7">
            <w:pPr>
              <w:jc w:val="both"/>
              <w:rPr>
                <w:rFonts w:ascii="Times New Roman" w:hAnsi="Times New Roman" w:cs="Times New Roman"/>
                <w:b/>
                <w:sz w:val="24"/>
                <w:szCs w:val="24"/>
                <w:lang w:val="en-US"/>
              </w:rPr>
            </w:pPr>
            <w:r w:rsidRPr="002A260F">
              <w:rPr>
                <w:rFonts w:ascii="Times New Roman" w:hAnsi="Times New Roman" w:cs="Times New Roman"/>
                <w:b/>
                <w:sz w:val="24"/>
                <w:szCs w:val="24"/>
                <w:lang w:val="en-US"/>
              </w:rPr>
              <w:t>Questions</w:t>
            </w:r>
          </w:p>
        </w:tc>
        <w:tc>
          <w:tcPr>
            <w:tcW w:w="3725" w:type="dxa"/>
          </w:tcPr>
          <w:p w:rsidR="009334B7" w:rsidRPr="009334B7" w:rsidRDefault="002A260F" w:rsidP="009334B7">
            <w:pPr>
              <w:jc w:val="both"/>
              <w:rPr>
                <w:rFonts w:ascii="Times New Roman" w:hAnsi="Times New Roman" w:cs="Times New Roman"/>
                <w:sz w:val="24"/>
                <w:szCs w:val="24"/>
                <w:lang w:val="en-US"/>
              </w:rPr>
            </w:pPr>
            <w:r>
              <w:rPr>
                <w:rFonts w:ascii="Times New Roman" w:hAnsi="Times New Roman" w:cs="Times New Roman"/>
                <w:b/>
                <w:sz w:val="24"/>
                <w:szCs w:val="24"/>
                <w:lang w:val="en-US"/>
              </w:rPr>
              <w:t>Reference</w:t>
            </w:r>
            <w:r w:rsidRPr="009334B7">
              <w:rPr>
                <w:rFonts w:ascii="Times New Roman" w:hAnsi="Times New Roman" w:cs="Times New Roman"/>
                <w:b/>
                <w:sz w:val="24"/>
                <w:szCs w:val="24"/>
                <w:lang w:val="en-US"/>
              </w:rPr>
              <w:t xml:space="preserve"> Responses</w:t>
            </w:r>
          </w:p>
        </w:tc>
        <w:tc>
          <w:tcPr>
            <w:tcW w:w="2317" w:type="dxa"/>
          </w:tcPr>
          <w:p w:rsidR="009334B7" w:rsidRPr="002A260F" w:rsidRDefault="002A260F" w:rsidP="009334B7">
            <w:pPr>
              <w:jc w:val="both"/>
              <w:rPr>
                <w:rFonts w:ascii="Times New Roman" w:hAnsi="Times New Roman" w:cs="Times New Roman"/>
                <w:b/>
                <w:sz w:val="24"/>
                <w:szCs w:val="24"/>
                <w:lang w:val="en-US"/>
              </w:rPr>
            </w:pPr>
            <w:r w:rsidRPr="002A260F">
              <w:rPr>
                <w:rFonts w:ascii="Times New Roman" w:hAnsi="Times New Roman" w:cs="Times New Roman"/>
                <w:b/>
                <w:sz w:val="24"/>
                <w:szCs w:val="24"/>
                <w:lang w:val="en-US"/>
              </w:rPr>
              <w:t>Source</w:t>
            </w:r>
          </w:p>
        </w:tc>
      </w:tr>
      <w:tr w:rsidR="002A260F" w:rsidRPr="009334B7" w:rsidTr="009334B7">
        <w:tc>
          <w:tcPr>
            <w:tcW w:w="3020" w:type="dxa"/>
          </w:tcPr>
          <w:p w:rsidR="002A260F" w:rsidRPr="009334B7" w:rsidRDefault="002A260F" w:rsidP="002A260F">
            <w:pPr>
              <w:jc w:val="both"/>
              <w:rPr>
                <w:rFonts w:ascii="Times New Roman" w:hAnsi="Times New Roman" w:cs="Times New Roman"/>
                <w:sz w:val="24"/>
                <w:szCs w:val="24"/>
                <w:lang w:val="en-US"/>
              </w:rPr>
            </w:pPr>
            <w:proofErr w:type="gramStart"/>
            <w:r w:rsidRPr="009334B7">
              <w:rPr>
                <w:rFonts w:ascii="Times New Roman" w:hAnsi="Times New Roman" w:cs="Times New Roman"/>
                <w:sz w:val="24"/>
                <w:szCs w:val="24"/>
                <w:lang w:val="en-US"/>
              </w:rPr>
              <w:t xml:space="preserve">Define </w:t>
            </w:r>
            <w:proofErr w:type="spellStart"/>
            <w:r w:rsidRPr="009334B7">
              <w:rPr>
                <w:rFonts w:ascii="Times New Roman" w:hAnsi="Times New Roman" w:cs="Times New Roman"/>
                <w:sz w:val="24"/>
                <w:szCs w:val="24"/>
                <w:lang w:val="en-US"/>
              </w:rPr>
              <w:t>Hypertenstion</w:t>
            </w:r>
            <w:proofErr w:type="spellEnd"/>
            <w:r w:rsidRPr="009334B7">
              <w:rPr>
                <w:rFonts w:ascii="Times New Roman" w:hAnsi="Times New Roman" w:cs="Times New Roman"/>
                <w:sz w:val="24"/>
                <w:szCs w:val="24"/>
                <w:lang w:val="en-US"/>
              </w:rPr>
              <w:t xml:space="preserve"> in Children and adolescents?</w:t>
            </w:r>
            <w:proofErr w:type="gramEnd"/>
          </w:p>
        </w:tc>
        <w:tc>
          <w:tcPr>
            <w:tcW w:w="3725" w:type="dxa"/>
          </w:tcPr>
          <w:p w:rsidR="002A260F" w:rsidRPr="009334B7" w:rsidRDefault="002A260F" w:rsidP="002A260F">
            <w:pPr>
              <w:jc w:val="both"/>
              <w:rPr>
                <w:rFonts w:ascii="Times New Roman" w:hAnsi="Times New Roman" w:cs="Times New Roman"/>
                <w:sz w:val="24"/>
                <w:szCs w:val="24"/>
                <w:lang w:val="en-US"/>
              </w:rPr>
            </w:pPr>
            <w:r>
              <w:rPr>
                <w:rFonts w:ascii="Times New Roman" w:hAnsi="Times New Roman" w:cs="Times New Roman"/>
                <w:color w:val="374151"/>
                <w:sz w:val="24"/>
                <w:szCs w:val="24"/>
                <w:lang w:val="en-US"/>
              </w:rPr>
              <w:t>T</w:t>
            </w:r>
            <w:r w:rsidRPr="009334B7">
              <w:rPr>
                <w:rFonts w:ascii="Times New Roman" w:hAnsi="Times New Roman" w:cs="Times New Roman"/>
                <w:color w:val="374151"/>
                <w:sz w:val="24"/>
                <w:szCs w:val="24"/>
                <w:lang w:val="en-US"/>
              </w:rPr>
              <w:t>he definition of hypertension (HTN) in children and adolescents, stressing the use of modified AAP tables for those up to age 16. For adolescents aged 16 and older, recommended office values of ≥ 130/85 mmHg align with adult cut-offs for high-normal values. The Consensus Panel suggests echocardiography as an additional diagnostic tool.</w:t>
            </w:r>
          </w:p>
        </w:tc>
        <w:tc>
          <w:tcPr>
            <w:tcW w:w="2317" w:type="dxa"/>
          </w:tcPr>
          <w:p w:rsidR="002A260F" w:rsidRPr="002A260F" w:rsidRDefault="002A260F" w:rsidP="002A260F">
            <w:pPr>
              <w:jc w:val="both"/>
              <w:rPr>
                <w:rFonts w:ascii="Times New Roman" w:hAnsi="Times New Roman" w:cs="Times New Roman"/>
                <w:sz w:val="24"/>
                <w:szCs w:val="24"/>
                <w:lang w:val="en-US"/>
              </w:rPr>
            </w:pPr>
            <w:r w:rsidRPr="002A260F">
              <w:rPr>
                <w:rFonts w:ascii="Times New Roman" w:hAnsi="Times New Roman" w:cs="Times New Roman"/>
                <w:sz w:val="24"/>
                <w:szCs w:val="24"/>
                <w:lang w:val="en-US"/>
              </w:rPr>
              <w:t>Chapter 1: definition and</w:t>
            </w:r>
          </w:p>
          <w:p w:rsidR="002A260F" w:rsidRPr="009334B7" w:rsidRDefault="002A260F" w:rsidP="002A260F">
            <w:pPr>
              <w:jc w:val="both"/>
              <w:rPr>
                <w:rFonts w:ascii="Times New Roman" w:hAnsi="Times New Roman" w:cs="Times New Roman"/>
                <w:sz w:val="24"/>
                <w:szCs w:val="24"/>
                <w:lang w:val="en-US"/>
              </w:rPr>
            </w:pPr>
            <w:r w:rsidRPr="002A260F">
              <w:rPr>
                <w:rFonts w:ascii="Times New Roman" w:hAnsi="Times New Roman" w:cs="Times New Roman"/>
                <w:sz w:val="24"/>
                <w:szCs w:val="24"/>
                <w:lang w:val="en-US"/>
              </w:rPr>
              <w:t>classification</w:t>
            </w:r>
          </w:p>
        </w:tc>
      </w:tr>
      <w:tr w:rsidR="002A260F" w:rsidRPr="009334B7" w:rsidTr="009334B7">
        <w:tc>
          <w:tcPr>
            <w:tcW w:w="3020" w:type="dxa"/>
          </w:tcPr>
          <w:p w:rsidR="002A260F" w:rsidRPr="009334B7" w:rsidRDefault="002A260F" w:rsidP="002A260F">
            <w:pPr>
              <w:jc w:val="both"/>
              <w:rPr>
                <w:rFonts w:ascii="Times New Roman" w:hAnsi="Times New Roman" w:cs="Times New Roman"/>
                <w:sz w:val="24"/>
                <w:szCs w:val="24"/>
                <w:lang w:val="en-US"/>
              </w:rPr>
            </w:pPr>
            <w:r w:rsidRPr="009334B7">
              <w:rPr>
                <w:rFonts w:ascii="Times New Roman" w:hAnsi="Times New Roman" w:cs="Times New Roman"/>
                <w:color w:val="374151"/>
                <w:sz w:val="24"/>
                <w:szCs w:val="24"/>
                <w:lang w:val="en-US"/>
              </w:rPr>
              <w:t xml:space="preserve">How has the discontinuation of mercury sphygmomanometers </w:t>
            </w:r>
            <w:proofErr w:type="gramStart"/>
            <w:r w:rsidRPr="009334B7">
              <w:rPr>
                <w:rFonts w:ascii="Times New Roman" w:hAnsi="Times New Roman" w:cs="Times New Roman"/>
                <w:color w:val="374151"/>
                <w:sz w:val="24"/>
                <w:szCs w:val="24"/>
                <w:lang w:val="en-US"/>
              </w:rPr>
              <w:t>impacted</w:t>
            </w:r>
            <w:proofErr w:type="gramEnd"/>
            <w:r w:rsidRPr="009334B7">
              <w:rPr>
                <w:rFonts w:ascii="Times New Roman" w:hAnsi="Times New Roman" w:cs="Times New Roman"/>
                <w:color w:val="374151"/>
                <w:sz w:val="24"/>
                <w:szCs w:val="24"/>
                <w:lang w:val="en-US"/>
              </w:rPr>
              <w:t xml:space="preserve"> the measurement of blood pressure in children and adolescents, and what alternative devices are currently being utilized?</w:t>
            </w:r>
          </w:p>
        </w:tc>
        <w:tc>
          <w:tcPr>
            <w:tcW w:w="3725" w:type="dxa"/>
          </w:tcPr>
          <w:p w:rsidR="002A260F" w:rsidRPr="009334B7" w:rsidRDefault="002A260F" w:rsidP="002A260F">
            <w:pPr>
              <w:jc w:val="both"/>
              <w:rPr>
                <w:rFonts w:ascii="Times New Roman" w:hAnsi="Times New Roman" w:cs="Times New Roman"/>
                <w:sz w:val="24"/>
                <w:szCs w:val="24"/>
                <w:lang w:val="en-US"/>
              </w:rPr>
            </w:pPr>
            <w:r w:rsidRPr="009334B7">
              <w:rPr>
                <w:rFonts w:ascii="Times New Roman" w:hAnsi="Times New Roman" w:cs="Times New Roman"/>
                <w:color w:val="374151"/>
                <w:sz w:val="24"/>
                <w:szCs w:val="24"/>
                <w:lang w:val="en-US"/>
              </w:rPr>
              <w:t xml:space="preserve">The discontinuation of mercury sphygmomanometers due to concerns about mercury toxicity has led to the increased use of automated electronic sphygmomanometers, primarily based on the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technique. Despite the limited validation of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devices for pediatric use and their associated cost, recent meta-analyses support their strong measurement validity compared to mercury sphygmomanometers. The Consensus Panel emphasizes the need for global pediatric reference nomograms generated by validated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devices, prioritizing future studies in this direction. Regional standards </w:t>
            </w:r>
            <w:proofErr w:type="gramStart"/>
            <w:r w:rsidRPr="009334B7">
              <w:rPr>
                <w:rFonts w:ascii="Times New Roman" w:hAnsi="Times New Roman" w:cs="Times New Roman"/>
                <w:color w:val="374151"/>
                <w:sz w:val="24"/>
                <w:szCs w:val="24"/>
                <w:lang w:val="en-US"/>
              </w:rPr>
              <w:t>have been proposed</w:t>
            </w:r>
            <w:proofErr w:type="gramEnd"/>
            <w:r w:rsidRPr="009334B7">
              <w:rPr>
                <w:rFonts w:ascii="Times New Roman" w:hAnsi="Times New Roman" w:cs="Times New Roman"/>
                <w:color w:val="374151"/>
                <w:sz w:val="24"/>
                <w:szCs w:val="24"/>
                <w:lang w:val="en-US"/>
              </w:rPr>
              <w:t xml:space="preserve">, and it is crucial to use only validated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devices in children. Additionally, the confirmation of hypertension diagnosis </w:t>
            </w:r>
            <w:proofErr w:type="gramStart"/>
            <w:r w:rsidRPr="009334B7">
              <w:rPr>
                <w:rFonts w:ascii="Times New Roman" w:hAnsi="Times New Roman" w:cs="Times New Roman"/>
                <w:color w:val="374151"/>
                <w:sz w:val="24"/>
                <w:szCs w:val="24"/>
                <w:lang w:val="en-US"/>
              </w:rPr>
              <w:t>is recommended</w:t>
            </w:r>
            <w:proofErr w:type="gramEnd"/>
            <w:r w:rsidRPr="009334B7">
              <w:rPr>
                <w:rFonts w:ascii="Times New Roman" w:hAnsi="Times New Roman" w:cs="Times New Roman"/>
                <w:color w:val="374151"/>
                <w:sz w:val="24"/>
                <w:szCs w:val="24"/>
                <w:lang w:val="en-US"/>
              </w:rPr>
              <w:t xml:space="preserve"> through </w:t>
            </w:r>
            <w:proofErr w:type="spellStart"/>
            <w:r w:rsidRPr="009334B7">
              <w:rPr>
                <w:rFonts w:ascii="Times New Roman" w:hAnsi="Times New Roman" w:cs="Times New Roman"/>
                <w:color w:val="374151"/>
                <w:sz w:val="24"/>
                <w:szCs w:val="24"/>
                <w:lang w:val="en-US"/>
              </w:rPr>
              <w:t>auscultatory</w:t>
            </w:r>
            <w:proofErr w:type="spellEnd"/>
            <w:r w:rsidRPr="009334B7">
              <w:rPr>
                <w:rFonts w:ascii="Times New Roman" w:hAnsi="Times New Roman" w:cs="Times New Roman"/>
                <w:color w:val="374151"/>
                <w:sz w:val="24"/>
                <w:szCs w:val="24"/>
                <w:lang w:val="en-US"/>
              </w:rPr>
              <w:t xml:space="preserve"> methods, utilizing regularly calibrated aneroid sphygmomanometers.</w:t>
            </w:r>
          </w:p>
        </w:tc>
        <w:tc>
          <w:tcPr>
            <w:tcW w:w="2317" w:type="dxa"/>
          </w:tcPr>
          <w:p w:rsidR="0012721D" w:rsidRPr="0012721D" w:rsidRDefault="0012721D" w:rsidP="0012721D">
            <w:pPr>
              <w:jc w:val="both"/>
              <w:rPr>
                <w:rFonts w:ascii="Times New Roman" w:hAnsi="Times New Roman" w:cs="Times New Roman"/>
                <w:sz w:val="24"/>
                <w:szCs w:val="24"/>
                <w:lang w:val="en-US"/>
              </w:rPr>
            </w:pPr>
            <w:r w:rsidRPr="0012721D">
              <w:rPr>
                <w:rFonts w:ascii="Times New Roman" w:hAnsi="Times New Roman" w:cs="Times New Roman"/>
                <w:sz w:val="24"/>
                <w:szCs w:val="24"/>
                <w:lang w:val="en-US"/>
              </w:rPr>
              <w:t>Chapter 2: how to measure BP in</w:t>
            </w:r>
          </w:p>
          <w:p w:rsidR="002A260F" w:rsidRPr="009334B7" w:rsidRDefault="0012721D" w:rsidP="0012721D">
            <w:pPr>
              <w:jc w:val="both"/>
              <w:rPr>
                <w:rFonts w:ascii="Times New Roman" w:hAnsi="Times New Roman" w:cs="Times New Roman"/>
                <w:sz w:val="24"/>
                <w:szCs w:val="24"/>
                <w:lang w:val="en-US"/>
              </w:rPr>
            </w:pPr>
            <w:r w:rsidRPr="0012721D">
              <w:rPr>
                <w:rFonts w:ascii="Times New Roman" w:hAnsi="Times New Roman" w:cs="Times New Roman"/>
                <w:sz w:val="24"/>
                <w:szCs w:val="24"/>
                <w:lang w:val="en-US"/>
              </w:rPr>
              <w:t>children and adolescents</w:t>
            </w:r>
          </w:p>
        </w:tc>
      </w:tr>
      <w:tr w:rsidR="002A260F" w:rsidRPr="009334B7" w:rsidTr="009334B7">
        <w:tc>
          <w:tcPr>
            <w:tcW w:w="3020" w:type="dxa"/>
          </w:tcPr>
          <w:p w:rsidR="002A260F" w:rsidRPr="009334B7" w:rsidRDefault="002A260F" w:rsidP="002A260F">
            <w:pPr>
              <w:jc w:val="both"/>
              <w:rPr>
                <w:rFonts w:ascii="Times New Roman" w:hAnsi="Times New Roman" w:cs="Times New Roman"/>
                <w:sz w:val="24"/>
                <w:szCs w:val="24"/>
                <w:lang w:val="en-US"/>
              </w:rPr>
            </w:pPr>
            <w:r w:rsidRPr="009334B7">
              <w:rPr>
                <w:rFonts w:ascii="Times New Roman" w:hAnsi="Times New Roman" w:cs="Times New Roman"/>
                <w:color w:val="374151"/>
                <w:sz w:val="24"/>
                <w:szCs w:val="24"/>
                <w:lang w:val="en-US"/>
              </w:rPr>
              <w:t xml:space="preserve">In the context of blood pressure measurement in pediatric populations, what concerns and considerations arise with the widespread adoption of automated electronic sphygmomanometers, particularly those based on the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technique?</w:t>
            </w:r>
          </w:p>
        </w:tc>
        <w:tc>
          <w:tcPr>
            <w:tcW w:w="3725" w:type="dxa"/>
          </w:tcPr>
          <w:p w:rsidR="002A260F" w:rsidRPr="009334B7" w:rsidRDefault="002A260F" w:rsidP="002A260F">
            <w:pPr>
              <w:jc w:val="both"/>
              <w:rPr>
                <w:rFonts w:ascii="Times New Roman" w:hAnsi="Times New Roman" w:cs="Times New Roman"/>
                <w:sz w:val="24"/>
                <w:szCs w:val="24"/>
                <w:lang w:val="en-US"/>
              </w:rPr>
            </w:pPr>
            <w:r w:rsidRPr="009334B7">
              <w:rPr>
                <w:rFonts w:ascii="Times New Roman" w:hAnsi="Times New Roman" w:cs="Times New Roman"/>
                <w:color w:val="374151"/>
                <w:sz w:val="24"/>
                <w:szCs w:val="24"/>
                <w:lang w:val="en-US"/>
              </w:rPr>
              <w:t xml:space="preserve">The widespread adoption of automated electronic sphygmomanometers, especially those using the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technique, raises concerns about their accuracy in estimating blood pressure in children and adolescents. Despite initial uncertainties, recent meta-analyses have confirmed the strong measurement validity of </w:t>
            </w:r>
            <w:proofErr w:type="spellStart"/>
            <w:r w:rsidRPr="009334B7">
              <w:rPr>
                <w:rFonts w:ascii="Times New Roman" w:hAnsi="Times New Roman" w:cs="Times New Roman"/>
                <w:color w:val="374151"/>
                <w:sz w:val="24"/>
                <w:szCs w:val="24"/>
                <w:lang w:val="en-US"/>
              </w:rPr>
              <w:lastRenderedPageBreak/>
              <w:t>oscillometric</w:t>
            </w:r>
            <w:proofErr w:type="spellEnd"/>
            <w:r w:rsidRPr="009334B7">
              <w:rPr>
                <w:rFonts w:ascii="Times New Roman" w:hAnsi="Times New Roman" w:cs="Times New Roman"/>
                <w:color w:val="374151"/>
                <w:sz w:val="24"/>
                <w:szCs w:val="24"/>
                <w:lang w:val="en-US"/>
              </w:rPr>
              <w:t xml:space="preserve"> devices compared to the now-discontinued mercury sphygmomanometers. The Consensus Panel underscores the importance of generating global pediatric reference nomograms using validated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devices, even though a few regional standards </w:t>
            </w:r>
            <w:proofErr w:type="gramStart"/>
            <w:r w:rsidRPr="009334B7">
              <w:rPr>
                <w:rFonts w:ascii="Times New Roman" w:hAnsi="Times New Roman" w:cs="Times New Roman"/>
                <w:color w:val="374151"/>
                <w:sz w:val="24"/>
                <w:szCs w:val="24"/>
                <w:lang w:val="en-US"/>
              </w:rPr>
              <w:t>have already been proposed</w:t>
            </w:r>
            <w:proofErr w:type="gramEnd"/>
            <w:r w:rsidRPr="009334B7">
              <w:rPr>
                <w:rFonts w:ascii="Times New Roman" w:hAnsi="Times New Roman" w:cs="Times New Roman"/>
                <w:color w:val="374151"/>
                <w:sz w:val="24"/>
                <w:szCs w:val="24"/>
                <w:lang w:val="en-US"/>
              </w:rPr>
              <w:t xml:space="preserve">. The necessity for confirming hypertension diagnoses using </w:t>
            </w:r>
            <w:proofErr w:type="spellStart"/>
            <w:r w:rsidRPr="009334B7">
              <w:rPr>
                <w:rFonts w:ascii="Times New Roman" w:hAnsi="Times New Roman" w:cs="Times New Roman"/>
                <w:color w:val="374151"/>
                <w:sz w:val="24"/>
                <w:szCs w:val="24"/>
                <w:lang w:val="en-US"/>
              </w:rPr>
              <w:t>auscultatory</w:t>
            </w:r>
            <w:proofErr w:type="spellEnd"/>
            <w:r w:rsidRPr="009334B7">
              <w:rPr>
                <w:rFonts w:ascii="Times New Roman" w:hAnsi="Times New Roman" w:cs="Times New Roman"/>
                <w:color w:val="374151"/>
                <w:sz w:val="24"/>
                <w:szCs w:val="24"/>
                <w:lang w:val="en-US"/>
              </w:rPr>
              <w:t xml:space="preserve"> methods with regularly calibrated aneroid sphygmomanometers </w:t>
            </w:r>
            <w:proofErr w:type="gramStart"/>
            <w:r w:rsidRPr="009334B7">
              <w:rPr>
                <w:rFonts w:ascii="Times New Roman" w:hAnsi="Times New Roman" w:cs="Times New Roman"/>
                <w:color w:val="374151"/>
                <w:sz w:val="24"/>
                <w:szCs w:val="24"/>
                <w:lang w:val="en-US"/>
              </w:rPr>
              <w:t>is highlighted</w:t>
            </w:r>
            <w:proofErr w:type="gramEnd"/>
            <w:r w:rsidRPr="009334B7">
              <w:rPr>
                <w:rFonts w:ascii="Times New Roman" w:hAnsi="Times New Roman" w:cs="Times New Roman"/>
                <w:color w:val="374151"/>
                <w:sz w:val="24"/>
                <w:szCs w:val="24"/>
                <w:lang w:val="en-US"/>
              </w:rPr>
              <w:t xml:space="preserve">, addressing concerns about potential inaccuracies in </w:t>
            </w:r>
            <w:proofErr w:type="spellStart"/>
            <w:r w:rsidRPr="009334B7">
              <w:rPr>
                <w:rFonts w:ascii="Times New Roman" w:hAnsi="Times New Roman" w:cs="Times New Roman"/>
                <w:color w:val="374151"/>
                <w:sz w:val="24"/>
                <w:szCs w:val="24"/>
                <w:lang w:val="en-US"/>
              </w:rPr>
              <w:t>oscillometric</w:t>
            </w:r>
            <w:proofErr w:type="spellEnd"/>
            <w:r w:rsidRPr="009334B7">
              <w:rPr>
                <w:rFonts w:ascii="Times New Roman" w:hAnsi="Times New Roman" w:cs="Times New Roman"/>
                <w:color w:val="374151"/>
                <w:sz w:val="24"/>
                <w:szCs w:val="24"/>
                <w:lang w:val="en-US"/>
              </w:rPr>
              <w:t xml:space="preserve"> measurements.</w:t>
            </w:r>
          </w:p>
        </w:tc>
        <w:tc>
          <w:tcPr>
            <w:tcW w:w="2317" w:type="dxa"/>
          </w:tcPr>
          <w:p w:rsidR="0012721D" w:rsidRPr="0012721D" w:rsidRDefault="0012721D" w:rsidP="0012721D">
            <w:pPr>
              <w:jc w:val="both"/>
              <w:rPr>
                <w:rFonts w:ascii="Times New Roman" w:hAnsi="Times New Roman" w:cs="Times New Roman"/>
                <w:sz w:val="24"/>
                <w:szCs w:val="24"/>
                <w:lang w:val="en-US"/>
              </w:rPr>
            </w:pPr>
            <w:r w:rsidRPr="0012721D">
              <w:rPr>
                <w:rFonts w:ascii="Times New Roman" w:hAnsi="Times New Roman" w:cs="Times New Roman"/>
                <w:sz w:val="24"/>
                <w:szCs w:val="24"/>
                <w:lang w:val="en-US"/>
              </w:rPr>
              <w:lastRenderedPageBreak/>
              <w:t>Chapter 2: how to measure BP in</w:t>
            </w:r>
          </w:p>
          <w:p w:rsidR="002A260F" w:rsidRPr="009334B7" w:rsidRDefault="0012721D" w:rsidP="0012721D">
            <w:pPr>
              <w:jc w:val="both"/>
              <w:rPr>
                <w:rFonts w:ascii="Times New Roman" w:hAnsi="Times New Roman" w:cs="Times New Roman"/>
                <w:sz w:val="24"/>
                <w:szCs w:val="24"/>
                <w:lang w:val="en-US"/>
              </w:rPr>
            </w:pPr>
            <w:r w:rsidRPr="0012721D">
              <w:rPr>
                <w:rFonts w:ascii="Times New Roman" w:hAnsi="Times New Roman" w:cs="Times New Roman"/>
                <w:sz w:val="24"/>
                <w:szCs w:val="24"/>
                <w:lang w:val="en-US"/>
              </w:rPr>
              <w:t>children and adolescents</w:t>
            </w:r>
          </w:p>
        </w:tc>
      </w:tr>
      <w:tr w:rsidR="002A260F" w:rsidRPr="009334B7" w:rsidTr="009334B7">
        <w:tc>
          <w:tcPr>
            <w:tcW w:w="3020" w:type="dxa"/>
          </w:tcPr>
          <w:p w:rsidR="002A260F" w:rsidRPr="009334B7" w:rsidRDefault="002A260F" w:rsidP="002A260F">
            <w:pPr>
              <w:jc w:val="both"/>
              <w:rPr>
                <w:rFonts w:ascii="Times New Roman" w:hAnsi="Times New Roman" w:cs="Times New Roman"/>
                <w:color w:val="374151"/>
                <w:sz w:val="24"/>
                <w:szCs w:val="24"/>
                <w:lang w:val="en-US"/>
              </w:rPr>
            </w:pPr>
            <w:r w:rsidRPr="009334B7">
              <w:rPr>
                <w:rFonts w:ascii="Times New Roman" w:hAnsi="Times New Roman" w:cs="Times New Roman"/>
                <w:color w:val="374151"/>
                <w:sz w:val="24"/>
                <w:szCs w:val="24"/>
                <w:lang w:val="en-US"/>
              </w:rPr>
              <w:t xml:space="preserve">What stance does the Consensus Panel take regarding the routine use of carotid ultrasound in pediatric patients with cardiovascular risk factors, and what methodological suggestions </w:t>
            </w:r>
            <w:proofErr w:type="gramStart"/>
            <w:r w:rsidRPr="009334B7">
              <w:rPr>
                <w:rFonts w:ascii="Times New Roman" w:hAnsi="Times New Roman" w:cs="Times New Roman"/>
                <w:color w:val="374151"/>
                <w:sz w:val="24"/>
                <w:szCs w:val="24"/>
                <w:lang w:val="en-US"/>
              </w:rPr>
              <w:t xml:space="preserve">are provided by the Association for European </w:t>
            </w:r>
            <w:proofErr w:type="spellStart"/>
            <w:r w:rsidRPr="009334B7">
              <w:rPr>
                <w:rFonts w:ascii="Times New Roman" w:hAnsi="Times New Roman" w:cs="Times New Roman"/>
                <w:color w:val="374151"/>
                <w:sz w:val="24"/>
                <w:szCs w:val="24"/>
                <w:lang w:val="en-US"/>
              </w:rPr>
              <w:t>Paediatric</w:t>
            </w:r>
            <w:proofErr w:type="spellEnd"/>
            <w:r w:rsidRPr="009334B7">
              <w:rPr>
                <w:rFonts w:ascii="Times New Roman" w:hAnsi="Times New Roman" w:cs="Times New Roman"/>
                <w:color w:val="374151"/>
                <w:sz w:val="24"/>
                <w:szCs w:val="24"/>
                <w:lang w:val="en-US"/>
              </w:rPr>
              <w:t xml:space="preserve"> Cardiology</w:t>
            </w:r>
            <w:proofErr w:type="gramEnd"/>
            <w:r w:rsidRPr="009334B7">
              <w:rPr>
                <w:rFonts w:ascii="Times New Roman" w:hAnsi="Times New Roman" w:cs="Times New Roman"/>
                <w:color w:val="374151"/>
                <w:sz w:val="24"/>
                <w:szCs w:val="24"/>
                <w:lang w:val="en-US"/>
              </w:rPr>
              <w:t>?</w:t>
            </w:r>
          </w:p>
        </w:tc>
        <w:tc>
          <w:tcPr>
            <w:tcW w:w="3725" w:type="dxa"/>
          </w:tcPr>
          <w:p w:rsidR="002A260F" w:rsidRPr="009334B7" w:rsidRDefault="002A260F" w:rsidP="002A260F">
            <w:pPr>
              <w:jc w:val="both"/>
              <w:rPr>
                <w:rFonts w:ascii="Times New Roman" w:hAnsi="Times New Roman" w:cs="Times New Roman"/>
                <w:color w:val="374151"/>
                <w:sz w:val="24"/>
                <w:szCs w:val="24"/>
                <w:lang w:val="en-US"/>
              </w:rPr>
            </w:pPr>
            <w:r w:rsidRPr="009334B7">
              <w:rPr>
                <w:rFonts w:ascii="Times New Roman" w:hAnsi="Times New Roman" w:cs="Times New Roman"/>
                <w:color w:val="374151"/>
                <w:sz w:val="24"/>
                <w:szCs w:val="24"/>
                <w:lang w:val="en-US"/>
              </w:rPr>
              <w:t xml:space="preserve">The Consensus Panel agrees that there is no evidence supporting routine carotid ultrasound in this age range, and the Association for European </w:t>
            </w:r>
            <w:proofErr w:type="spellStart"/>
            <w:r w:rsidRPr="009334B7">
              <w:rPr>
                <w:rFonts w:ascii="Times New Roman" w:hAnsi="Times New Roman" w:cs="Times New Roman"/>
                <w:color w:val="374151"/>
                <w:sz w:val="24"/>
                <w:szCs w:val="24"/>
                <w:lang w:val="en-US"/>
              </w:rPr>
              <w:t>Paediatric</w:t>
            </w:r>
            <w:proofErr w:type="spellEnd"/>
            <w:r w:rsidRPr="009334B7">
              <w:rPr>
                <w:rFonts w:ascii="Times New Roman" w:hAnsi="Times New Roman" w:cs="Times New Roman"/>
                <w:color w:val="374151"/>
                <w:sz w:val="24"/>
                <w:szCs w:val="24"/>
                <w:lang w:val="en-US"/>
              </w:rPr>
              <w:t xml:space="preserve"> Cardiology offers methodological suggestions without specifying cut points for any parameter.</w:t>
            </w:r>
          </w:p>
        </w:tc>
        <w:tc>
          <w:tcPr>
            <w:tcW w:w="2317" w:type="dxa"/>
          </w:tcPr>
          <w:p w:rsidR="00403472" w:rsidRPr="00403472" w:rsidRDefault="00403472" w:rsidP="00403472">
            <w:pPr>
              <w:jc w:val="both"/>
              <w:rPr>
                <w:rFonts w:ascii="Times New Roman" w:hAnsi="Times New Roman" w:cs="Times New Roman"/>
                <w:sz w:val="24"/>
                <w:szCs w:val="24"/>
                <w:lang w:val="en-US"/>
              </w:rPr>
            </w:pPr>
            <w:r w:rsidRPr="00403472">
              <w:rPr>
                <w:rFonts w:ascii="Times New Roman" w:hAnsi="Times New Roman" w:cs="Times New Roman"/>
                <w:sz w:val="24"/>
                <w:szCs w:val="24"/>
                <w:lang w:val="en-US"/>
              </w:rPr>
              <w:t>Chapter 3: clinical evaluation and</w:t>
            </w:r>
          </w:p>
          <w:p w:rsidR="00403472" w:rsidRPr="00403472" w:rsidRDefault="00403472" w:rsidP="00403472">
            <w:pPr>
              <w:jc w:val="both"/>
              <w:rPr>
                <w:rFonts w:ascii="Times New Roman" w:hAnsi="Times New Roman" w:cs="Times New Roman"/>
                <w:sz w:val="24"/>
                <w:szCs w:val="24"/>
                <w:lang w:val="en-US"/>
              </w:rPr>
            </w:pPr>
            <w:r w:rsidRPr="00403472">
              <w:rPr>
                <w:rFonts w:ascii="Times New Roman" w:hAnsi="Times New Roman" w:cs="Times New Roman"/>
                <w:sz w:val="24"/>
                <w:szCs w:val="24"/>
                <w:lang w:val="en-US"/>
              </w:rPr>
              <w:t>assessment of</w:t>
            </w:r>
          </w:p>
          <w:p w:rsidR="00403472" w:rsidRPr="00403472" w:rsidRDefault="00403472" w:rsidP="00403472">
            <w:pPr>
              <w:jc w:val="both"/>
              <w:rPr>
                <w:rFonts w:ascii="Times New Roman" w:hAnsi="Times New Roman" w:cs="Times New Roman"/>
                <w:sz w:val="24"/>
                <w:szCs w:val="24"/>
                <w:lang w:val="en-US"/>
              </w:rPr>
            </w:pPr>
            <w:r w:rsidRPr="00403472">
              <w:rPr>
                <w:rFonts w:ascii="Times New Roman" w:hAnsi="Times New Roman" w:cs="Times New Roman"/>
                <w:sz w:val="24"/>
                <w:szCs w:val="24"/>
                <w:lang w:val="en-US"/>
              </w:rPr>
              <w:t>hypertension-mediated target</w:t>
            </w:r>
          </w:p>
          <w:p w:rsidR="002A260F" w:rsidRPr="009334B7" w:rsidRDefault="00403472" w:rsidP="00403472">
            <w:pPr>
              <w:jc w:val="both"/>
              <w:rPr>
                <w:rFonts w:ascii="Times New Roman" w:hAnsi="Times New Roman" w:cs="Times New Roman"/>
                <w:sz w:val="24"/>
                <w:szCs w:val="24"/>
                <w:lang w:val="en-US"/>
              </w:rPr>
            </w:pPr>
            <w:r w:rsidRPr="00403472">
              <w:rPr>
                <w:rFonts w:ascii="Times New Roman" w:hAnsi="Times New Roman" w:cs="Times New Roman"/>
                <w:sz w:val="24"/>
                <w:szCs w:val="24"/>
                <w:lang w:val="en-US"/>
              </w:rPr>
              <w:t>organ damage</w:t>
            </w:r>
          </w:p>
        </w:tc>
      </w:tr>
    </w:tbl>
    <w:p w:rsidR="009334B7" w:rsidRPr="009334B7" w:rsidRDefault="009334B7" w:rsidP="009334B7">
      <w:pPr>
        <w:jc w:val="both"/>
        <w:rPr>
          <w:rFonts w:ascii="Times New Roman" w:hAnsi="Times New Roman" w:cs="Times New Roman"/>
          <w:sz w:val="24"/>
          <w:szCs w:val="24"/>
          <w:lang w:val="en-US"/>
        </w:rPr>
      </w:pPr>
      <w:bookmarkStart w:id="0" w:name="_GoBack"/>
      <w:bookmarkEnd w:id="0"/>
    </w:p>
    <w:sectPr w:rsidR="009334B7" w:rsidRPr="009334B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1B"/>
    <w:rsid w:val="0012721D"/>
    <w:rsid w:val="002A260F"/>
    <w:rsid w:val="00403472"/>
    <w:rsid w:val="009334B7"/>
    <w:rsid w:val="00A3781B"/>
    <w:rsid w:val="00CC0162"/>
    <w:rsid w:val="00D33D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A47F"/>
  <w15:chartTrackingRefBased/>
  <w15:docId w15:val="{C123E42F-0A40-40A9-9EAD-68BA33D4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Jabarulla, Mohamed Yaseen</dc:creator>
  <cp:keywords/>
  <dc:description/>
  <cp:lastModifiedBy>Jabarulla, Mohamed Yaseen</cp:lastModifiedBy>
  <cp:revision>2</cp:revision>
  <dcterms:created xsi:type="dcterms:W3CDTF">2024-02-02T14:54:00Z</dcterms:created>
  <dcterms:modified xsi:type="dcterms:W3CDTF">2024-02-02T15:34:00Z</dcterms:modified>
</cp:coreProperties>
</file>