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ASML HOLDING N.V.</w:t>
            </w:r>
          </w:p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Equity Research | Semiconductors &amp; Semiconductor Equipment</w:t>
            </w:r>
          </w:p>
        </w:tc>
        <w:tc>
          <w:tcPr>
            <w:tcW w:type="dxa" w:w="36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HOLD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Current Price: €1,179.60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Ticker: ASML NA | March 2025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Rating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(€)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GGM Target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 Target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Upside (Exit)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WACC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€1,179.60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€392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€1,150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-2.5%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10.96%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Investment Thesis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ASML controls the critical bottleneck in advanced semiconductor manufacturing. No alternative supplier exists for EUV lithography — the physics of extreme ultraviolet light make replication prohibitively complex, and customers have no substitute. The Exit EV/EBITDA model implies €1,150 vs a current price of €1,179.60: risk/reward is balanced, not compelling. The market may underestimate the duration of High-NA margin expansion — EBITDA reaches 41.7% by 2029E as High-NA volumes scale, a trajectory not yet in consensus. The GGM implies €392 as a downside floor. The model suggests adding exposure on pullbacks toward €950–1,050.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Drivers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Monopoly pricing power: EUV tools sell at €195–370M each with no credible alternative — customers cannot source leading-edge lithography elsewhere.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High-NA ramp adds €5–7bn in incremental annual revenue by 2029E: shipments grow from 3 units (2025E) to 18 (2029E) at ASPs of €330–370M.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Service revenue (~30–32.5% of systems revenue) provides durable, high-margin recurring income that cushions equipment down-cycles.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Net cash grows from €9.1bn (2024A) to €33.2bn by 2029E, funding €3.5–5.0bn annual buybacks and a 30% dividend payout.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EBITDA margin expands to ~41.7% by 2029E on High-NA operating leverage.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Valuation risk: GGM implies €392 — a 67% downside — requiring near-bull-case execution to justify the current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China export restrictions cap DUV revenue and introduce binary geopolitical risk not fully reflected in the base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Semiconductor cyclicality: a prolonged DUV inventory correction could compress revenue below the modelled recovery to 380 units by 2029.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Quantified margin risk: 300bps EBITDA margin compression (to ~38.5%) reduces the exit-multiple implied price to ~€1,020 — 13% below current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Customer concentration: TSMC, Samsung, and Intel account for most EUV demand; a capacity pause by one customer has material revenue impact.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Financial Summary (€ Millions)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€ Millions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2020A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2021A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2022A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2023A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2024A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2025E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2026E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Net Revenue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13,979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18,611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21,173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27,559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28,263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31,660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36,797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YoY Growth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+33.1%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+13.8%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+30.2%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+2.6%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+12.0%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+16.2%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EBITDA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5,162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7,907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8,197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10,559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11,137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12,835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14,801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EBITDA Margin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36.9%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42.5%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38.7%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38.3%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39.4%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40.5%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40.2%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Net Income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3,697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6,135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6,396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8,115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8,349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9,549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11,078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Net Margin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26.4%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33.0%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30.2%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29.4%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29.5%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30.2%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30.1%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FCFF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5,886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8,476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Net Cash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1,387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2,877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3,754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2,373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9,059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10,591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15,515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777777"/>
          <w:sz w:val="14"/>
          <w:szCs w:val="14"/>
        </w:rPr>
        <w:t xml:space="preserve">Source: ASML annual reports (2020–2024A); analyst estimates (2025–2026E). FCFF shown from 2025E onward.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Valuation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The Exit EV/EBITDA method (30x on 2029E EBITDA of €21,109M) implies €1,150 in the base case — 2.5% below current levels. A 30x multiple is supported by ASML's monopoly position and structural margin expansion. The GGM (3% TGR, 10.96% WACC) implies €392, retained as a downside floor rather than a central estimate. The two methods bracket a €392–€1,150 range; the market prices the exit multiple scenario. Risk/reward appears balanced at €1,179; the model suggests adding on weakness toward €950–1,050.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Bear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Bull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GGM Implied Price (€)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€319.85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€392.48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~€500+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Exit Mult. Implied Price (€)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€918.98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€1,150.18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~€1,500+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Upside / (Downside) — GGM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(72.9%)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(66.7%)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Upside / (Downside) — Exit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(22.1%)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(2.5%)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+27–32%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WACC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10.96%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10.96%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10.96%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TGR / Exit Multiple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3% / 30x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3% / 30x</w:t>
            </w:r>
          </w:p>
        </w:tc>
        <w:tc>
          <w:tcPr>
            <w:tcW w:type="dxa" w:w="208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3% / 30x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Catalysts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High-NA shipment ramp: each unit above base-case adds ~€330–370M revenue and expands EBITDA margins.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China export policy: any relaxation of DUV restrictions unlocks near-term volume not in the base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Anchor customer capex commitments: firm TSMC/Intel expansion signals de-risk 2026–2027E unit assumptions.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Gross margin inflection: sustained gross margin above 55% triggers upward revisions to the 2029E terminal EBITDA.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Sensitivity — GGM | Value per Share (€) | WACC vs. TGR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4"/>
          <w:szCs w:val="14"/>
        </w:rPr>
        <w:t xml:space="preserve">Base case (WACC 11%, TGR 3%) highlighted in teal.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TGR \ WACC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11.0%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13.0%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€412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€368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€332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€303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€279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€457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€401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€358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€324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€296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€516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€444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A5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€390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€349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€315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€598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€501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€432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€380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€340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€722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€581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€487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€420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€370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Sensitivity — Exit EV/EBITDA | Value per Share (€) | WACC vs. Multiple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4"/>
          <w:szCs w:val="14"/>
        </w:rPr>
        <w:t xml:space="preserve">Base case (WACC 11%, 30x) highlighted in amber. Primary valuation anchor.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Multiple \ WACC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11.0%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12.0%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13.0%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€869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€837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€806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€776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€749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€1,055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€1,015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€977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€941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€907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€1,241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€1,193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€1,148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€1,105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€1,065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€1,426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€1,372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€1,319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€1,270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€1,223</w:t>
            </w:r>
          </w:p>
        </w:tc>
      </w:tr>
      <w:tr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40x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€1,612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€1,550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€1,491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€1,434</w:t>
            </w:r>
          </w:p>
        </w:tc>
        <w:tc>
          <w:tcPr>
            <w:tcW w:type="dxa" w:w="15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€1,381</w:t>
            </w:r>
          </w:p>
        </w:tc>
      </w:tr>
    </w:tbl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bottom w:val="single" w:color="1B3A5C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Model Methodology &amp; Key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Fully integrated 3-statement model (Income Statement, Balance Sheet, Cash Flow) with 5-year projection period (2025–2029E).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Revenue modelled bottom-up by segment: EUV (NXE), High-NA (EXE), DUV (ArF/KrF/I-line), and Service across three scenarios (Base/Bull/Bear).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WACC: risk-free rate 2.99%, ERP 5.50%, levered beta 1.46 → Cost of Equity 11.0%; debt weight 0.8% → WACC ~10.96%.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Tax rate: 16% effective, consistent with ASML's historical average.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CapEx at 6.0% of revenue; capitalised development costs at 4.0%; straight-line depreciation over 10-year asset life.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Capital allocation: €3.5–5.0bn annual buybacks and 30% dividend payout maintained throughout.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Primary valuation: Exit EV/EBITDA (30x on terminal EBITDA); GGM as downside floor.</w:t>
      </w:r>
    </w:p>
    <w:p>
      <w:pPr>
        <w:spacing w:before="60" w:after="60"/>
      </w:pPr>
      <w:r>
        <w:rPr>
          <w:sz w:val="10"/>
          <w:szCs w:val="10"/>
        </w:rPr>
        <w:t xml:space="preserve"/>
      </w:r>
    </w:p>
    <w:p>
      <w:pPr>
        <w:pBdr>
          <w:top w:val="single" w:color="BBBBBB" w:sz="4" w:space="1"/>
        </w:pBdr>
        <w:spacing w:before="120" w:after="60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DISCLAIMER: This report is produced for educational and CV purposes only. It does not constitute investment advice. All figures are estimates based on publicly available information.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2026-03-29T13:18:49.730Z</dcterms:created>
  <dcterms:modified xsi:type="dcterms:W3CDTF">2026-03-29T13:18:49.731Z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