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NVIDIA CORPORATION</w:t>
            </w:r>
          </w:p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Equity Research | Semiconductors &amp; AI Infrastructure</w:t>
            </w:r>
          </w:p>
        </w:tc>
        <w:tc>
          <w:tcPr>
            <w:tcW w:type="dxa" w:w="36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7A589"/>
                <w:sz w:val="36"/>
                <w:szCs w:val="36"/>
              </w:rPr>
              <w:t xml:space="preserve">BUY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Current Price: $172.00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Ticker: NVDA US | March 2025</w:t>
            </w:r>
          </w:p>
        </w:tc>
      </w:tr>
    </w:tbl>
    <w:p>
      <w:pPr>
        <w:spacing w:before="60" w:after="6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Rating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($)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GGM Target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 Target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Upside (Exit)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WACC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$172.00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$146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$307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+78.5%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10.0%</w:t>
            </w:r>
          </w:p>
        </w:tc>
      </w:tr>
    </w:tbl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Investment Thesis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NVIDIA is the AI infrastructure platform: revenue grew 114% in FY2025 to $130bn with EBIT margins of 62%, and the model implies this trajectory supports a $307 intrinsic value — 78.5% above the current price of $172. The Exit EV/EBITDA method, applied to FY2030E EBITDA of $339bn at 30x and discounted at 10% WACC, drives this target. The market may underestimate margin persistence: CUDA lock-in forces hyperscalers to rewrite years of optimised code to switch platforms, keeping EBIT margins above 60% even as competition builds. The GGM implies $146 — below market — a structurally expected outcome for a high-growth compounder, retained as a downside reference only. The primary risk is margin compression, quantified below.</w:t>
      </w:r>
    </w:p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Key Drivers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CUDA lock-in: customers have years of optimised CUDA code — switching to AMD or custom silicon requires full software stack rewrites, sustaining pricing power.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Data Center dominance: ~88% of FY2025 revenue, up 142% YoY; hyperscaler AI capex commitments extend visibility into FY2026E.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Blackwell GPU ramp: next-generation architecture drives training and inference demand across cloud and enterprise through FY2026E.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Fabless FCF machine: FY2025 FCFF of ~$72bn at ~55% FCF margin; CapEx is just 3% of revenue.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Net cash of $34.7bn ($1.42/share) provides valuation floor and funds buybacks.</w:t>
      </w:r>
    </w:p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Key Risks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Quantified margin risk: EBIT margin compression from 62% to 55% reduces the exit-multiple implied price to ~$240 — 22% below the $307 base-case target.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AI capex cycle risk: lumpy hyperscaler GPU orders mean any pause from Microsoft, Google, Amazon, or Meta compresses FY2026E revenue below the 85% growth assumption.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China revenue cap: export restrictions on H-series GPUs are structural; escalation introduces further downside not in the base case.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Custom silicon displacement: Google TPUs, Amazon Trainium, and Microsoft Maia are maturing — inference workloads may migrate over a 3–5 year horizon.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Execution risk: at $172, the stock prices in 85% FY2026E revenue growth; any miss compresses multiples disproportionately.</w:t>
      </w:r>
    </w:p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Financial Summary ($ Millions)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$ Millions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FY2023A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FY2024A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FY2025A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FY2026E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FY2027E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Revenue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26,974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60,922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130,497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241,419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337,987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YoY Growth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+126%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+114%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+85%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+40%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EBIT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4,224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32,972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81,453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149,680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212,932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EBIT Margin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15.7%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54.1%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62.4%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62.0%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63.0%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EBITDA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5,768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35,803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86,069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158,130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224,762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EBITDA Margin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21.4%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58.8%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66.0%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65.5%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66.5%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FCFF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~71,703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131,429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186,941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Net Cash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34,777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777777"/>
          <w:sz w:val="14"/>
          <w:szCs w:val="14"/>
        </w:rPr>
        <w:t xml:space="preserve">Source: NVIDIA 10-K FY2023–FY2025A (SEC EDGAR). FY ends last Sunday of January. Projections are model estimates.</w:t>
      </w:r>
    </w:p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Valuation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The Exit EV/EBITDA method is the primary anchor: 30x on FY2030E EBITDA of $339,371M implies $307 per share. A 30x multiple is conservative vs AI infrastructure peers at 25–45x forward EBITDA, reflecting assumed multiple compression as growth normalises. The GGM (3% TGR, 10% WACC) implies $146 — a downside reference, not a central estimate. The analysis implies material upside on a 3-year view; margin durability is the key variable.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Bear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Bull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GGM Implied Price ($)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$120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$146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$205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Exit Mult. Implied Price ($)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$216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$307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$430+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Upside — GGM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(30.2%)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(15.1%)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 +19.2%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Upside — Exit Mult.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+25.6%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 +78.5%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★ +150%+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WACC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10.0%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10.0%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10.0%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TGR / Exit Multiple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3% / 30x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3% / 30x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3% / 35x</w:t>
            </w:r>
          </w:p>
        </w:tc>
      </w:tr>
    </w:tbl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Key Catalysts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AI capex continuation: any incremental hyperscaler commitment extends FY2026–2027E revenue runway above base-case assumptions.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Blackwell volume ramp: accelerating shipments above base case drive upward revisions to FY2026E revenue.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CUDA ecosystem expansion: new verticals (robotics, drug discovery, autonomous vehicles) extend the addressable market beyond data center.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Inference demand inflection: scaled AI inference deployment diversifies the customer base and reduces hyperscaler concentration risk.</w:t>
      </w:r>
    </w:p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Sensitivity — GGM | Value per Share ($) | WACC vs. TGR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4"/>
          <w:szCs w:val="14"/>
        </w:rPr>
        <w:t xml:space="preserve">Base case (WACC 10%, TGR 3%) highlighted in teal.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TGR \ WACC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8.0%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11.0%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12.0%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$155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$135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$120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$108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$98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$176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$151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$131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$117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$105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$205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A5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$171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$146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$128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$113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$249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$199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$166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$142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$124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$323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$242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$193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$161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$138</w:t>
            </w:r>
          </w:p>
        </w:tc>
      </w:tr>
    </w:tbl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Sensitivity — Exit EV/EBITDA | Value per Share ($) | WACC vs. Multiple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4"/>
          <w:szCs w:val="14"/>
        </w:rPr>
        <w:t xml:space="preserve">Base case (WACC 10%, 30x) highlighted in amber. AI peers trade 25–45x forward EBITDA.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Multiple \ WACC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8.0%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11.0%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12.0%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20x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$234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$225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$217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$209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$201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25x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$283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$272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$262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$252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$243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30x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$332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$319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$307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$295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$284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35x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$381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$367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$352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$339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$326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40x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$430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$414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$398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$382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$368</w:t>
            </w:r>
          </w:p>
        </w:tc>
      </w:tr>
    </w:tbl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Model Methodology &amp; Key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Simplified FCFF-based DCF with 5-year projection period (FY2026E–FY2030E); historical base FY2023A–FY2025A from NVIDIA 10-K.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Revenue growth tapers from 85% (FY2026E) to 10% (FY2030E), reflecting Data Center cycle maturation.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EBIT margin 60–63%; D&amp;A 3.5% of revenue; CapEx 3.0% of revenue; NWC change 0% (fabless model).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WACC: 10.0% — risk-free rate ~4.3%, ERP ~4.8%, levered beta ~1.65.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Net cash bridge: $43.2bn cash less $8.5bn debt ($34.7bn net cash, $1.42/share) added in equity bridge.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Primary valuation: Exit EV/EBITDA (30x on FY2030E EBITDA); GGM as downside floor. Mid-year convention applied.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Diluted shares: 24,430M (FY2025 10-K weighted average).</w:t>
      </w:r>
    </w:p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top w:val="single" w:color="BBBBBB" w:sz="4" w:space="1"/>
        </w:pBdr>
        <w:spacing w:before="120" w:after="60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DISCLAIMER: This report is produced for educational and CV purposes only. It does not constitute investment advice. All figures are estimates based on publicly available information.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2026-03-29T13:18:50.072Z</dcterms:created>
  <dcterms:modified xsi:type="dcterms:W3CDTF">2026-03-29T13:18:50.072Z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