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footer+xml" PartName="/word/footer49.xml"/>
  <Override ContentType="application/vnd.openxmlformats-officedocument.wordprocessingml.header+xml" PartName="/word/header50.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footer+xml" PartName="/word/footer52.xml"/>
  <Override ContentType="application/vnd.openxmlformats-officedocument.wordprocessingml.header+xml" PartName="/word/header53.xml"/>
  <Override ContentType="application/vnd.openxmlformats-officedocument.wordprocessingml.footer+xml" PartName="/word/footer53.xml"/>
  <Override ContentType="application/vnd.openxmlformats-officedocument.wordprocessingml.header+xml" PartName="/word/header54.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footer+xml" PartName="/word/footer55.xml"/>
  <Override ContentType="application/vnd.openxmlformats-officedocument.wordprocessingml.header+xml" PartName="/word/header56.xml"/>
  <Override ContentType="application/vnd.openxmlformats-officedocument.wordprocessingml.footer+xml" PartName="/word/footer56.xml"/>
  <Override ContentType="application/vnd.openxmlformats-officedocument.wordprocessingml.header+xml" PartName="/word/header57.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footer+xml" PartName="/word/footer5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gridSpan w:val="1"/>
            <w:tcBorders>
              <w:top w:val="none" w:color="FFFFFF" w:sz="0"/>
              <w:left w:val="none" w:color="FFFFFF" w:sz="0"/>
              <w:bottom w:val="none" w:color="FFFFFF" w:sz="0"/>
              <w:right w:val="none" w:color="FFFFFF" w:sz="0"/>
            </w:tcBorders>
            <w:shd w:fill="1A2B3C" w:val="solid"/>
            <w:tcMar>
              <w:top w:type="dxa" w:w="400"/>
              <w:left w:type="dxa" w:w="200"/>
              <w:bottom w:type="dxa" w:w="300"/>
              <w:right w:type="dxa" w:w="200"/>
            </w:tcMar>
          </w:tcPr>
          <w:p>
            <w:pPr>
              <w:bidi/>
              <w:spacing w:after="200"/>
              <w:jc w:val="center"/>
            </w:pPr>
            <w:r>
              <w:drawing>
                <wp:inline distT="0" distB="0" distL="0" distR="0">
                  <wp:extent cx="1428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428750" cy="790575"/>
                          </a:xfrm>
                          <a:prstGeom prst="rect">
                            <a:avLst/>
                          </a:prstGeom>
                        </pic:spPr>
                      </pic:pic>
                    </a:graphicData>
                  </a:graphic>
                </wp:inline>
              </w:drawing>
            </w:r>
          </w:p>
          <w:p>
            <w:pPr>
              <w:bidi/>
              <w:spacing w:after="120" w:before="200"/>
              <w:jc w:val="center"/>
            </w:pPr>
            <w:r>
              <w:rPr>
                <w:rFonts w:ascii="Arial" w:cs="Arial" w:eastAsia="Arial" w:hAnsi="Arial"/>
                <w:b/>
                <w:bCs/>
                <w:color w:val="FFFFFF"/>
                <w:sz w:val="52"/>
                <w:szCs w:val="52"/>
                <w:rtl/>
              </w:rPr>
              <w:t xml:space="preserve">دورة الابتكار في التعليم الإلكتروني</w:t>
            </w:r>
          </w:p>
          <w:p>
            <w:pPr>
              <w:bidi/>
              <w:spacing w:after="300" w:before="60"/>
              <w:jc w:val="center"/>
            </w:pPr>
            <w:r>
              <w:rPr>
                <w:rFonts w:ascii="Arial" w:cs="Arial" w:eastAsia="Arial" w:hAnsi="Arial"/>
                <w:b w:val="false"/>
                <w:bCs w:val="false"/>
                <w:color w:val="BDC3C7"/>
                <w:sz w:val="30"/>
                <w:szCs w:val="30"/>
                <w:rtl/>
              </w:rPr>
              <w:t xml:space="preserve">الحقيبة التدريبية الشاملة</w:t>
            </w:r>
          </w:p>
          <w:tbl>
            <w:tblPr>
              <w:tblW w:type="dxa" w:w="8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dxa" w:w="2600"/>
                  <w:tcBorders>
                    <w:top w:val="single" w:color="C0392B" w:sz="12"/>
                    <w:left w:val="none" w:color="FFFFFF" w:sz="0"/>
                    <w:bottom w:val="none" w:color="FFFFFF" w:sz="0"/>
                    <w:right w:val="none" w:color="FFFFFF" w:sz="0"/>
                  </w:tcBorders>
                  <w:shd w:fill="1A3A5C" w:val="solid"/>
                  <w:tcMar>
                    <w:top w:type="dxa" w:w="120"/>
                    <w:left w:type="dxa" w:w="80"/>
                    <w:bottom w:type="dxa" w:w="120"/>
                    <w:right w:type="dxa" w:w="80"/>
                  </w:tcMar>
                </w:tcPr>
                <w:p>
                  <w:pPr>
                    <w:bidi/>
                    <w:spacing w:after="60" w:before="60"/>
                    <w:jc w:val="center"/>
                  </w:pPr>
                  <w:r>
                    <w:rPr>
                      <w:rFonts w:ascii="Arial" w:cs="Arial" w:eastAsia="Arial" w:hAnsi="Arial"/>
                      <w:b/>
                      <w:bCs/>
                      <w:color w:val="C0392B"/>
                      <w:sz w:val="52"/>
                      <w:szCs w:val="52"/>
                      <w:rtl/>
                    </w:rPr>
                    <w:t xml:space="preserve">5</w:t>
                  </w:r>
                </w:p>
                <w:p>
                  <w:pPr>
                    <w:bidi/>
                    <w:spacing w:after="60" w:before="60"/>
                    <w:jc w:val="center"/>
                  </w:pPr>
                  <w:r>
                    <w:rPr>
                      <w:rFonts w:ascii="Arial" w:cs="Arial" w:eastAsia="Arial" w:hAnsi="Arial"/>
                      <w:b w:val="false"/>
                      <w:bCs w:val="false"/>
                      <w:color w:val="95A5A6"/>
                      <w:sz w:val="18"/>
                      <w:szCs w:val="18"/>
                      <w:rtl/>
                    </w:rPr>
                    <w:t xml:space="preserve">وحدات تدريبية</w:t>
                  </w:r>
                </w:p>
              </w:tc>
              <w:tc>
                <w:tcPr>
                  <w:tcW w:type="dxa" w:w="200"/>
                  <w:tcBorders>
                    <w:top w:val="none" w:color="FFFFFF" w:sz="0"/>
                    <w:left w:val="none" w:color="FFFFFF" w:sz="0"/>
                    <w:bottom w:val="none" w:color="FFFFFF" w:sz="0"/>
                    <w:right w:val="none" w:color="FFFFFF" w:sz="0"/>
                  </w:tcBorders>
                  <w:shd w:fill="1A2B3C" w:val="solid"/>
                </w:tcPr>
                <w:p>
                  <w:pPr>
                    <w:bidi/>
                    <w:spacing w:after="60" w:before="60"/>
                    <w:jc w:val="right"/>
                  </w:pPr>
                  <w:r>
                    <w:rPr>
                      <w:rFonts w:ascii="Arial" w:cs="Arial" w:eastAsia="Arial" w:hAnsi="Arial"/>
                      <w:b w:val="false"/>
                      <w:bCs w:val="false"/>
                      <w:color w:val="1A2B3C"/>
                      <w:sz w:val="24"/>
                      <w:szCs w:val="24"/>
                      <w:rtl/>
                    </w:rPr>
                    <w:t xml:space="preserve"/>
                  </w:r>
                </w:p>
              </w:tc>
              <w:tc>
                <w:tcPr>
                  <w:tcW w:type="dxa" w:w="2600"/>
                  <w:tcBorders>
                    <w:top w:val="single" w:color="C0392B" w:sz="12"/>
                    <w:left w:val="none" w:color="FFFFFF" w:sz="0"/>
                    <w:bottom w:val="none" w:color="FFFFFF" w:sz="0"/>
                    <w:right w:val="none" w:color="FFFFFF" w:sz="0"/>
                  </w:tcBorders>
                  <w:shd w:fill="1A3A5C" w:val="solid"/>
                  <w:tcMar>
                    <w:top w:type="dxa" w:w="120"/>
                    <w:left w:type="dxa" w:w="80"/>
                    <w:bottom w:type="dxa" w:w="120"/>
                    <w:right w:type="dxa" w:w="80"/>
                  </w:tcMar>
                </w:tcPr>
                <w:p>
                  <w:pPr>
                    <w:bidi/>
                    <w:spacing w:after="60" w:before="60"/>
                    <w:jc w:val="center"/>
                  </w:pPr>
                  <w:r>
                    <w:rPr>
                      <w:rFonts w:ascii="Arial" w:cs="Arial" w:eastAsia="Arial" w:hAnsi="Arial"/>
                      <w:b/>
                      <w:bCs/>
                      <w:color w:val="C0392B"/>
                      <w:sz w:val="52"/>
                      <w:szCs w:val="52"/>
                      <w:rtl/>
                    </w:rPr>
                    <w:t xml:space="preserve">50</w:t>
                  </w:r>
                </w:p>
                <w:p>
                  <w:pPr>
                    <w:bidi/>
                    <w:spacing w:after="60" w:before="60"/>
                    <w:jc w:val="center"/>
                  </w:pPr>
                  <w:r>
                    <w:rPr>
                      <w:rFonts w:ascii="Arial" w:cs="Arial" w:eastAsia="Arial" w:hAnsi="Arial"/>
                      <w:b w:val="false"/>
                      <w:bCs w:val="false"/>
                      <w:color w:val="95A5A6"/>
                      <w:sz w:val="18"/>
                      <w:szCs w:val="18"/>
                      <w:rtl/>
                    </w:rPr>
                    <w:t xml:space="preserve">شريحة تعليمية</w:t>
                  </w:r>
                </w:p>
              </w:tc>
              <w:tc>
                <w:tcPr>
                  <w:tcW w:type="dxa" w:w="200"/>
                  <w:tcBorders>
                    <w:top w:val="none" w:color="FFFFFF" w:sz="0"/>
                    <w:left w:val="none" w:color="FFFFFF" w:sz="0"/>
                    <w:bottom w:val="none" w:color="FFFFFF" w:sz="0"/>
                    <w:right w:val="none" w:color="FFFFFF" w:sz="0"/>
                  </w:tcBorders>
                  <w:shd w:fill="1A2B3C" w:val="solid"/>
                </w:tcPr>
                <w:p>
                  <w:pPr>
                    <w:bidi/>
                    <w:spacing w:after="60" w:before="60"/>
                    <w:jc w:val="right"/>
                  </w:pPr>
                  <w:r>
                    <w:rPr>
                      <w:rFonts w:ascii="Arial" w:cs="Arial" w:eastAsia="Arial" w:hAnsi="Arial"/>
                      <w:b w:val="false"/>
                      <w:bCs w:val="false"/>
                      <w:color w:val="1A2B3C"/>
                      <w:sz w:val="24"/>
                      <w:szCs w:val="24"/>
                      <w:rtl/>
                    </w:rPr>
                    <w:t xml:space="preserve"/>
                  </w:r>
                </w:p>
              </w:tc>
              <w:tc>
                <w:tcPr>
                  <w:tcW w:type="dxa" w:w="2600"/>
                  <w:tcBorders>
                    <w:top w:val="single" w:color="C0392B" w:sz="12"/>
                    <w:left w:val="none" w:color="FFFFFF" w:sz="0"/>
                    <w:bottom w:val="none" w:color="FFFFFF" w:sz="0"/>
                    <w:right w:val="none" w:color="FFFFFF" w:sz="0"/>
                  </w:tcBorders>
                  <w:shd w:fill="1A3A5C" w:val="solid"/>
                  <w:tcMar>
                    <w:top w:type="dxa" w:w="120"/>
                    <w:left w:type="dxa" w:w="80"/>
                    <w:bottom w:type="dxa" w:w="120"/>
                    <w:right w:type="dxa" w:w="80"/>
                  </w:tcMar>
                </w:tcPr>
                <w:p>
                  <w:pPr>
                    <w:bidi/>
                    <w:spacing w:after="60" w:before="60"/>
                    <w:jc w:val="center"/>
                  </w:pPr>
                  <w:r>
                    <w:rPr>
                      <w:rFonts w:ascii="Arial" w:cs="Arial" w:eastAsia="Arial" w:hAnsi="Arial"/>
                      <w:b/>
                      <w:bCs/>
                      <w:color w:val="C0392B"/>
                      <w:sz w:val="40"/>
                      <w:szCs w:val="40"/>
                      <w:rtl/>
                    </w:rPr>
                    <w:t xml:space="preserve">إبهار</w:t>
                  </w:r>
                </w:p>
                <w:p>
                  <w:pPr>
                    <w:bidi/>
                    <w:spacing w:after="60" w:before="60"/>
                    <w:jc w:val="center"/>
                  </w:pPr>
                  <w:r>
                    <w:rPr>
                      <w:rFonts w:ascii="Arial" w:cs="Arial" w:eastAsia="Arial" w:hAnsi="Arial"/>
                      <w:b w:val="false"/>
                      <w:bCs w:val="false"/>
                      <w:color w:val="95A5A6"/>
                      <w:sz w:val="18"/>
                      <w:szCs w:val="18"/>
                      <w:rtl/>
                    </w:rPr>
                    <w:t xml:space="preserve">معهد التدريب</w:t>
                  </w:r>
                </w:p>
              </w:tc>
            </w:tr>
          </w:tbl>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bidi/>
        <w:spacing w:after="200" w:before="200"/>
        <w:jc w:val="center"/>
      </w:pPr>
      <w:r>
        <w:rPr>
          <w:rFonts w:ascii="Arial" w:cs="Arial" w:eastAsia="Arial" w:hAnsi="Arial"/>
          <w:b/>
          <w:bCs/>
          <w:color w:val="1A2B3C"/>
          <w:sz w:val="36"/>
          <w:szCs w:val="36"/>
          <w:rtl/>
        </w:rPr>
        <w:t xml:space="preserve">فهرس المحتوى</w:t>
      </w:r>
    </w:p>
    <w:tbl>
      <w:tblPr>
        <w:tblW w:type="dxa" w:w="9000"/>
        <w:tblBorders>
          <w:top w:val="single" w:color="E0E6ED" w:sz="4"/>
          <w:left w:val="none" w:color="FFFFFF" w:sz="0"/>
          <w:bottom w:val="single" w:color="E0E6ED" w:sz="4"/>
          <w:right w:val="none" w:color="FFFFFF" w:sz="0"/>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Mar>
              <w:top w:type="dxa" w:w="80"/>
              <w:left w:type="dxa" w:w="80"/>
              <w:bottom w:type="dxa" w:w="80"/>
              <w:right w:type="dxa" w:w="120"/>
            </w:tcMar>
          </w:tcPr>
          <w:p>
            <w:pPr>
              <w:bidi/>
              <w:spacing w:after="60" w:before="60"/>
              <w:jc w:val="right"/>
            </w:pPr>
            <w:r>
              <w:rPr>
                <w:rFonts w:ascii="Arial" w:cs="Arial" w:eastAsia="Arial" w:hAnsi="Arial"/>
                <w:b/>
                <w:bCs/>
                <w:color w:val="1A2B3C"/>
                <w:sz w:val="22"/>
                <w:szCs w:val="22"/>
                <w:rtl/>
              </w:rPr>
              <w:t xml:space="preserve">التحول نحو التعليم الإلكتروني والابتكار التعليمي</w:t>
            </w:r>
          </w:p>
        </w:tc>
        <w:tc>
          <w:tcPr>
            <w:tcW w:type="dxa" w:w="8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1</w:t>
            </w:r>
          </w:p>
        </w:tc>
      </w:tr>
      <w:tr>
        <w:tc>
          <w:tcPr>
            <w:tcW w:type="dxa" w:w="5000"/>
            <w:tcBorders>
              <w:top w:val="none" w:color="FFFFFF" w:sz="0"/>
              <w:left w:val="none" w:color="FFFFFF" w:sz="0"/>
              <w:bottom w:val="none" w:color="FFFFFF" w:sz="0"/>
              <w:right w:val="none" w:color="FFFFFF" w:sz="0"/>
            </w:tcBorders>
            <w:tcMar>
              <w:top w:type="dxa" w:w="80"/>
              <w:left w:type="dxa" w:w="80"/>
              <w:bottom w:type="dxa" w:w="80"/>
              <w:right w:type="dxa" w:w="120"/>
            </w:tcMar>
          </w:tcPr>
          <w:p>
            <w:pPr>
              <w:bidi/>
              <w:spacing w:after="60" w:before="60"/>
              <w:jc w:val="right"/>
            </w:pPr>
            <w:r>
              <w:rPr>
                <w:rFonts w:ascii="Arial" w:cs="Arial" w:eastAsia="Arial" w:hAnsi="Arial"/>
                <w:b/>
                <w:bCs/>
                <w:color w:val="1A2B3C"/>
                <w:sz w:val="22"/>
                <w:szCs w:val="22"/>
                <w:rtl/>
              </w:rPr>
              <w:t xml:space="preserve">تصميم بيئات التعلم الإلكترونية الفاعلة</w:t>
            </w:r>
          </w:p>
        </w:tc>
        <w:tc>
          <w:tcPr>
            <w:tcW w:type="dxa" w:w="8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2</w:t>
            </w:r>
          </w:p>
        </w:tc>
      </w:tr>
      <w:tr>
        <w:tc>
          <w:tcPr>
            <w:tcW w:type="dxa" w:w="5000"/>
            <w:tcBorders>
              <w:top w:val="none" w:color="FFFFFF" w:sz="0"/>
              <w:left w:val="none" w:color="FFFFFF" w:sz="0"/>
              <w:bottom w:val="none" w:color="FFFFFF" w:sz="0"/>
              <w:right w:val="none" w:color="FFFFFF" w:sz="0"/>
            </w:tcBorders>
            <w:tcMar>
              <w:top w:type="dxa" w:w="80"/>
              <w:left w:type="dxa" w:w="80"/>
              <w:bottom w:type="dxa" w:w="80"/>
              <w:right w:type="dxa" w:w="120"/>
            </w:tcMar>
          </w:tcPr>
          <w:p>
            <w:pPr>
              <w:bidi/>
              <w:spacing w:after="60" w:before="60"/>
              <w:jc w:val="right"/>
            </w:pPr>
            <w:r>
              <w:rPr>
                <w:rFonts w:ascii="Arial" w:cs="Arial" w:eastAsia="Arial" w:hAnsi="Arial"/>
                <w:b/>
                <w:bCs/>
                <w:color w:val="1A2B3C"/>
                <w:sz w:val="22"/>
                <w:szCs w:val="22"/>
                <w:rtl/>
              </w:rPr>
              <w:t xml:space="preserve">استراتيجيات الابتكار في التعليم الإلكتروني</w:t>
            </w:r>
          </w:p>
        </w:tc>
        <w:tc>
          <w:tcPr>
            <w:tcW w:type="dxa" w:w="8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3</w:t>
            </w:r>
          </w:p>
        </w:tc>
      </w:tr>
      <w:tr>
        <w:tc>
          <w:tcPr>
            <w:tcW w:type="dxa" w:w="5000"/>
            <w:tcBorders>
              <w:top w:val="none" w:color="FFFFFF" w:sz="0"/>
              <w:left w:val="none" w:color="FFFFFF" w:sz="0"/>
              <w:bottom w:val="none" w:color="FFFFFF" w:sz="0"/>
              <w:right w:val="none" w:color="FFFFFF" w:sz="0"/>
            </w:tcBorders>
            <w:tcMar>
              <w:top w:type="dxa" w:w="80"/>
              <w:left w:type="dxa" w:w="80"/>
              <w:bottom w:type="dxa" w:w="80"/>
              <w:right w:type="dxa" w:w="120"/>
            </w:tcMar>
          </w:tcPr>
          <w:p>
            <w:pPr>
              <w:bidi/>
              <w:spacing w:after="60" w:before="60"/>
              <w:jc w:val="right"/>
            </w:pPr>
            <w:r>
              <w:rPr>
                <w:rFonts w:ascii="Arial" w:cs="Arial" w:eastAsia="Arial" w:hAnsi="Arial"/>
                <w:b/>
                <w:bCs/>
                <w:color w:val="1A2B3C"/>
                <w:sz w:val="22"/>
                <w:szCs w:val="22"/>
                <w:rtl/>
              </w:rPr>
              <w:t xml:space="preserve">الذكاء الاصطناعي والتقنيات الناشئة في التعليم</w:t>
            </w:r>
          </w:p>
        </w:tc>
        <w:tc>
          <w:tcPr>
            <w:tcW w:type="dxa" w:w="8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4</w:t>
            </w:r>
          </w:p>
        </w:tc>
      </w:tr>
      <w:tr>
        <w:tc>
          <w:tcPr>
            <w:tcW w:type="dxa" w:w="5000"/>
            <w:tcBorders>
              <w:top w:val="none" w:color="FFFFFF" w:sz="0"/>
              <w:left w:val="none" w:color="FFFFFF" w:sz="0"/>
              <w:bottom w:val="none" w:color="FFFFFF" w:sz="0"/>
              <w:right w:val="none" w:color="FFFFFF" w:sz="0"/>
            </w:tcBorders>
            <w:tcMar>
              <w:top w:type="dxa" w:w="80"/>
              <w:left w:type="dxa" w:w="80"/>
              <w:bottom w:type="dxa" w:w="80"/>
              <w:right w:type="dxa" w:w="120"/>
            </w:tcMar>
          </w:tcPr>
          <w:p>
            <w:pPr>
              <w:bidi/>
              <w:spacing w:after="60" w:before="60"/>
              <w:jc w:val="right"/>
            </w:pPr>
            <w:r>
              <w:rPr>
                <w:rFonts w:ascii="Arial" w:cs="Arial" w:eastAsia="Arial" w:hAnsi="Arial"/>
                <w:b/>
                <w:bCs/>
                <w:color w:val="1A2B3C"/>
                <w:sz w:val="22"/>
                <w:szCs w:val="22"/>
                <w:rtl/>
              </w:rPr>
              <w:t xml:space="preserve">قياس الأثر والكفاءة والإنتاجية في التعليم الإلكتروني</w:t>
            </w:r>
          </w:p>
        </w:tc>
        <w:tc>
          <w:tcPr>
            <w:tcW w:type="dxa" w:w="8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5</w:t>
            </w:r>
          </w:p>
        </w:tc>
      </w:tr>
    </w:tbl>
    <w:p>
      <w:r>
        <w:br w:type="page"/>
      </w:r>
    </w:p>
    <w:p>
      <w:pPr>
        <w:sectPr>
          <w:headerReference w:type="default" r:id="rId9"/>
          <w:footerReference w:type="default" r:id="rId10"/>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fill="1A6B5A" w:val="solid"/>
            <w:tcMar>
              <w:top w:type="dxa" w:w="600"/>
              <w:left w:type="dxa" w:w="200"/>
              <w:bottom w:type="dxa" w:w="400"/>
              <w:right w:type="dxa" w:w="200"/>
            </w:tcMar>
          </w:tcPr>
          <w:p>
            <w:pPr>
              <w:bidi/>
              <w:spacing w:after="300"/>
              <w:jc w:val="center"/>
            </w:pPr>
            <w:r>
              <w:drawing>
                <wp:inline distT="0" distB="0" distL="0" distR="0">
                  <wp:extent cx="123825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238250" cy="685800"/>
                          </a:xfrm>
                          <a:prstGeom prst="rect">
                            <a:avLst/>
                          </a:prstGeom>
                        </pic:spPr>
                      </pic:pic>
                    </a:graphicData>
                  </a:graphic>
                </wp:inline>
              </w:drawing>
            </w:r>
          </w:p>
          <w:p>
            <w:pPr>
              <w:bidi/>
              <w:spacing w:after="80" w:before="60"/>
              <w:jc w:val="center"/>
            </w:pPr>
            <w:r>
              <w:rPr>
                <w:rFonts w:ascii="Arial" w:cs="Arial" w:eastAsia="Arial" w:hAnsi="Arial"/>
                <w:b w:val="false"/>
                <w:bCs w:val="false"/>
                <w:color w:val="FFFFFF"/>
                <w:sz w:val="28"/>
                <w:szCs w:val="28"/>
                <w:rtl/>
              </w:rPr>
              <w:t xml:space="preserve">الوحدة 1</w:t>
            </w:r>
          </w:p>
          <w:p>
            <w:pPr>
              <w:bidi/>
              <w:spacing w:after="200" w:before="60"/>
              <w:jc w:val="center"/>
            </w:pPr>
            <w:r>
              <w:rPr>
                <w:rFonts w:ascii="Arial" w:cs="Arial" w:eastAsia="Arial" w:hAnsi="Arial"/>
                <w:b/>
                <w:bCs/>
                <w:color w:val="FFFFFF"/>
                <w:sz w:val="40"/>
                <w:szCs w:val="40"/>
                <w:rtl/>
              </w:rPr>
              <w:t xml:space="preserve">التحول نحو التعليم الإلكتروني والابتكار التعليمي</w:t>
            </w:r>
          </w:p>
          <w:p>
            <w:pPr>
              <w:bidi/>
              <w:spacing w:after="60" w:before="60"/>
              <w:jc w:val="center"/>
            </w:pPr>
            <w:r>
              <w:rPr>
                <w:rFonts w:ascii="Arial" w:cs="Arial" w:eastAsia="Arial" w:hAnsi="Arial"/>
                <w:b w:val="false"/>
                <w:bCs w:val="false"/>
                <w:color w:val="FFFFFF"/>
                <w:sz w:val="24"/>
                <w:szCs w:val="24"/>
                <w:rtl/>
              </w:rPr>
              <w:t xml:space="preserve">10 شرائح تدريبية</w:t>
            </w:r>
          </w:p>
        </w:tc>
      </w:tr>
    </w:tbl>
    <w:p>
      <w:r>
        <w:br w:type="page"/>
      </w:r>
    </w:p>
    <w:p>
      <w:pPr>
        <w:sectPr>
          <w:headerReference w:type="default" r:id="rId11"/>
          <w:footerReference w:type="default" r:id="rId12"/>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1</w:t>
            </w:r>
          </w:p>
        </w:tc>
        <w:tc>
          <w:tcPr>
            <w:tcW w:type="dxa" w:w="76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دورة الابتكار في التعليم الإلكتروني</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معهد إبهار للتدريب</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الجهة</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يشهد التعليم تحولاً جذرياً من النماذج التقليدية إلى بيئات تعلم رقمية تعتمد على الابتكار والتقنية والتفاعل. يهدف هذا البرنامج إلى تمكين الممارسين التربويين من تصميم وتنفيذ تجارب تعلم إلكترونية أكثر فاعلية وتأثيراً.</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الفكرة الرئيسية</w:t>
            </w:r>
          </w:p>
        </w:tc>
      </w:tr>
    </w:tbl>
    <w:p>
      <w:r>
        <w:br w:type="page"/>
      </w:r>
    </w:p>
    <w:p>
      <w:pPr>
        <w:sectPr>
          <w:headerReference w:type="default" r:id="rId13"/>
          <w:footerReference w:type="default" r:id="rId14"/>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2</w:t>
            </w:r>
          </w:p>
        </w:tc>
        <w:tc>
          <w:tcPr>
            <w:tcW w:type="dxa" w:w="76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لماذا أصبح الابتكار في التعليم الإلكتروني ضرورة؟</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لم يعد التعليم الإلكتروني مجرد خيار بديل، بل أصبح أداة رئيسية للتعليم وبيئة تعلم مستمرة ووسيلة لتخصيص التعلم ومحركاً للتحول الرقمي.</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الواقع الحالي</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ما أكبر تحدٍ واجهك في التعليم الإلكتروني؟</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سؤال نقاش</w:t>
            </w:r>
          </w:p>
        </w:tc>
      </w:tr>
    </w:tbl>
    <w:p>
      <w:r>
        <w:br w:type="page"/>
      </w:r>
    </w:p>
    <w:p>
      <w:pPr>
        <w:sectPr>
          <w:headerReference w:type="default" r:id="rId15"/>
          <w:footerReference w:type="default" r:id="rId16"/>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3</w:t>
            </w:r>
          </w:p>
        </w:tc>
        <w:tc>
          <w:tcPr>
            <w:tcW w:type="dxa" w:w="76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مفهوم الابتكار في التعليم الإلكتروني</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تطوير أساليب أو أدوات أو ممارسات جديدة تحقق قيمة مضافة في العملية التعليمية.</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التعريف</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استخدام التقنية فقط.</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لا يعني</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استخدام التقنية بطريقة تحقق نتائج أفضل.</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بل يعني</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تحويل عرض تقليدي إلى نشاط تفاعلي باستخدام أدوات رقمية.</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مثال</w:t>
            </w:r>
          </w:p>
        </w:tc>
      </w:tr>
    </w:tbl>
    <w:p>
      <w:r>
        <w:br w:type="page"/>
      </w:r>
    </w:p>
    <w:p>
      <w:pPr>
        <w:sectPr>
          <w:headerReference w:type="default" r:id="rId17"/>
          <w:footerReference w:type="default" r:id="rId18"/>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4</w:t>
            </w:r>
          </w:p>
        </w:tc>
        <w:tc>
          <w:tcPr>
            <w:tcW w:type="dxa" w:w="76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خصائص التعليم الإلكتروني المبتكر</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التعلم في أي وقت ومكان.</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المرونة</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زيادة مشاركة المتعلم.</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التفاعلية</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مراعاة الفروق الفردية.</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التخصيص</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استمرار التعلم خارج الفصل.</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الاستمرارية</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قياس الأداء بشكل مستمر.</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البيانات</w:t>
            </w:r>
          </w:p>
        </w:tc>
      </w:tr>
    </w:tbl>
    <w:p>
      <w:r>
        <w:br w:type="page"/>
      </w:r>
    </w:p>
    <w:p>
      <w:pPr>
        <w:sectPr>
          <w:headerReference w:type="default" r:id="rId19"/>
          <w:footerReference w:type="default" r:id="rId20"/>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5</w:t>
            </w:r>
          </w:p>
        </w:tc>
        <w:tc>
          <w:tcPr>
            <w:tcW w:type="dxa" w:w="76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التحول الرقمي في التعليم</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شراء أجهزة فقط.</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لا يعني</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إعادة تصميم العمليات والممارسات وأساليب التعلم والتقويم.</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بل يعني</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مدرسة أكثر كفاءة وفاعلية.</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النتيجة</w:t>
            </w:r>
          </w:p>
        </w:tc>
      </w:tr>
    </w:tbl>
    <w:p>
      <w:r>
        <w:br w:type="page"/>
      </w:r>
    </w:p>
    <w:p>
      <w:pPr>
        <w:sectPr>
          <w:headerReference w:type="default" r:id="rId21"/>
          <w:footerReference w:type="default" r:id="rId22"/>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6</w:t>
            </w:r>
          </w:p>
        </w:tc>
        <w:tc>
          <w:tcPr>
            <w:tcW w:type="dxa" w:w="76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أدوار المعلم في التعليم الإلكتروني الحديث</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ناقل للمعلومة.</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قديماً</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مصمم تعلم، ميسر تعلم، محفز، محلل بيانات تعلم.</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حديثاً</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التقنية لا تلغي دور المعلم بل تعيد تشكيله.</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الرسالة</w:t>
            </w:r>
          </w:p>
        </w:tc>
      </w:tr>
    </w:tbl>
    <w:p>
      <w:r>
        <w:br w:type="page"/>
      </w:r>
    </w:p>
    <w:p>
      <w:pPr>
        <w:sectPr>
          <w:headerReference w:type="default" r:id="rId23"/>
          <w:footerReference w:type="default" r:id="rId24"/>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7</w:t>
            </w:r>
          </w:p>
        </w:tc>
        <w:tc>
          <w:tcPr>
            <w:tcW w:type="dxa" w:w="76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أدوار المتعلم في التعليم الإلكتروني</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باحث، منتج للمحتوى، متعاون، ناقد للمعلومات.</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المتعلم المبتكر</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التعلم الذاتي، التفكير النقدي، الثقافة الرقمية.</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المهارات المطلوبة</w:t>
            </w:r>
          </w:p>
        </w:tc>
      </w:tr>
    </w:tbl>
    <w:p>
      <w:r>
        <w:br w:type="page"/>
      </w:r>
    </w:p>
    <w:p>
      <w:pPr>
        <w:sectPr>
          <w:headerReference w:type="default" r:id="rId25"/>
          <w:footerReference w:type="default" r:id="rId26"/>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8</w:t>
            </w:r>
          </w:p>
        </w:tc>
        <w:tc>
          <w:tcPr>
            <w:tcW w:type="dxa" w:w="76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أدوار القيادة المدرسية</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بناء الرؤية، دعم المعلمين، توفير الموارد، متابعة الأداء.</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المهام</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قائد مدرسة يقيس أثر استخدام المنصات الرقمية على التحصيل الدراسي.</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مثال</w:t>
            </w:r>
          </w:p>
        </w:tc>
      </w:tr>
    </w:tbl>
    <w:p>
      <w:r>
        <w:br w:type="page"/>
      </w:r>
    </w:p>
    <w:p>
      <w:pPr>
        <w:sectPr>
          <w:headerReference w:type="default" r:id="rId27"/>
          <w:footerReference w:type="default" r:id="rId28"/>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9</w:t>
            </w:r>
          </w:p>
        </w:tc>
        <w:tc>
          <w:tcPr>
            <w:tcW w:type="dxa" w:w="76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التحديات الحالية في التعليم الإلكتروني</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البنية التحتية والاتصال.</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تقنية</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مقاومة التغيير وضعف المهارات.</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بشرية</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التفاعل والتقويم.</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تعليمية</w:t>
            </w:r>
          </w:p>
        </w:tc>
      </w:tr>
    </w:tbl>
    <w:p>
      <w:r>
        <w:br w:type="page"/>
      </w:r>
    </w:p>
    <w:p>
      <w:pPr>
        <w:sectPr>
          <w:headerReference w:type="default" r:id="rId29"/>
          <w:footerReference w:type="default" r:id="rId30"/>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10</w:t>
            </w:r>
          </w:p>
        </w:tc>
        <w:tc>
          <w:tcPr>
            <w:tcW w:type="dxa" w:w="76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دراسة حالة</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مدرسة ثانوية ترغب في تطوير تجربة التعليم الإلكتروني.</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السياق</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ناقش: أبرز التحديات، فرص الابتكار، الحلول الممكنة، مؤشرات النجاح.</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المطلوب</w:t>
            </w:r>
          </w:p>
        </w:tc>
      </w:tr>
      <w:tr>
        <w:tc>
          <w:tcPr>
            <w:tcW w:type="dxa" w:w="6800"/>
            <w:tcBorders>
              <w:top w:val="none" w:color="FFFFFF" w:sz="0"/>
              <w:left w:val="none" w:color="FFFFFF" w:sz="0"/>
              <w:bottom w:val="none" w:color="FFFFFF" w:sz="0"/>
              <w:right w:val="none" w:color="FFFFFF" w:sz="0"/>
            </w:tcBorders>
            <w:shd w:fill="D4EDDA"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القدرة على تحليل واقع التعليم الإلكتروني وتحديد فرص التطوير.</w:t>
            </w:r>
          </w:p>
        </w:tc>
        <w:tc>
          <w:tcPr>
            <w:tcW w:type="dxa" w:w="2200"/>
            <w:tcBorders>
              <w:top w:val="none" w:color="FFFFFF" w:sz="0"/>
              <w:left w:val="none" w:color="FFFFFF" w:sz="0"/>
              <w:bottom w:val="none" w:color="FFFFFF" w:sz="0"/>
              <w:right w:val="none" w:color="FFFFFF" w:sz="0"/>
            </w:tcBorders>
            <w:shd w:fill="1A6B5A"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مخرج التعلم</w:t>
            </w:r>
          </w:p>
        </w:tc>
      </w:tr>
    </w:tbl>
    <w:p>
      <w:r>
        <w:br w:type="page"/>
      </w:r>
    </w:p>
    <w:p>
      <w:pPr>
        <w:sectPr>
          <w:headerReference w:type="default" r:id="rId31"/>
          <w:footerReference w:type="default" r:id="rId32"/>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fill="1E4D8C" w:val="solid"/>
            <w:tcMar>
              <w:top w:type="dxa" w:w="600"/>
              <w:left w:type="dxa" w:w="200"/>
              <w:bottom w:type="dxa" w:w="400"/>
              <w:right w:type="dxa" w:w="200"/>
            </w:tcMar>
          </w:tcPr>
          <w:p>
            <w:pPr>
              <w:bidi/>
              <w:spacing w:after="300"/>
              <w:jc w:val="center"/>
            </w:pPr>
            <w:r>
              <w:drawing>
                <wp:inline distT="0" distB="0" distL="0" distR="0">
                  <wp:extent cx="123825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238250" cy="685800"/>
                          </a:xfrm>
                          <a:prstGeom prst="rect">
                            <a:avLst/>
                          </a:prstGeom>
                        </pic:spPr>
                      </pic:pic>
                    </a:graphicData>
                  </a:graphic>
                </wp:inline>
              </w:drawing>
            </w:r>
          </w:p>
          <w:p>
            <w:pPr>
              <w:bidi/>
              <w:spacing w:after="80" w:before="60"/>
              <w:jc w:val="center"/>
            </w:pPr>
            <w:r>
              <w:rPr>
                <w:rFonts w:ascii="Arial" w:cs="Arial" w:eastAsia="Arial" w:hAnsi="Arial"/>
                <w:b w:val="false"/>
                <w:bCs w:val="false"/>
                <w:color w:val="FFFFFF"/>
                <w:sz w:val="28"/>
                <w:szCs w:val="28"/>
                <w:rtl/>
              </w:rPr>
              <w:t xml:space="preserve">الوحدة 2</w:t>
            </w:r>
          </w:p>
          <w:p>
            <w:pPr>
              <w:bidi/>
              <w:spacing w:after="200" w:before="60"/>
              <w:jc w:val="center"/>
            </w:pPr>
            <w:r>
              <w:rPr>
                <w:rFonts w:ascii="Arial" w:cs="Arial" w:eastAsia="Arial" w:hAnsi="Arial"/>
                <w:b/>
                <w:bCs/>
                <w:color w:val="FFFFFF"/>
                <w:sz w:val="40"/>
                <w:szCs w:val="40"/>
                <w:rtl/>
              </w:rPr>
              <w:t xml:space="preserve">تصميم بيئات التعلم الإلكترونية الفاعلة</w:t>
            </w:r>
          </w:p>
          <w:p>
            <w:pPr>
              <w:bidi/>
              <w:spacing w:after="60" w:before="60"/>
              <w:jc w:val="center"/>
            </w:pPr>
            <w:r>
              <w:rPr>
                <w:rFonts w:ascii="Arial" w:cs="Arial" w:eastAsia="Arial" w:hAnsi="Arial"/>
                <w:b w:val="false"/>
                <w:bCs w:val="false"/>
                <w:color w:val="FFFFFF"/>
                <w:sz w:val="24"/>
                <w:szCs w:val="24"/>
                <w:rtl/>
              </w:rPr>
              <w:t xml:space="preserve">10 شرائح تدريبية</w:t>
            </w:r>
          </w:p>
        </w:tc>
      </w:tr>
    </w:tbl>
    <w:p>
      <w:r>
        <w:br w:type="page"/>
      </w:r>
    </w:p>
    <w:p>
      <w:pPr>
        <w:sectPr>
          <w:headerReference w:type="default" r:id="rId33"/>
          <w:footerReference w:type="default" r:id="rId34"/>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11</w:t>
            </w:r>
          </w:p>
        </w:tc>
        <w:tc>
          <w:tcPr>
            <w:tcW w:type="dxa" w:w="76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ما المقصود ببيئة التعلم الإلكترونية؟</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منظومة متكاملة تضم المتعلم والمعلم والمحتوى والأنشطة وأدوات التواصل والتقويم.</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المفهوم</w:t>
            </w:r>
          </w:p>
        </w:tc>
      </w:tr>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نجاح التعليم الإلكتروني يعتمد على جودة تصميم البيئة وليس فقط على المنصة.</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الفكرة</w:t>
            </w:r>
          </w:p>
        </w:tc>
      </w:tr>
    </w:tbl>
    <w:p>
      <w:r>
        <w:br w:type="page"/>
      </w:r>
    </w:p>
    <w:p>
      <w:pPr>
        <w:sectPr>
          <w:headerReference w:type="default" r:id="rId35"/>
          <w:footerReference w:type="default" r:id="rId36"/>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12</w:t>
            </w:r>
          </w:p>
        </w:tc>
        <w:tc>
          <w:tcPr>
            <w:tcW w:type="dxa" w:w="76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مكونات بيئة التعلم الإلكترونية الناجحة</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واضح، منظم، تفاعلي، مناسب للفئة المستهدفة.</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المحتوى</w:t>
            </w:r>
          </w:p>
        </w:tc>
      </w:tr>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تدعم التطبيق والممارسة.</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الأنشطة</w:t>
            </w:r>
          </w:p>
        </w:tc>
      </w:tr>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يقيس مدى تحقق الأهداف.</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التقويم</w:t>
            </w:r>
          </w:p>
        </w:tc>
      </w:tr>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يبقي المتعلم مشاركاً باستمرار.</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التفاعل</w:t>
            </w:r>
          </w:p>
        </w:tc>
      </w:tr>
    </w:tbl>
    <w:p>
      <w:r>
        <w:br w:type="page"/>
      </w:r>
    </w:p>
    <w:p>
      <w:pPr>
        <w:sectPr>
          <w:headerReference w:type="default" r:id="rId37"/>
          <w:footerReference w:type="default" r:id="rId38"/>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13</w:t>
            </w:r>
          </w:p>
        </w:tc>
        <w:tc>
          <w:tcPr>
            <w:tcW w:type="dxa" w:w="76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نموذج ADDIE في تصميم التعليم الإلكتروني</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التحليل ← التصميم ← التطوير ← التنفيذ ← التقويم.</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المراحل</w:t>
            </w:r>
          </w:p>
        </w:tc>
      </w:tr>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أي برنامج إلكتروني ناجح يمر بهذه المراحل الخمس.</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الرسالة</w:t>
            </w:r>
          </w:p>
        </w:tc>
      </w:tr>
    </w:tbl>
    <w:p>
      <w:r>
        <w:br w:type="page"/>
      </w:r>
    </w:p>
    <w:p>
      <w:pPr>
        <w:sectPr>
          <w:headerReference w:type="default" r:id="rId39"/>
          <w:footerReference w:type="default" r:id="rId40"/>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14</w:t>
            </w:r>
          </w:p>
        </w:tc>
        <w:tc>
          <w:tcPr>
            <w:tcW w:type="dxa" w:w="76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مرحلة التحليل Analysis</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من هم المتعلمون؟ ما احتياجاتهم؟ ما مستوى خبراتهم؟ ما الأهداف المطلوبة؟</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الأسئلة</w:t>
            </w:r>
          </w:p>
        </w:tc>
      </w:tr>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قبل تصميم دورة للمعلمين يجب معرفة تخصصاتهم وخبراتهم التقنية واحتياجاتهم.</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مثال</w:t>
            </w:r>
          </w:p>
        </w:tc>
      </w:tr>
    </w:tbl>
    <w:p>
      <w:r>
        <w:br w:type="page"/>
      </w:r>
    </w:p>
    <w:p>
      <w:pPr>
        <w:sectPr>
          <w:headerReference w:type="default" r:id="rId41"/>
          <w:footerReference w:type="default" r:id="rId42"/>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15</w:t>
            </w:r>
          </w:p>
        </w:tc>
        <w:tc>
          <w:tcPr>
            <w:tcW w:type="dxa" w:w="76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مرحلة التصميم Design</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تحديد الأهداف، تصميم الأنشطة، اختيار الوسائط، تحديد استراتيجيات التعلم.</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يتم خلالها</w:t>
            </w:r>
          </w:p>
        </w:tc>
      </w:tr>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اختيار فيديو أو إنفوجرافيك أو نشاط تفاعلي أو اختبار إلكتروني.</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مثال</w:t>
            </w:r>
          </w:p>
        </w:tc>
      </w:tr>
    </w:tbl>
    <w:p>
      <w:r>
        <w:br w:type="page"/>
      </w:r>
    </w:p>
    <w:p>
      <w:pPr>
        <w:sectPr>
          <w:headerReference w:type="default" r:id="rId43"/>
          <w:footerReference w:type="default" r:id="rId44"/>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16</w:t>
            </w:r>
          </w:p>
        </w:tc>
        <w:tc>
          <w:tcPr>
            <w:tcW w:type="dxa" w:w="76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مرحلة التطوير Development</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يتم خلالها إنتاج المحتوى الفعلي.</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التعريف</w:t>
            </w:r>
          </w:p>
        </w:tc>
      </w:tr>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تسجيل الفيديوهات، تصميم العروض، إعداد الأنشطة، تصميم الاختبارات.</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أمثلة</w:t>
            </w:r>
          </w:p>
        </w:tc>
      </w:tr>
    </w:tbl>
    <w:p>
      <w:r>
        <w:br w:type="page"/>
      </w:r>
    </w:p>
    <w:p>
      <w:pPr>
        <w:sectPr>
          <w:headerReference w:type="default" r:id="rId45"/>
          <w:footerReference w:type="default" r:id="rId46"/>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17</w:t>
            </w:r>
          </w:p>
        </w:tc>
        <w:tc>
          <w:tcPr>
            <w:tcW w:type="dxa" w:w="76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مرحلة التنفيذ Implementation</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رفع المحتوى، إدارة الجلسات، متابعة الحضور، دعم المتعلمين.</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يشمل</w:t>
            </w:r>
          </w:p>
        </w:tc>
      </w:tr>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الانتقال من التصميم إلى التطبيق الفعلي.</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التحدي</w:t>
            </w:r>
          </w:p>
        </w:tc>
      </w:tr>
    </w:tbl>
    <w:p>
      <w:r>
        <w:br w:type="page"/>
      </w:r>
    </w:p>
    <w:p>
      <w:pPr>
        <w:sectPr>
          <w:headerReference w:type="default" r:id="rId47"/>
          <w:footerReference w:type="default" r:id="rId48"/>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18</w:t>
            </w:r>
          </w:p>
        </w:tc>
        <w:tc>
          <w:tcPr>
            <w:tcW w:type="dxa" w:w="76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مرحلة التقويم Evaluation</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تكويني (أثناء التنفيذ) وختامي (بعد الانتهاء).</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أنواع</w:t>
            </w:r>
          </w:p>
        </w:tc>
      </w:tr>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قياس جودة البرنامج ورضا المتدربين وتحقق الأهداف.</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الهدف</w:t>
            </w:r>
          </w:p>
        </w:tc>
      </w:tr>
    </w:tbl>
    <w:p>
      <w:r>
        <w:br w:type="page"/>
      </w:r>
    </w:p>
    <w:p>
      <w:pPr>
        <w:sectPr>
          <w:headerReference w:type="default" r:id="rId49"/>
          <w:footerReference w:type="default" r:id="rId50"/>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19</w:t>
            </w:r>
          </w:p>
        </w:tc>
        <w:tc>
          <w:tcPr>
            <w:tcW w:type="dxa" w:w="76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نموذج SAMR للتحول الرقمي</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PDF بدلاً من الورق.</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الاستبدال</w:t>
            </w:r>
          </w:p>
        </w:tc>
      </w:tr>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إضافة روابط تفاعلية.</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التحسين</w:t>
            </w:r>
          </w:p>
        </w:tc>
      </w:tr>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أنشطة تعاونية إلكترونية.</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التعديل</w:t>
            </w:r>
          </w:p>
        </w:tc>
      </w:tr>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مشروعات رقمية جديدة كلياً.</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إعادة التعريف</w:t>
            </w:r>
          </w:p>
        </w:tc>
      </w:tr>
    </w:tbl>
    <w:p>
      <w:r>
        <w:br w:type="page"/>
      </w:r>
    </w:p>
    <w:p>
      <w:pPr>
        <w:sectPr>
          <w:headerReference w:type="default" r:id="rId51"/>
          <w:footerReference w:type="default" r:id="rId52"/>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20</w:t>
            </w:r>
          </w:p>
        </w:tc>
        <w:tc>
          <w:tcPr>
            <w:tcW w:type="dxa" w:w="76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تطبيق عملي على نموذج SAMR</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التمييز بين مجرد استخدام التقنية والابتكار الحقيقي في التعليم الإلكتروني.</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الهدف</w:t>
            </w:r>
          </w:p>
        </w:tc>
      </w:tr>
      <w:tr>
        <w:tc>
          <w:tcPr>
            <w:tcW w:type="dxa" w:w="6800"/>
            <w:tcBorders>
              <w:top w:val="none" w:color="FFFFFF" w:sz="0"/>
              <w:left w:val="none" w:color="FFFFFF" w:sz="0"/>
              <w:bottom w:val="none" w:color="FFFFFF" w:sz="0"/>
              <w:right w:val="none" w:color="FFFFFF" w:sz="0"/>
            </w:tcBorders>
            <w:shd w:fill="CCE0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القدرة على تصنيف وتطوير الممارسات التعليمية الرقمية.</w:t>
            </w:r>
          </w:p>
        </w:tc>
        <w:tc>
          <w:tcPr>
            <w:tcW w:type="dxa" w:w="2200"/>
            <w:tcBorders>
              <w:top w:val="none" w:color="FFFFFF" w:sz="0"/>
              <w:left w:val="none" w:color="FFFFFF" w:sz="0"/>
              <w:bottom w:val="none" w:color="FFFFFF" w:sz="0"/>
              <w:right w:val="none" w:color="FFFFFF" w:sz="0"/>
            </w:tcBorders>
            <w:shd w:fill="1E4D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مخرج التعلم</w:t>
            </w:r>
          </w:p>
        </w:tc>
      </w:tr>
    </w:tbl>
    <w:p>
      <w:r>
        <w:br w:type="page"/>
      </w:r>
    </w:p>
    <w:p>
      <w:pPr>
        <w:sectPr>
          <w:headerReference w:type="default" r:id="rId53"/>
          <w:footerReference w:type="default" r:id="rId54"/>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fill="7B3A1E" w:val="solid"/>
            <w:tcMar>
              <w:top w:type="dxa" w:w="600"/>
              <w:left w:type="dxa" w:w="200"/>
              <w:bottom w:type="dxa" w:w="400"/>
              <w:right w:type="dxa" w:w="200"/>
            </w:tcMar>
          </w:tcPr>
          <w:p>
            <w:pPr>
              <w:bidi/>
              <w:spacing w:after="300"/>
              <w:jc w:val="center"/>
            </w:pPr>
            <w:r>
              <w:drawing>
                <wp:inline distT="0" distB="0" distL="0" distR="0">
                  <wp:extent cx="123825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238250" cy="685800"/>
                          </a:xfrm>
                          <a:prstGeom prst="rect">
                            <a:avLst/>
                          </a:prstGeom>
                        </pic:spPr>
                      </pic:pic>
                    </a:graphicData>
                  </a:graphic>
                </wp:inline>
              </w:drawing>
            </w:r>
          </w:p>
          <w:p>
            <w:pPr>
              <w:bidi/>
              <w:spacing w:after="80" w:before="60"/>
              <w:jc w:val="center"/>
            </w:pPr>
            <w:r>
              <w:rPr>
                <w:rFonts w:ascii="Arial" w:cs="Arial" w:eastAsia="Arial" w:hAnsi="Arial"/>
                <w:b w:val="false"/>
                <w:bCs w:val="false"/>
                <w:color w:val="FFFFFF"/>
                <w:sz w:val="28"/>
                <w:szCs w:val="28"/>
                <w:rtl/>
              </w:rPr>
              <w:t xml:space="preserve">الوحدة 3</w:t>
            </w:r>
          </w:p>
          <w:p>
            <w:pPr>
              <w:bidi/>
              <w:spacing w:after="200" w:before="60"/>
              <w:jc w:val="center"/>
            </w:pPr>
            <w:r>
              <w:rPr>
                <w:rFonts w:ascii="Arial" w:cs="Arial" w:eastAsia="Arial" w:hAnsi="Arial"/>
                <w:b/>
                <w:bCs/>
                <w:color w:val="FFFFFF"/>
                <w:sz w:val="40"/>
                <w:szCs w:val="40"/>
                <w:rtl/>
              </w:rPr>
              <w:t xml:space="preserve">استراتيجيات الابتكار في التعليم الإلكتروني</w:t>
            </w:r>
          </w:p>
          <w:p>
            <w:pPr>
              <w:bidi/>
              <w:spacing w:after="60" w:before="60"/>
              <w:jc w:val="center"/>
            </w:pPr>
            <w:r>
              <w:rPr>
                <w:rFonts w:ascii="Arial" w:cs="Arial" w:eastAsia="Arial" w:hAnsi="Arial"/>
                <w:b w:val="false"/>
                <w:bCs w:val="false"/>
                <w:color w:val="FFFFFF"/>
                <w:sz w:val="24"/>
                <w:szCs w:val="24"/>
                <w:rtl/>
              </w:rPr>
              <w:t xml:space="preserve">10 شرائح تدريبية</w:t>
            </w:r>
          </w:p>
        </w:tc>
      </w:tr>
    </w:tbl>
    <w:p>
      <w:r>
        <w:br w:type="page"/>
      </w:r>
    </w:p>
    <w:p>
      <w:pPr>
        <w:sectPr>
          <w:headerReference w:type="default" r:id="rId55"/>
          <w:footerReference w:type="default" r:id="rId56"/>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21</w:t>
            </w:r>
          </w:p>
        </w:tc>
        <w:tc>
          <w:tcPr>
            <w:tcW w:type="dxa" w:w="76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لماذا نحتاج إلى الابتكار؟</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الانتقال إلى الإلكتروني لا يعني تعلماً أفضل تلقائياً.</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الفكرة</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زيادة التفاعل، رفع الدافعية، تحسين التحصيل، مهارات القرن الحادي والعشرين.</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الابتكار الحقيقي</w:t>
            </w:r>
          </w:p>
        </w:tc>
      </w:tr>
    </w:tbl>
    <w:p>
      <w:r>
        <w:br w:type="page"/>
      </w:r>
    </w:p>
    <w:p>
      <w:pPr>
        <w:sectPr>
          <w:headerReference w:type="default" r:id="rId57"/>
          <w:footerReference w:type="default" r:id="rId58"/>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22</w:t>
            </w:r>
          </w:p>
        </w:tc>
        <w:tc>
          <w:tcPr>
            <w:tcW w:type="dxa" w:w="76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إطار TPACK</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التخصص الأكاديمي والمعرفة العلمية.</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معرفة المحتوى CK</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استراتيجيات التدريس وأساليب التعلم.</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المعرفة التربوية PK</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أدوات التقنية ومهارات توظيفها.</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المعرفة التقنية TK</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المعلم المتميز يجمع الثلاثة معاً.</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الرسالة</w:t>
            </w:r>
          </w:p>
        </w:tc>
      </w:tr>
    </w:tbl>
    <w:p>
      <w:r>
        <w:br w:type="page"/>
      </w:r>
    </w:p>
    <w:p>
      <w:pPr>
        <w:sectPr>
          <w:headerReference w:type="default" r:id="rId59"/>
          <w:footerReference w:type="default" r:id="rId60"/>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23</w:t>
            </w:r>
          </w:p>
        </w:tc>
        <w:tc>
          <w:tcPr>
            <w:tcW w:type="dxa" w:w="76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تطبيق إطار TPACK</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معلم العلوم: محتوى علمي + استراتيجيات تدريس + أدوات تقنية.</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مثال</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محاكاة تفاعلية لشرح دورة الماء مع نشاط إلكتروني وتقويم فوري.</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النتيجة</w:t>
            </w:r>
          </w:p>
        </w:tc>
      </w:tr>
    </w:tbl>
    <w:p>
      <w:r>
        <w:br w:type="page"/>
      </w:r>
    </w:p>
    <w:p>
      <w:pPr>
        <w:sectPr>
          <w:headerReference w:type="default" r:id="rId61"/>
          <w:footerReference w:type="default" r:id="rId62"/>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24</w:t>
            </w:r>
          </w:p>
        </w:tc>
        <w:tc>
          <w:tcPr>
            <w:tcW w:type="dxa" w:w="76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التعلم المدمج Blended Learning</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دمج التعليم الحضوري بالتعليم الإلكتروني.</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المفهوم</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مرونة أكبر، زيادة التفاعل، تنوع المصادر، تحسين التحصيل.</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المميزات</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شرح داخل الصف + أنشطة إلكترونية عبر المنصة.</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مثال</w:t>
            </w:r>
          </w:p>
        </w:tc>
      </w:tr>
    </w:tbl>
    <w:p>
      <w:r>
        <w:br w:type="page"/>
      </w:r>
    </w:p>
    <w:p>
      <w:pPr>
        <w:sectPr>
          <w:headerReference w:type="default" r:id="rId63"/>
          <w:footerReference w:type="default" r:id="rId64"/>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25</w:t>
            </w:r>
          </w:p>
        </w:tc>
        <w:tc>
          <w:tcPr>
            <w:tcW w:type="dxa" w:w="76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التعلم المقلوب Flipped Learning</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المحتوى قبل الحصة، والحصة للتطبيق والنقاش وحل المشكلات.</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الفكرة</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زيادة المشاركة، تنمية التفكير، تحسين استثمار وقت الحصة.</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الفوائد</w:t>
            </w:r>
          </w:p>
        </w:tc>
      </w:tr>
    </w:tbl>
    <w:p>
      <w:r>
        <w:br w:type="page"/>
      </w:r>
    </w:p>
    <w:p>
      <w:pPr>
        <w:sectPr>
          <w:headerReference w:type="default" r:id="rId65"/>
          <w:footerReference w:type="default" r:id="rId66"/>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26</w:t>
            </w:r>
          </w:p>
        </w:tc>
        <w:tc>
          <w:tcPr>
            <w:tcW w:type="dxa" w:w="76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التلعيب Gamification</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نقاط، شارات، مستويات، لوحات الصدارة.</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العناصر</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رفع الدافعية والمشاركة.</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الأثر</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استراتيجية تعليمية مدروسة وليست مجرد لعب.</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تنبيه</w:t>
            </w:r>
          </w:p>
        </w:tc>
      </w:tr>
    </w:tbl>
    <w:p>
      <w:r>
        <w:br w:type="page"/>
      </w:r>
    </w:p>
    <w:p>
      <w:pPr>
        <w:sectPr>
          <w:headerReference w:type="default" r:id="rId67"/>
          <w:footerReference w:type="default" r:id="rId68"/>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27</w:t>
            </w:r>
          </w:p>
        </w:tc>
        <w:tc>
          <w:tcPr>
            <w:tcW w:type="dxa" w:w="76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التعلم المصغر Microlearning</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وحدات صغيرة قصيرة ومركزة.</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المفهوم</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سهولة الاستيعاب، زيادة التركيز، سرعة الوصول للمعلومة.</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المميزات</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فيديو 3 دقائق = مهارة واحدة كاملة.</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مثال</w:t>
            </w:r>
          </w:p>
        </w:tc>
      </w:tr>
    </w:tbl>
    <w:p>
      <w:r>
        <w:br w:type="page"/>
      </w:r>
    </w:p>
    <w:p>
      <w:pPr>
        <w:sectPr>
          <w:headerReference w:type="default" r:id="rId69"/>
          <w:footerReference w:type="default" r:id="rId70"/>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28</w:t>
            </w:r>
          </w:p>
        </w:tc>
        <w:tc>
          <w:tcPr>
            <w:tcW w:type="dxa" w:w="76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التعلم التكيفي Adaptive Learning</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المحتوى يتكيف مع مستوى المتعلم.</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المفهوم</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اتقان المهارة يؤدي للمستوى التالي؛ الصعوبة تؤدي لدعم إضافي.</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كيف يعمل</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تعلم شخصي يناسب احتياجات كل متعلم.</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الفائدة</w:t>
            </w:r>
          </w:p>
        </w:tc>
      </w:tr>
    </w:tbl>
    <w:p>
      <w:r>
        <w:br w:type="page"/>
      </w:r>
    </w:p>
    <w:p>
      <w:pPr>
        <w:sectPr>
          <w:headerReference w:type="default" r:id="rId71"/>
          <w:footerReference w:type="default" r:id="rId72"/>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29</w:t>
            </w:r>
          </w:p>
        </w:tc>
        <w:tc>
          <w:tcPr>
            <w:tcW w:type="dxa" w:w="76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تحليلات التعلم Learning Analytics</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جمع وتحليل بيانات المتعلمين لتحسين التعلم.</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المفهوم</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دخول، تفاعل، اختبارات، أنشطة منجزة، وقت مستغرق.</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أمثلة</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قرارات تعليمية مبنية على البيانات.</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القيمة</w:t>
            </w:r>
          </w:p>
        </w:tc>
      </w:tr>
    </w:tbl>
    <w:p>
      <w:r>
        <w:br w:type="page"/>
      </w:r>
    </w:p>
    <w:p>
      <w:pPr>
        <w:sectPr>
          <w:headerReference w:type="default" r:id="rId73"/>
          <w:footerReference w:type="default" r:id="rId74"/>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30</w:t>
            </w:r>
          </w:p>
        </w:tc>
        <w:tc>
          <w:tcPr>
            <w:tcW w:type="dxa" w:w="76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مجتمعات التعلم الرقمية</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Microsoft Teams، Google Classroom، مجموعات التطوير المهني.</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أمثلة</w:t>
            </w:r>
          </w:p>
        </w:tc>
      </w:tr>
      <w:tr>
        <w:tc>
          <w:tcPr>
            <w:tcW w:type="dxa" w:w="6800"/>
            <w:tcBorders>
              <w:top w:val="none" w:color="FFFFFF" w:sz="0"/>
              <w:left w:val="none" w:color="FFFFFF" w:sz="0"/>
              <w:bottom w:val="none" w:color="FFFFFF" w:sz="0"/>
              <w:right w:val="none" w:color="FFFFFF" w:sz="0"/>
            </w:tcBorders>
            <w:shd w:fill="FCE0CC"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تبادل الخبرات، التعلم المستمر، بناء المعرفة الجماعية.</w:t>
            </w:r>
          </w:p>
        </w:tc>
        <w:tc>
          <w:tcPr>
            <w:tcW w:type="dxa" w:w="2200"/>
            <w:tcBorders>
              <w:top w:val="none" w:color="FFFFFF" w:sz="0"/>
              <w:left w:val="none" w:color="FFFFFF" w:sz="0"/>
              <w:bottom w:val="none" w:color="FFFFFF" w:sz="0"/>
              <w:right w:val="none" w:color="FFFFFF" w:sz="0"/>
            </w:tcBorders>
            <w:shd w:fill="7B3A1E"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الفوائد</w:t>
            </w:r>
          </w:p>
        </w:tc>
      </w:tr>
    </w:tbl>
    <w:p>
      <w:r>
        <w:br w:type="page"/>
      </w:r>
    </w:p>
    <w:p>
      <w:pPr>
        <w:sectPr>
          <w:headerReference w:type="default" r:id="rId75"/>
          <w:footerReference w:type="default" r:id="rId76"/>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fill="4A1B8C" w:val="solid"/>
            <w:tcMar>
              <w:top w:type="dxa" w:w="600"/>
              <w:left w:type="dxa" w:w="200"/>
              <w:bottom w:type="dxa" w:w="400"/>
              <w:right w:type="dxa" w:w="200"/>
            </w:tcMar>
          </w:tcPr>
          <w:p>
            <w:pPr>
              <w:bidi/>
              <w:spacing w:after="300"/>
              <w:jc w:val="center"/>
            </w:pPr>
            <w:r>
              <w:drawing>
                <wp:inline distT="0" distB="0" distL="0" distR="0">
                  <wp:extent cx="123825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238250" cy="685800"/>
                          </a:xfrm>
                          <a:prstGeom prst="rect">
                            <a:avLst/>
                          </a:prstGeom>
                        </pic:spPr>
                      </pic:pic>
                    </a:graphicData>
                  </a:graphic>
                </wp:inline>
              </w:drawing>
            </w:r>
          </w:p>
          <w:p>
            <w:pPr>
              <w:bidi/>
              <w:spacing w:after="80" w:before="60"/>
              <w:jc w:val="center"/>
            </w:pPr>
            <w:r>
              <w:rPr>
                <w:rFonts w:ascii="Arial" w:cs="Arial" w:eastAsia="Arial" w:hAnsi="Arial"/>
                <w:b w:val="false"/>
                <w:bCs w:val="false"/>
                <w:color w:val="FFFFFF"/>
                <w:sz w:val="28"/>
                <w:szCs w:val="28"/>
                <w:rtl/>
              </w:rPr>
              <w:t xml:space="preserve">الوحدة 4</w:t>
            </w:r>
          </w:p>
          <w:p>
            <w:pPr>
              <w:bidi/>
              <w:spacing w:after="200" w:before="60"/>
              <w:jc w:val="center"/>
            </w:pPr>
            <w:r>
              <w:rPr>
                <w:rFonts w:ascii="Arial" w:cs="Arial" w:eastAsia="Arial" w:hAnsi="Arial"/>
                <w:b/>
                <w:bCs/>
                <w:color w:val="FFFFFF"/>
                <w:sz w:val="40"/>
                <w:szCs w:val="40"/>
                <w:rtl/>
              </w:rPr>
              <w:t xml:space="preserve">الذكاء الاصطناعي والتقنيات الناشئة في التعليم</w:t>
            </w:r>
          </w:p>
          <w:p>
            <w:pPr>
              <w:bidi/>
              <w:spacing w:after="60" w:before="60"/>
              <w:jc w:val="center"/>
            </w:pPr>
            <w:r>
              <w:rPr>
                <w:rFonts w:ascii="Arial" w:cs="Arial" w:eastAsia="Arial" w:hAnsi="Arial"/>
                <w:b w:val="false"/>
                <w:bCs w:val="false"/>
                <w:color w:val="FFFFFF"/>
                <w:sz w:val="24"/>
                <w:szCs w:val="24"/>
                <w:rtl/>
              </w:rPr>
              <w:t xml:space="preserve">10 شرائح تدريبية</w:t>
            </w:r>
          </w:p>
        </w:tc>
      </w:tr>
    </w:tbl>
    <w:p>
      <w:r>
        <w:br w:type="page"/>
      </w:r>
    </w:p>
    <w:p>
      <w:pPr>
        <w:sectPr>
          <w:headerReference w:type="default" r:id="rId77"/>
          <w:footerReference w:type="default" r:id="rId78"/>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31</w:t>
            </w:r>
          </w:p>
        </w:tc>
        <w:tc>
          <w:tcPr>
            <w:tcW w:type="dxa" w:w="76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الذكاء الاصطناعي: شريك تعليمي</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تحول الذكاء الاصطناعي إلى شريك فعلي في تصميم وتنفيذ وتقويم العملية التعليمية.</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الفكرة</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تخصيص التعلم، تحليل الأداء، بناء المحتوى، التغذية الراجعة، دعم القرار.</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مساهماته</w:t>
            </w:r>
          </w:p>
        </w:tc>
      </w:tr>
    </w:tbl>
    <w:p>
      <w:r>
        <w:br w:type="page"/>
      </w:r>
    </w:p>
    <w:p>
      <w:pPr>
        <w:sectPr>
          <w:headerReference w:type="default" r:id="rId79"/>
          <w:footerReference w:type="default" r:id="rId80"/>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32</w:t>
            </w:r>
          </w:p>
        </w:tc>
        <w:tc>
          <w:tcPr>
            <w:tcW w:type="dxa" w:w="76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الذكاء الاصطناعي التوليدي Generative AI</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ينشئ نصوصاً وصوراً وفيديو وصوتاً وعروضاً تقديمية.</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المفهوم</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ChatGPT، Gemini، Claude، Copilot.</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أمثلة</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الانتقال من استهلاك المعرفة إلى إنتاجها.</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الأثر</w:t>
            </w:r>
          </w:p>
        </w:tc>
      </w:tr>
    </w:tbl>
    <w:p>
      <w:r>
        <w:br w:type="page"/>
      </w:r>
    </w:p>
    <w:p>
      <w:pPr>
        <w:sectPr>
          <w:headerReference w:type="default" r:id="rId81"/>
          <w:footerReference w:type="default" r:id="rId82"/>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33</w:t>
            </w:r>
          </w:p>
        </w:tc>
        <w:tc>
          <w:tcPr>
            <w:tcW w:type="dxa" w:w="76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ChatGPT في البيئة التعليمية</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إعداد الدروس والاختبارات والأنشطة.</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للمعلم</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الشرح والتلخيص والمراجعة.</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للطالب</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التقارير وتحليل البيانات والتخطيط.</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للقائد</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زيادة الكفاءة وتقليل الوقت في الأعمال الروتينية.</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القيمة</w:t>
            </w:r>
          </w:p>
        </w:tc>
      </w:tr>
    </w:tbl>
    <w:p>
      <w:r>
        <w:br w:type="page"/>
      </w:r>
    </w:p>
    <w:p>
      <w:pPr>
        <w:sectPr>
          <w:headerReference w:type="default" r:id="rId83"/>
          <w:footerReference w:type="default" r:id="rId84"/>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34</w:t>
            </w:r>
          </w:p>
        </w:tc>
        <w:tc>
          <w:tcPr>
            <w:tcW w:type="dxa" w:w="76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Gemini وتحليل المحتوى التعليمي</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تحليل PDF والصور التعليمية والبيانات والبحث الذكي.</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القوة</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رفع ملف نتائج مدرسة كاملة وتحليل نسب النجاح والمواد الحرجة.</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مثال</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قرارات أكثر دقة مبنية على البيانات.</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النتيجة</w:t>
            </w:r>
          </w:p>
        </w:tc>
      </w:tr>
    </w:tbl>
    <w:p>
      <w:r>
        <w:br w:type="page"/>
      </w:r>
    </w:p>
    <w:p>
      <w:pPr>
        <w:sectPr>
          <w:headerReference w:type="default" r:id="rId85"/>
          <w:footerReference w:type="default" r:id="rId86"/>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35</w:t>
            </w:r>
          </w:p>
        </w:tc>
        <w:tc>
          <w:tcPr>
            <w:tcW w:type="dxa" w:w="76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Microsoft Copilot في التعليم</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إنشاء عروض PowerPoint، تحليل Excel، التقارير، تلخيص الاجتماعات.</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الاستخدامات</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تقرير 20 صفحة تحويله لعرض احترافي خلال دقائق.</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مثال</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رفع الإنتاجية دون زيادة الجهد.</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الرسالة</w:t>
            </w:r>
          </w:p>
        </w:tc>
      </w:tr>
    </w:tbl>
    <w:p>
      <w:r>
        <w:br w:type="page"/>
      </w:r>
    </w:p>
    <w:p>
      <w:pPr>
        <w:sectPr>
          <w:headerReference w:type="default" r:id="rId87"/>
          <w:footerReference w:type="default" r:id="rId88"/>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36</w:t>
            </w:r>
          </w:p>
        </w:tc>
        <w:tc>
          <w:tcPr>
            <w:tcW w:type="dxa" w:w="76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الواقع المعزز Augmented Reality</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إضافة عناصر رقمية إلى العالم الحقيقي.</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المفهوم</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أعضاء الجسم، المجسمات الهندسية، الكواكب.</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أمثلة</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زيادة التفاعل وتحسين الفهم ورفع الدافعية.</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الفوائد</w:t>
            </w:r>
          </w:p>
        </w:tc>
      </w:tr>
    </w:tbl>
    <w:p>
      <w:r>
        <w:br w:type="page"/>
      </w:r>
    </w:p>
    <w:p>
      <w:pPr>
        <w:sectPr>
          <w:headerReference w:type="default" r:id="rId89"/>
          <w:footerReference w:type="default" r:id="rId90"/>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37</w:t>
            </w:r>
          </w:p>
        </w:tc>
        <w:tc>
          <w:tcPr>
            <w:tcW w:type="dxa" w:w="76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الواقع الافتراضي Virtual Reality</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بيئة رقمية كاملة يعيش داخلها المتعلم.</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المفهوم</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مختبرات افتراضية، رحلات تعليمية، تدريب مهني.</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تطبيقات</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زيارة افتراضية للأهرامات أو المحطة الفضائية.</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مثال</w:t>
            </w:r>
          </w:p>
        </w:tc>
      </w:tr>
    </w:tbl>
    <w:p>
      <w:r>
        <w:br w:type="page"/>
      </w:r>
    </w:p>
    <w:p>
      <w:pPr>
        <w:sectPr>
          <w:headerReference w:type="default" r:id="rId91"/>
          <w:footerReference w:type="default" r:id="rId92"/>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38</w:t>
            </w:r>
          </w:p>
        </w:tc>
        <w:tc>
          <w:tcPr>
            <w:tcW w:type="dxa" w:w="76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الواقع الممتد Extended Reality XR</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الواقع المعزز AR + الافتراضي VR + المختلط MR.</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يجمع</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التدريب الطبي، التعليم الهندسي، المحاكاة المهنية.</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الاستخدامات</w:t>
            </w:r>
          </w:p>
        </w:tc>
      </w:tr>
    </w:tbl>
    <w:p>
      <w:r>
        <w:br w:type="page"/>
      </w:r>
    </w:p>
    <w:p>
      <w:pPr>
        <w:sectPr>
          <w:headerReference w:type="default" r:id="rId93"/>
          <w:footerReference w:type="default" r:id="rId94"/>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39</w:t>
            </w:r>
          </w:p>
        </w:tc>
        <w:tc>
          <w:tcPr>
            <w:tcW w:type="dxa" w:w="76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التوأم الرقمي Digital Twin</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نسخة رقمية مطابقة لبيئة أو نظام حقيقي.</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المفهوم</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محاكاة المدارس والمختبرات والعمليات التعليمية.</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تطبيقات</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اختبار الحلول قبل تطبيقها على أرض الواقع.</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الفائدة</w:t>
            </w:r>
          </w:p>
        </w:tc>
      </w:tr>
    </w:tbl>
    <w:p>
      <w:r>
        <w:br w:type="page"/>
      </w:r>
    </w:p>
    <w:p>
      <w:pPr>
        <w:sectPr>
          <w:headerReference w:type="default" r:id="rId95"/>
          <w:footerReference w:type="default" r:id="rId96"/>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40</w:t>
            </w:r>
          </w:p>
        </w:tc>
        <w:tc>
          <w:tcPr>
            <w:tcW w:type="dxa" w:w="76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مستقبل التعليم خلال 5 سنوات</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ذكاء اصطناعي، تعلم شخصي، واقع ممتد، تحليل بيانات أعمق، مساعد رقمي لكل معلم.</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الاتجاهات</w:t>
            </w:r>
          </w:p>
        </w:tc>
      </w:tr>
      <w:tr>
        <w:tc>
          <w:tcPr>
            <w:tcW w:type="dxa" w:w="6800"/>
            <w:tcBorders>
              <w:top w:val="none" w:color="FFFFFF" w:sz="0"/>
              <w:left w:val="none" w:color="FFFFFF" w:sz="0"/>
              <w:bottom w:val="none" w:color="FFFFFF" w:sz="0"/>
              <w:right w:val="none" w:color="FFFFFF" w:sz="0"/>
            </w:tcBorders>
            <w:shd w:fill="E8D5F5"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كيف تستعد مدرستك لهذا المستقبل؟</w:t>
            </w:r>
          </w:p>
        </w:tc>
        <w:tc>
          <w:tcPr>
            <w:tcW w:type="dxa" w:w="2200"/>
            <w:tcBorders>
              <w:top w:val="none" w:color="FFFFFF" w:sz="0"/>
              <w:left w:val="none" w:color="FFFFFF" w:sz="0"/>
              <w:bottom w:val="none" w:color="FFFFFF" w:sz="0"/>
              <w:right w:val="none" w:color="FFFFFF" w:sz="0"/>
            </w:tcBorders>
            <w:shd w:fill="4A1B8C"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سؤال</w:t>
            </w:r>
          </w:p>
        </w:tc>
      </w:tr>
    </w:tbl>
    <w:p>
      <w:r>
        <w:br w:type="page"/>
      </w:r>
    </w:p>
    <w:p>
      <w:pPr>
        <w:sectPr>
          <w:headerReference w:type="default" r:id="rId97"/>
          <w:footerReference w:type="default" r:id="rId98"/>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fill="1A5276" w:val="solid"/>
            <w:tcMar>
              <w:top w:type="dxa" w:w="600"/>
              <w:left w:type="dxa" w:w="200"/>
              <w:bottom w:type="dxa" w:w="400"/>
              <w:right w:type="dxa" w:w="200"/>
            </w:tcMar>
          </w:tcPr>
          <w:p>
            <w:pPr>
              <w:bidi/>
              <w:spacing w:after="300"/>
              <w:jc w:val="center"/>
            </w:pPr>
            <w:r>
              <w:drawing>
                <wp:inline distT="0" distB="0" distL="0" distR="0">
                  <wp:extent cx="123825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238250" cy="685800"/>
                          </a:xfrm>
                          <a:prstGeom prst="rect">
                            <a:avLst/>
                          </a:prstGeom>
                        </pic:spPr>
                      </pic:pic>
                    </a:graphicData>
                  </a:graphic>
                </wp:inline>
              </w:drawing>
            </w:r>
          </w:p>
          <w:p>
            <w:pPr>
              <w:bidi/>
              <w:spacing w:after="80" w:before="60"/>
              <w:jc w:val="center"/>
            </w:pPr>
            <w:r>
              <w:rPr>
                <w:rFonts w:ascii="Arial" w:cs="Arial" w:eastAsia="Arial" w:hAnsi="Arial"/>
                <w:b w:val="false"/>
                <w:bCs w:val="false"/>
                <w:color w:val="FFFFFF"/>
                <w:sz w:val="28"/>
                <w:szCs w:val="28"/>
                <w:rtl/>
              </w:rPr>
              <w:t xml:space="preserve">الوحدة 5</w:t>
            </w:r>
          </w:p>
          <w:p>
            <w:pPr>
              <w:bidi/>
              <w:spacing w:after="200" w:before="60"/>
              <w:jc w:val="center"/>
            </w:pPr>
            <w:r>
              <w:rPr>
                <w:rFonts w:ascii="Arial" w:cs="Arial" w:eastAsia="Arial" w:hAnsi="Arial"/>
                <w:b/>
                <w:bCs/>
                <w:color w:val="FFFFFF"/>
                <w:sz w:val="40"/>
                <w:szCs w:val="40"/>
                <w:rtl/>
              </w:rPr>
              <w:t xml:space="preserve">قياس الأثر والكفاءة والإنتاجية في التعليم الإلكتروني</w:t>
            </w:r>
          </w:p>
          <w:p>
            <w:pPr>
              <w:bidi/>
              <w:spacing w:after="60" w:before="60"/>
              <w:jc w:val="center"/>
            </w:pPr>
            <w:r>
              <w:rPr>
                <w:rFonts w:ascii="Arial" w:cs="Arial" w:eastAsia="Arial" w:hAnsi="Arial"/>
                <w:b w:val="false"/>
                <w:bCs w:val="false"/>
                <w:color w:val="FFFFFF"/>
                <w:sz w:val="24"/>
                <w:szCs w:val="24"/>
                <w:rtl/>
              </w:rPr>
              <w:t xml:space="preserve">10 شرائح تدريبية</w:t>
            </w:r>
          </w:p>
        </w:tc>
      </w:tr>
    </w:tbl>
    <w:p>
      <w:r>
        <w:br w:type="page"/>
      </w:r>
    </w:p>
    <w:p>
      <w:pPr>
        <w:sectPr>
          <w:headerReference w:type="default" r:id="rId99"/>
          <w:footerReference w:type="default" r:id="rId100"/>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41</w:t>
            </w:r>
          </w:p>
        </w:tc>
        <w:tc>
          <w:tcPr>
            <w:tcW w:type="dxa" w:w="76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ما المقصود بقياس الأثر؟</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تقييم التغيير الحقيقي الذي أحدثه البرنامج التعليمي في سلوك المتعلم أو أدائه.</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التعريف</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الأثر لا يساوي الرضا. الرضا يقيس شعور المتدرب، والأثر يقيس التغيير الفعلي.</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الفرق</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البرنامج الناجح هو الذي يحدث فرقاً حقيقياً في الأداء.</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الرسالة</w:t>
            </w:r>
          </w:p>
        </w:tc>
      </w:tr>
    </w:tbl>
    <w:p>
      <w:r>
        <w:br w:type="page"/>
      </w:r>
    </w:p>
    <w:p>
      <w:pPr>
        <w:sectPr>
          <w:headerReference w:type="default" r:id="rId101"/>
          <w:footerReference w:type="default" r:id="rId102"/>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42</w:t>
            </w:r>
          </w:p>
        </w:tc>
        <w:tc>
          <w:tcPr>
            <w:tcW w:type="dxa" w:w="76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جودة التعليم الإلكتروني</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وضوح الأهداف، جودة المحتوى، فاعلية التفاعل، دقة التقويم، استمرارية الدعم.</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المعايير</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استبانة رضا المتعلم + تحليل نتائج الاختبارات.</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أداة القياس</w:t>
            </w:r>
          </w:p>
        </w:tc>
      </w:tr>
    </w:tbl>
    <w:p>
      <w:r>
        <w:br w:type="page"/>
      </w:r>
    </w:p>
    <w:p>
      <w:pPr>
        <w:sectPr>
          <w:headerReference w:type="default" r:id="rId103"/>
          <w:footerReference w:type="default" r:id="rId104"/>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43</w:t>
            </w:r>
          </w:p>
        </w:tc>
        <w:tc>
          <w:tcPr>
            <w:tcW w:type="dxa" w:w="76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الكفاءة والفاعلية والإنتاجية</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تحقيق النتائج بأقل موارد ممكنة.</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الكفاءة</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تحقيق الأهداف المطلوبة بشكل كامل.</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الفاعلية</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حجم الإنجاز مقارنة بالجهد المبذول. الذكاء الاصطناعي يرفعها!</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الإنتاجية</w:t>
            </w:r>
          </w:p>
        </w:tc>
      </w:tr>
    </w:tbl>
    <w:p>
      <w:r>
        <w:br w:type="page"/>
      </w:r>
    </w:p>
    <w:p>
      <w:pPr>
        <w:sectPr>
          <w:headerReference w:type="default" r:id="rId105"/>
          <w:footerReference w:type="default" r:id="rId106"/>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44</w:t>
            </w:r>
          </w:p>
        </w:tc>
        <w:tc>
          <w:tcPr>
            <w:tcW w:type="dxa" w:w="76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مؤشرات الأداء KPI</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أدوات كمية لقياس مدى تحقيق الأهداف.</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التعريف</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نسبة النجاح، الحضور، رضا المستفيدين، متوسط التحصيل.</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أمثلة</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ما لا يقاس لا يمكن تطويره.</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قاعدة</w:t>
            </w:r>
          </w:p>
        </w:tc>
      </w:tr>
    </w:tbl>
    <w:p>
      <w:r>
        <w:br w:type="page"/>
      </w:r>
    </w:p>
    <w:p>
      <w:pPr>
        <w:sectPr>
          <w:headerReference w:type="default" r:id="rId107"/>
          <w:footerReference w:type="default" r:id="rId108"/>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45</w:t>
            </w:r>
          </w:p>
        </w:tc>
        <w:tc>
          <w:tcPr>
            <w:tcW w:type="dxa" w:w="76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تحليلات التعلم Learning Analytics</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استخدام البيانات لفهم وتحسين التعلم.</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المفهوم</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حضور، تفاعل، اختبارات، مشاركة، وقت مستغرق.</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البيانات</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اكتشاف المشكلات مبكراً قبل تفاقمها.</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الفائدة</w:t>
            </w:r>
          </w:p>
        </w:tc>
      </w:tr>
    </w:tbl>
    <w:p>
      <w:r>
        <w:br w:type="page"/>
      </w:r>
    </w:p>
    <w:p>
      <w:pPr>
        <w:sectPr>
          <w:headerReference w:type="default" r:id="rId109"/>
          <w:footerReference w:type="default" r:id="rId110"/>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46</w:t>
            </w:r>
          </w:p>
        </w:tc>
        <w:tc>
          <w:tcPr>
            <w:tcW w:type="dxa" w:w="76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نموذج كيرك باتريك Kirkpatrick</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رد الفعل: قياس رضا المتدربين.</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المستوى الأول</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التعلم: مقدار ما تم تعلمه.</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المستوى الثاني</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السلوك: هل تغير سلوك المتدرب؟</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المستوى الثالث</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النتائج: الأثر على المؤسسة.</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المستوى الرابع</w:t>
            </w:r>
          </w:p>
        </w:tc>
      </w:tr>
    </w:tbl>
    <w:p>
      <w:r>
        <w:br w:type="page"/>
      </w:r>
    </w:p>
    <w:p>
      <w:pPr>
        <w:sectPr>
          <w:headerReference w:type="default" r:id="rId111"/>
          <w:footerReference w:type="default" r:id="rId112"/>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47</w:t>
            </w:r>
          </w:p>
        </w:tc>
        <w:tc>
          <w:tcPr>
            <w:tcW w:type="dxa" w:w="76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نموذج فيليبس Phillips ROI</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إضافة مستوى خامس: العائد على الاستثمار ROI.</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التعريف</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هل كانت فوائد البرنامج أكبر من تكلفته؟</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السؤال</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ROI = (العائد - التكلفة) / التكلفة × 100</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المعادلة</w:t>
            </w:r>
          </w:p>
        </w:tc>
      </w:tr>
    </w:tbl>
    <w:p>
      <w:r>
        <w:br w:type="page"/>
      </w:r>
    </w:p>
    <w:p>
      <w:pPr>
        <w:sectPr>
          <w:headerReference w:type="default" r:id="rId113"/>
          <w:footerReference w:type="default" r:id="rId114"/>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48</w:t>
            </w:r>
          </w:p>
        </w:tc>
        <w:tc>
          <w:tcPr>
            <w:tcW w:type="dxa" w:w="76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اتخاذ القرار المبني على البيانات</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يعتمد على الخبرة والانطباعات الشخصية.</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تقليدي</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يعتمد على البيانات والتحليل الموضوعي.</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ذكي</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بدلاً من: أشعر بضعف التحصيل. نقول: انخفض التحصيل 14 بالمئة في الرياضيات.</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مثال</w:t>
            </w:r>
          </w:p>
        </w:tc>
      </w:tr>
    </w:tbl>
    <w:p>
      <w:r>
        <w:br w:type="page"/>
      </w:r>
    </w:p>
    <w:p>
      <w:pPr>
        <w:sectPr>
          <w:headerReference w:type="default" r:id="rId115"/>
          <w:footerReference w:type="default" r:id="rId116"/>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49</w:t>
            </w:r>
          </w:p>
        </w:tc>
        <w:tc>
          <w:tcPr>
            <w:tcW w:type="dxa" w:w="76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مشروع تطبيقي متكامل</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مشكلة ← هدف ← حل ← KPIs ← قياس الأثر ← عرض النتائج.</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المراحل</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رفع تحصيل، تقليل غياب، زيادة تفاعل، تحسين رضا.</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أمثلة</w:t>
            </w:r>
          </w:p>
        </w:tc>
      </w:tr>
    </w:tbl>
    <w:p>
      <w:r>
        <w:br w:type="page"/>
      </w:r>
    </w:p>
    <w:p>
      <w:pPr>
        <w:sectPr>
          <w:headerReference w:type="default" r:id="rId117"/>
          <w:footerReference w:type="default" r:id="rId118"/>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شريحة 50</w:t>
            </w:r>
          </w:p>
        </w:tc>
        <w:tc>
          <w:tcPr>
            <w:tcW w:type="dxa" w:w="76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6"/>
                <w:szCs w:val="26"/>
                <w:rtl/>
              </w:rPr>
              <w:t xml:space="preserve">الخاتمة والتوصيات</w:t>
            </w:r>
          </w:p>
        </w:tc>
      </w:tr>
    </w:tbl>
    <w:p>
      <w:pPr>
        <w:spacing w:after="0" w:before="1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الابتكار ليس التقنية فقط. التصميم الفعال أساس النجاح. الذكاء الاصطناعي شريك تعليمي. البيانات أساس القرار. قياس الأثر للتحسين المستمر.</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أهم الرسائل</w:t>
            </w:r>
          </w:p>
        </w:tc>
      </w:tr>
      <w:tr>
        <w:tc>
          <w:tcPr>
            <w:tcW w:type="dxa" w:w="6800"/>
            <w:tcBorders>
              <w:top w:val="none" w:color="FFFFFF" w:sz="0"/>
              <w:left w:val="none" w:color="FFFFFF" w:sz="0"/>
              <w:bottom w:val="none" w:color="FFFFFF" w:sz="0"/>
              <w:right w:val="none" w:color="FFFFFF" w:sz="0"/>
            </w:tcBorders>
            <w:shd w:fill="C8EDE6" w:val="solid"/>
            <w:tcMar>
              <w:top w:type="dxa" w:w="80"/>
              <w:left w:type="dxa" w:w="120"/>
              <w:bottom w:type="dxa" w:w="80"/>
              <w:right w:type="dxa" w:w="160"/>
            </w:tcMar>
          </w:tcPr>
          <w:p>
            <w:pPr>
              <w:bidi/>
              <w:spacing w:after="60" w:before="60"/>
              <w:jc w:val="right"/>
            </w:pPr>
            <w:r>
              <w:rPr>
                <w:rFonts w:ascii="Arial" w:cs="Arial" w:eastAsia="Arial" w:hAnsi="Arial"/>
                <w:b w:val="false"/>
                <w:bCs w:val="false"/>
                <w:color w:val="1A2B3C"/>
                <w:sz w:val="22"/>
                <w:szCs w:val="22"/>
                <w:rtl/>
              </w:rPr>
              <w:t xml:space="preserve">بناء ثقافة الابتكار، تطوير المعلمين رقمياً، توظيف الذكاء الاصطناعي بمسؤولية.</w:t>
            </w:r>
          </w:p>
        </w:tc>
        <w:tc>
          <w:tcPr>
            <w:tcW w:type="dxa" w:w="2200"/>
            <w:tcBorders>
              <w:top w:val="none" w:color="FFFFFF" w:sz="0"/>
              <w:left w:val="none" w:color="FFFFFF" w:sz="0"/>
              <w:bottom w:val="none" w:color="FFFFFF" w:sz="0"/>
              <w:right w:val="none" w:color="FFFFFF" w:sz="0"/>
            </w:tcBorders>
            <w:shd w:fill="1A5276"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0"/>
                <w:szCs w:val="20"/>
                <w:rtl/>
              </w:rPr>
              <w:t xml:space="preserve">التوصيات</w:t>
            </w:r>
          </w:p>
        </w:tc>
      </w:tr>
    </w:tbl>
    <w:p>
      <w:r>
        <w:br w:type="page"/>
      </w:r>
    </w:p>
    <w:p>
      <w:pPr>
        <w:sectPr>
          <w:headerReference w:type="default" r:id="rId119"/>
          <w:footerReference w:type="default" r:id="rId120"/>
          <w:pgSz w:w="11906" w:h="16838" w:orient="portrait"/>
          <w:pgMar w:top="1440" w:right="1440" w:bottom="1440" w:left="1440" w:header="708" w:footer="708" w:gutter="0"/>
          <w:pgNumType/>
          <w:docGrid w:linePitch="360"/>
        </w:sectPr>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fill="1A2B3C" w:val="solid"/>
            <w:tcMar>
              <w:top w:type="dxa" w:w="400"/>
              <w:left w:type="dxa" w:w="200"/>
              <w:bottom w:type="dxa" w:w="300"/>
              <w:right w:type="dxa" w:w="200"/>
            </w:tcMar>
          </w:tcPr>
          <w:p>
            <w:pPr>
              <w:bidi/>
              <w:spacing w:after="200"/>
              <w:jc w:val="center"/>
            </w:pPr>
            <w:r>
              <w:drawing>
                <wp:inline distT="0" distB="0" distL="0" distR="0">
                  <wp:extent cx="1333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333500" cy="733425"/>
                          </a:xfrm>
                          <a:prstGeom prst="rect">
                            <a:avLst/>
                          </a:prstGeom>
                        </pic:spPr>
                      </pic:pic>
                    </a:graphicData>
                  </a:graphic>
                </wp:inline>
              </w:drawing>
            </w:r>
          </w:p>
          <w:p>
            <w:pPr>
              <w:bidi/>
              <w:spacing w:after="200" w:before="60"/>
              <w:jc w:val="center"/>
            </w:pPr>
            <w:r>
              <w:rPr>
                <w:rFonts w:ascii="Arial" w:cs="Arial" w:eastAsia="Arial" w:hAnsi="Arial"/>
                <w:b/>
                <w:bCs/>
                <w:color w:val="FFFFFF"/>
                <w:sz w:val="40"/>
                <w:szCs w:val="40"/>
                <w:rtl/>
              </w:rPr>
              <w:t xml:space="preserve">أهم رسائل الدورة</w:t>
            </w:r>
          </w:p>
          <w:tbl>
            <w:tblPr>
              <w:tblW w:type="dxa" w:w="8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200"/>
                  <w:tcBorders>
                    <w:top w:val="none" w:color="FFFFFF" w:sz="0"/>
                    <w:left w:val="none" w:color="FFFFFF" w:sz="0"/>
                    <w:bottom w:val="none" w:color="FFFFFF" w:sz="0"/>
                    <w:right w:val="single" w:color="C0392B" w:sz="12"/>
                  </w:tcBorders>
                  <w:shd w:fill="1A3A5C" w:val="solid"/>
                  <w:tcMar>
                    <w:top w:type="dxa" w:w="80"/>
                    <w:left w:type="dxa" w:w="80"/>
                    <w:bottom w:type="dxa" w:w="80"/>
                    <w:right w:type="dxa" w:w="120"/>
                  </w:tcMar>
                </w:tcPr>
                <w:p>
                  <w:pPr>
                    <w:bidi/>
                    <w:spacing w:after="60" w:before="60"/>
                    <w:jc w:val="right"/>
                  </w:pPr>
                  <w:r>
                    <w:rPr>
                      <w:rFonts w:ascii="Arial" w:cs="Arial" w:eastAsia="Arial" w:hAnsi="Arial"/>
                      <w:b w:val="false"/>
                      <w:bCs w:val="false"/>
                      <w:color w:val="FFFFFF"/>
                      <w:sz w:val="22"/>
                      <w:szCs w:val="22"/>
                      <w:rtl/>
                    </w:rPr>
                    <w:t xml:space="preserve">الابتكار ليس استخدام التقنية فقط</w:t>
                  </w:r>
                </w:p>
              </w:tc>
              <w:tc>
                <w:tcPr>
                  <w:tcW w:type="dxa" w:w="800"/>
                  <w:tcBorders>
                    <w:top w:val="none" w:color="FFFFFF" w:sz="0"/>
                    <w:left w:val="none" w:color="FFFFFF" w:sz="0"/>
                    <w:bottom w:val="none" w:color="FFFFFF" w:sz="0"/>
                    <w:right w:val="none" w:color="FFFFFF" w:sz="0"/>
                  </w:tcBorders>
                  <w:shd w:fill="C0392B"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8"/>
                      <w:szCs w:val="28"/>
                      <w:rtl/>
                    </w:rPr>
                    <w:t xml:space="preserve">✓</w:t>
                  </w:r>
                </w:p>
              </w:tc>
            </w:tr>
          </w:tbl>
          <w:tbl>
            <w:tblPr>
              <w:tblW w:type="dxa" w:w="8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200"/>
                  <w:tcBorders>
                    <w:top w:val="none" w:color="FFFFFF" w:sz="0"/>
                    <w:left w:val="none" w:color="FFFFFF" w:sz="0"/>
                    <w:bottom w:val="none" w:color="FFFFFF" w:sz="0"/>
                    <w:right w:val="single" w:color="C0392B" w:sz="12"/>
                  </w:tcBorders>
                  <w:shd w:fill="1A3A5C" w:val="solid"/>
                  <w:tcMar>
                    <w:top w:type="dxa" w:w="80"/>
                    <w:left w:type="dxa" w:w="80"/>
                    <w:bottom w:type="dxa" w:w="80"/>
                    <w:right w:type="dxa" w:w="120"/>
                  </w:tcMar>
                </w:tcPr>
                <w:p>
                  <w:pPr>
                    <w:bidi/>
                    <w:spacing w:after="60" w:before="60"/>
                    <w:jc w:val="right"/>
                  </w:pPr>
                  <w:r>
                    <w:rPr>
                      <w:rFonts w:ascii="Arial" w:cs="Arial" w:eastAsia="Arial" w:hAnsi="Arial"/>
                      <w:b w:val="false"/>
                      <w:bCs w:val="false"/>
                      <w:color w:val="FFFFFF"/>
                      <w:sz w:val="22"/>
                      <w:szCs w:val="22"/>
                      <w:rtl/>
                    </w:rPr>
                    <w:t xml:space="preserve">التعليم الإلكتروني الناجح يعتمد على التصميم الفعال</w:t>
                  </w:r>
                </w:p>
              </w:tc>
              <w:tc>
                <w:tcPr>
                  <w:tcW w:type="dxa" w:w="800"/>
                  <w:tcBorders>
                    <w:top w:val="none" w:color="FFFFFF" w:sz="0"/>
                    <w:left w:val="none" w:color="FFFFFF" w:sz="0"/>
                    <w:bottom w:val="none" w:color="FFFFFF" w:sz="0"/>
                    <w:right w:val="none" w:color="FFFFFF" w:sz="0"/>
                  </w:tcBorders>
                  <w:shd w:fill="C0392B"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8"/>
                      <w:szCs w:val="28"/>
                      <w:rtl/>
                    </w:rPr>
                    <w:t xml:space="preserve">✓</w:t>
                  </w:r>
                </w:p>
              </w:tc>
            </w:tr>
          </w:tbl>
          <w:tbl>
            <w:tblPr>
              <w:tblW w:type="dxa" w:w="8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200"/>
                  <w:tcBorders>
                    <w:top w:val="none" w:color="FFFFFF" w:sz="0"/>
                    <w:left w:val="none" w:color="FFFFFF" w:sz="0"/>
                    <w:bottom w:val="none" w:color="FFFFFF" w:sz="0"/>
                    <w:right w:val="single" w:color="C0392B" w:sz="12"/>
                  </w:tcBorders>
                  <w:shd w:fill="1A3A5C" w:val="solid"/>
                  <w:tcMar>
                    <w:top w:type="dxa" w:w="80"/>
                    <w:left w:type="dxa" w:w="80"/>
                    <w:bottom w:type="dxa" w:w="80"/>
                    <w:right w:type="dxa" w:w="120"/>
                  </w:tcMar>
                </w:tcPr>
                <w:p>
                  <w:pPr>
                    <w:bidi/>
                    <w:spacing w:after="60" w:before="60"/>
                    <w:jc w:val="right"/>
                  </w:pPr>
                  <w:r>
                    <w:rPr>
                      <w:rFonts w:ascii="Arial" w:cs="Arial" w:eastAsia="Arial" w:hAnsi="Arial"/>
                      <w:b w:val="false"/>
                      <w:bCs w:val="false"/>
                      <w:color w:val="FFFFFF"/>
                      <w:sz w:val="22"/>
                      <w:szCs w:val="22"/>
                      <w:rtl/>
                    </w:rPr>
                    <w:t xml:space="preserve">الذكاء الاصطناعي أصبح شريكاً في العملية التعليمية</w:t>
                  </w:r>
                </w:p>
              </w:tc>
              <w:tc>
                <w:tcPr>
                  <w:tcW w:type="dxa" w:w="800"/>
                  <w:tcBorders>
                    <w:top w:val="none" w:color="FFFFFF" w:sz="0"/>
                    <w:left w:val="none" w:color="FFFFFF" w:sz="0"/>
                    <w:bottom w:val="none" w:color="FFFFFF" w:sz="0"/>
                    <w:right w:val="none" w:color="FFFFFF" w:sz="0"/>
                  </w:tcBorders>
                  <w:shd w:fill="C0392B"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8"/>
                      <w:szCs w:val="28"/>
                      <w:rtl/>
                    </w:rPr>
                    <w:t xml:space="preserve">✓</w:t>
                  </w:r>
                </w:p>
              </w:tc>
            </w:tr>
          </w:tbl>
          <w:tbl>
            <w:tblPr>
              <w:tblW w:type="dxa" w:w="8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200"/>
                  <w:tcBorders>
                    <w:top w:val="none" w:color="FFFFFF" w:sz="0"/>
                    <w:left w:val="none" w:color="FFFFFF" w:sz="0"/>
                    <w:bottom w:val="none" w:color="FFFFFF" w:sz="0"/>
                    <w:right w:val="single" w:color="C0392B" w:sz="12"/>
                  </w:tcBorders>
                  <w:shd w:fill="1A3A5C" w:val="solid"/>
                  <w:tcMar>
                    <w:top w:type="dxa" w:w="80"/>
                    <w:left w:type="dxa" w:w="80"/>
                    <w:bottom w:type="dxa" w:w="80"/>
                    <w:right w:type="dxa" w:w="120"/>
                  </w:tcMar>
                </w:tcPr>
                <w:p>
                  <w:pPr>
                    <w:bidi/>
                    <w:spacing w:after="60" w:before="60"/>
                    <w:jc w:val="right"/>
                  </w:pPr>
                  <w:r>
                    <w:rPr>
                      <w:rFonts w:ascii="Arial" w:cs="Arial" w:eastAsia="Arial" w:hAnsi="Arial"/>
                      <w:b w:val="false"/>
                      <w:bCs w:val="false"/>
                      <w:color w:val="FFFFFF"/>
                      <w:sz w:val="22"/>
                      <w:szCs w:val="22"/>
                      <w:rtl/>
                    </w:rPr>
                    <w:t xml:space="preserve">البيانات أساس اتخاذ القرار التعليمي</w:t>
                  </w:r>
                </w:p>
              </w:tc>
              <w:tc>
                <w:tcPr>
                  <w:tcW w:type="dxa" w:w="800"/>
                  <w:tcBorders>
                    <w:top w:val="none" w:color="FFFFFF" w:sz="0"/>
                    <w:left w:val="none" w:color="FFFFFF" w:sz="0"/>
                    <w:bottom w:val="none" w:color="FFFFFF" w:sz="0"/>
                    <w:right w:val="none" w:color="FFFFFF" w:sz="0"/>
                  </w:tcBorders>
                  <w:shd w:fill="C0392B"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8"/>
                      <w:szCs w:val="28"/>
                      <w:rtl/>
                    </w:rPr>
                    <w:t xml:space="preserve">✓</w:t>
                  </w:r>
                </w:p>
              </w:tc>
            </w:tr>
          </w:tbl>
          <w:tbl>
            <w:tblPr>
              <w:tblW w:type="dxa" w:w="8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200"/>
                  <w:tcBorders>
                    <w:top w:val="none" w:color="FFFFFF" w:sz="0"/>
                    <w:left w:val="none" w:color="FFFFFF" w:sz="0"/>
                    <w:bottom w:val="none" w:color="FFFFFF" w:sz="0"/>
                    <w:right w:val="single" w:color="C0392B" w:sz="12"/>
                  </w:tcBorders>
                  <w:shd w:fill="1A3A5C" w:val="solid"/>
                  <w:tcMar>
                    <w:top w:type="dxa" w:w="80"/>
                    <w:left w:type="dxa" w:w="80"/>
                    <w:bottom w:type="dxa" w:w="80"/>
                    <w:right w:type="dxa" w:w="120"/>
                  </w:tcMar>
                </w:tcPr>
                <w:p>
                  <w:pPr>
                    <w:bidi/>
                    <w:spacing w:after="60" w:before="60"/>
                    <w:jc w:val="right"/>
                  </w:pPr>
                  <w:r>
                    <w:rPr>
                      <w:rFonts w:ascii="Arial" w:cs="Arial" w:eastAsia="Arial" w:hAnsi="Arial"/>
                      <w:b w:val="false"/>
                      <w:bCs w:val="false"/>
                      <w:color w:val="FFFFFF"/>
                      <w:sz w:val="22"/>
                      <w:szCs w:val="22"/>
                      <w:rtl/>
                    </w:rPr>
                    <w:t xml:space="preserve">قياس الأثر هو الطريق للتحسين المستمر</w:t>
                  </w:r>
                </w:p>
              </w:tc>
              <w:tc>
                <w:tcPr>
                  <w:tcW w:type="dxa" w:w="800"/>
                  <w:tcBorders>
                    <w:top w:val="none" w:color="FFFFFF" w:sz="0"/>
                    <w:left w:val="none" w:color="FFFFFF" w:sz="0"/>
                    <w:bottom w:val="none" w:color="FFFFFF" w:sz="0"/>
                    <w:right w:val="none" w:color="FFFFFF" w:sz="0"/>
                  </w:tcBorders>
                  <w:shd w:fill="C0392B" w:val="solid"/>
                  <w:tcMar>
                    <w:top w:type="dxa" w:w="80"/>
                    <w:left w:type="dxa" w:w="120"/>
                    <w:bottom w:type="dxa" w:w="80"/>
                    <w:right w:type="dxa" w:w="120"/>
                  </w:tcMar>
                  <w:vAlign w:val="center"/>
                </w:tcPr>
                <w:p>
                  <w:pPr>
                    <w:bidi/>
                    <w:spacing w:after="60" w:before="60"/>
                    <w:jc w:val="center"/>
                  </w:pPr>
                  <w:r>
                    <w:rPr>
                      <w:rFonts w:ascii="Arial" w:cs="Arial" w:eastAsia="Arial" w:hAnsi="Arial"/>
                      <w:b/>
                      <w:bCs/>
                      <w:color w:val="FFFFFF"/>
                      <w:sz w:val="28"/>
                      <w:szCs w:val="28"/>
                      <w:rtl/>
                    </w:rPr>
                    <w:t xml:space="preserve">✓</w:t>
                  </w:r>
                </w:p>
              </w:tc>
            </w:tr>
          </w:tbl>
          <w:p>
            <w:pPr>
              <w:bidi/>
              <w:spacing w:after="60" w:before="200"/>
              <w:jc w:val="center"/>
            </w:pPr>
            <w:r>
              <w:rPr>
                <w:rFonts w:ascii="Arial" w:cs="Arial" w:eastAsia="Arial" w:hAnsi="Arial"/>
                <w:b w:val="false"/>
                <w:bCs w:val="false"/>
                <w:color w:val="BDC3C7"/>
                <w:sz w:val="24"/>
                <w:szCs w:val="24"/>
                <w:rtl/>
              </w:rPr>
              <w:t xml:space="preserve">ابتكار يصنع الأثر… وجيل يقود المستقبل</w:t>
            </w:r>
          </w:p>
        </w:tc>
      </w:tr>
    </w:tbl>
    <w:sectPr>
      <w:headerReference w:type="default" r:id="rId121"/>
      <w:footerReference w:type="default" r:id="rId12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معهد إبهار للتدريب</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1</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التحول نحو التعليم الإلكتروني والابتكار التعليمي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2</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التحول نحو التعليم الإلكتروني والابتكار التعليمي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3</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التحول نحو التعليم الإلكتروني والابتكار التعليمي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4</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التحول نحو التعليم الإلكتروني والابتكار التعليمي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5</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التحول نحو التعليم الإلكتروني والابتكار التعليمي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6</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التحول نحو التعليم الإلكتروني والابتكار التعليمي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7</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التحول نحو التعليم الإلكتروني والابتكار التعليمي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8</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التحول نحو التعليم الإلكتروني والابتكار التعليمي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9</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التحول نحو التعليم الإلكتروني والابتكار التعليمي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10</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التحول نحو التعليم الإلكتروني والابتكار التعليمي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11</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تصميم بيئات التعلم الإلكترونية الفاعلة</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12</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تصميم بيئات التعلم الإلكترونية الفاعلة</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13</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تصميم بيئات التعلم الإلكترونية الفاعلة</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14</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تصميم بيئات التعلم الإلكترونية الفاعلة</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15</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تصميم بيئات التعلم الإلكترونية الفاعلة</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16</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تصميم بيئات التعلم الإلكترونية الفاعلة</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17</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تصميم بيئات التعلم الإلكترونية الفاعلة</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18</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تصميم بيئات التعلم الإلكترونية الفاعلة</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19</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تصميم بيئات التعلم الإلكترونية الفاعلة</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20</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تصميم بيئات التعلم الإلكترونية الفاعلة</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21</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استراتيجيات الابتكار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22</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استراتيجيات الابتكار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23</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استراتيجيات الابتكار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24</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استراتيجيات الابتكار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25</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استراتيجيات الابتكار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26</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استراتيجيات الابتكار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27</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استراتيجيات الابتكار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28</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استراتيجيات الابتكار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29</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استراتيجيات الابتكار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30</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استراتيجيات الابتكار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31</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الذكاء الاصطناعي والتقنيات الناشئة في التعليم</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32</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الذكاء الاصطناعي والتقنيات الناشئة في التعليم</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33</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الذكاء الاصطناعي والتقنيات الناشئة في التعليم</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34</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الذكاء الاصطناعي والتقنيات الناشئة في التعليم</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35</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الذكاء الاصطناعي والتقنيات الناشئة في التعليم</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36</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الذكاء الاصطناعي والتقنيات الناشئة في التعليم</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37</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الذكاء الاصطناعي والتقنيات الناشئة في التعليم</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38</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الذكاء الاصطناعي والتقنيات الناشئة في التعليم</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39</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الذكاء الاصطناعي والتقنيات الناشئة في التعليم</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40</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الذكاء الاصطناعي والتقنيات الناشئة في التعليم</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41</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قياس الأثر والكفاءة والإنتاجية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42</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قياس الأثر والكفاءة والإنتاجية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43</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قياس الأثر والكفاءة والإنتاجية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44</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قياس الأثر والكفاءة والإنتاجية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45</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قياس الأثر والكفاءة والإنتاجية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46</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قياس الأثر والكفاءة والإنتاجية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47</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قياس الأثر والكفاءة والإنتاجية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48</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قياس الأثر والكفاءة والإنتاجية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49</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قياس الأثر والكفاءة والإنتاجية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C0392B" w:sz="4"/>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800"/>
          <w:tcBorders>
            <w:top w:val="none" w:color="FFFFFF" w:sz="0"/>
            <w:left w:val="none" w:color="FFFFFF" w:sz="0"/>
            <w:bottom w:val="none" w:color="FFFFFF" w:sz="0"/>
            <w:right w:val="none" w:color="FFFFFF" w:sz="0"/>
          </w:tcBorders>
          <w:shd w:fill="E0E6ED" w:val="solid"/>
          <w:tcMar>
            <w:top w:type="dxa" w:w="80"/>
            <w:left w:type="dxa" w:w="120"/>
            <w:bottom w:type="dxa" w:w="80"/>
            <w:right w:type="dxa" w:w="120"/>
          </w:tcMar>
          <w:vAlign w:val="center"/>
        </w:tcPr>
        <w:p>
          <w:pPr>
            <w:bidi/>
            <w:spacing w:after="60" w:before="60"/>
            <w:jc w:val="center"/>
          </w:pPr>
          <w:r>
            <w:rPr>
              <w:rFonts w:ascii="Arial" w:cs="Arial" w:eastAsia="Arial" w:hAnsi="Arial"/>
              <w:b w:val="false"/>
              <w:bCs w:val="false"/>
              <w:color w:val="7F8C8D"/>
              <w:sz w:val="18"/>
              <w:szCs w:val="18"/>
              <w:rtl/>
            </w:rPr>
            <w:t xml:space="preserve">50</w:t>
          </w:r>
        </w:p>
      </w:tc>
      <w:tc>
        <w:tcPr>
          <w:tcW w:type="dxa" w:w="7400"/>
          <w:tcBorders>
            <w:top w:val="none" w:color="FFFFFF" w:sz="0"/>
            <w:left w:val="none" w:color="FFFFFF" w:sz="0"/>
            <w:bottom w:val="none" w:color="FFFFFF" w:sz="0"/>
            <w:right w:val="none" w:color="FFFFFF" w:sz="0"/>
          </w:tcBorders>
          <w:shd w:fill="F4F6F8" w:val="solid"/>
          <w:tcMar>
            <w:top w:type="dxa" w:w="60"/>
            <w:left w:type="dxa" w:w="80"/>
            <w:bottom w:type="dxa" w:w="60"/>
            <w:right w:type="dxa" w:w="80"/>
          </w:tcMar>
        </w:tcPr>
        <w:p>
          <w:pPr>
            <w:bidi/>
            <w:spacing w:after="60" w:before="60"/>
            <w:jc w:val="center"/>
          </w:pPr>
          <w:r>
            <w:rPr>
              <w:rFonts w:ascii="Arial" w:cs="Arial" w:eastAsia="Arial" w:hAnsi="Arial"/>
              <w:b w:val="false"/>
              <w:bCs w:val="false"/>
              <w:color w:val="7F8C8D"/>
              <w:sz w:val="18"/>
              <w:szCs w:val="18"/>
              <w:rtl/>
            </w:rPr>
            <w:t xml:space="preserve">الوحدة: قياس الأثر والكفاءة والإنتاجية في التعليم الإلكتروني</w:t>
          </w:r>
        </w:p>
      </w:tc>
      <w:tc>
        <w:tcPr>
          <w:tcW w:type="dxa" w:w="800"/>
          <w:tcBorders>
            <w:top w:val="none" w:color="FFFFFF" w:sz="0"/>
            <w:left w:val="none" w:color="FFFFFF" w:sz="0"/>
            <w:bottom w:val="none" w:color="FFFFFF" w:sz="0"/>
            <w:right w:val="none" w:color="FFFFFF" w:sz="0"/>
          </w:tcBorders>
          <w:shd w:fill="F4F6F8" w:val="solid"/>
          <w:tcMar>
            <w:top w:type="dxa" w:w="40"/>
            <w:left w:type="dxa" w:w="60"/>
            <w:bottom w:type="dxa" w:w="40"/>
            <w:right w:type="dxa" w:w="60"/>
          </w:tcMar>
          <w:vAlign w:val="center"/>
        </w:tcPr>
        <w:p>
          <w:pPr>
            <w:bidi/>
            <w:jc w:val="center"/>
          </w:pPr>
          <w:r>
            <w:drawing>
              <wp:inline distT="0" distB="0" distL="0" distR="0">
                <wp:extent cx="625000" cy="3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5000" cy="343750"/>
                        </a:xfrm>
                        <a:prstGeom prst="rect">
                          <a:avLst/>
                        </a:prstGeom>
                      </pic:spPr>
                    </pic:pic>
                  </a:graphicData>
                </a:graphic>
              </wp:inline>
            </w:drawing>
          </w:r>
        </w:p>
      </w:tc>
    </w:tr>
  </w:tbl>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single" w:color="C0392B" w:sz="4"/>
        <w:right w:val="none" w:color="FFFFFF" w:sz="0"/>
        <w:insideH w:val="single" w:color="auto" w:sz="4"/>
        <w:insideV w:val="single" w:color="auto" w:sz="4"/>
      </w:tblBorders>
    </w:tblPr>
    <w:tblGrid>
      <w:gridCol w:w="100"/>
      <w:gridCol w:w="100"/>
    </w:tblGrid>
    <w:tr>
      <w:tc>
        <w:tcPr>
          <w:tcW w:type="dxa" w:w="7000"/>
          <w:tcBorders>
            <w:top w:val="none" w:color="FFFFFF" w:sz="0"/>
            <w:left w:val="none" w:color="FFFFFF" w:sz="0"/>
            <w:bottom w:val="none" w:color="FFFFFF" w:sz="0"/>
            <w:right w:val="none" w:color="FFFFFF" w:sz="0"/>
          </w:tcBorders>
          <w:shd w:fill="1A2B3C" w:val="solid"/>
          <w:tcMar>
            <w:top w:type="dxa" w:w="60"/>
            <w:left w:type="dxa" w:w="120"/>
            <w:bottom w:type="dxa" w:w="60"/>
            <w:right w:type="dxa" w:w="120"/>
          </w:tcMar>
        </w:tcPr>
        <w:p>
          <w:pPr>
            <w:bidi/>
            <w:spacing w:after="60" w:before="60"/>
            <w:jc w:val="right"/>
          </w:pPr>
          <w:r>
            <w:rPr>
              <w:rFonts w:ascii="Arial" w:cs="Arial" w:eastAsia="Arial" w:hAnsi="Arial"/>
              <w:b/>
              <w:bCs/>
              <w:color w:val="FFFFFF"/>
              <w:sz w:val="20"/>
              <w:szCs w:val="20"/>
              <w:rtl/>
            </w:rPr>
            <w:t xml:space="preserve">دورة الابتكار في التعليم الإلكتروني | معهد إبهار للتدريب</w:t>
          </w:r>
        </w:p>
      </w:tc>
      <w:tc>
        <w:tcPr>
          <w:tcW w:type="dxa" w:w="2000"/>
          <w:tcBorders>
            <w:top w:val="none" w:color="FFFFFF" w:sz="0"/>
            <w:left w:val="none" w:color="FFFFFF" w:sz="0"/>
            <w:bottom w:val="none" w:color="FFFFFF" w:sz="0"/>
            <w:right w:val="none" w:color="FFFFFF" w:sz="0"/>
          </w:tcBorders>
          <w:shd w:fill="1A2B3C" w:val="solid"/>
          <w:tcMar>
            <w:top w:type="dxa" w:w="40"/>
            <w:left w:type="dxa" w:w="60"/>
            <w:bottom w:type="dxa" w:w="40"/>
            <w:right w:type="dxa" w:w="60"/>
          </w:tcMar>
          <w:vAlign w:val="center"/>
        </w:tcPr>
        <w:p>
          <w:pPr>
            <w:bidi/>
            <w:jc w:val="center"/>
          </w:pPr>
          <w:r>
            <w:drawing>
              <wp:inline distT="0" distB="0" distL="0" distR="0">
                <wp:extent cx="937500" cy="5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7500" cy="515625"/>
                        </a:xfrm>
                        <a:prstGeom prst="rect">
                          <a:avLst/>
                        </a:prstGeom>
                      </pic:spPr>
                    </pic:pic>
                  </a:graphicData>
                </a:graphic>
              </wp:inline>
            </w:drawing>
          </w:r>
        </w:p>
      </w:tc>
    </w:tr>
  </w:tbl>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footer" Target="footer34.xml"/><Relationship Id="rId75" Type="http://schemas.openxmlformats.org/officeDocument/2006/relationships/header" Target="header35.xml"/><Relationship Id="rId76" Type="http://schemas.openxmlformats.org/officeDocument/2006/relationships/footer" Target="footer35.xml"/><Relationship Id="rId77" Type="http://schemas.openxmlformats.org/officeDocument/2006/relationships/header" Target="header36.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footer" Target="footer37.xml"/><Relationship Id="rId81" Type="http://schemas.openxmlformats.org/officeDocument/2006/relationships/header" Target="header38.xml"/><Relationship Id="rId82" Type="http://schemas.openxmlformats.org/officeDocument/2006/relationships/footer" Target="footer38.xml"/><Relationship Id="rId83" Type="http://schemas.openxmlformats.org/officeDocument/2006/relationships/header" Target="header39.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footer" Target="footer40.xml"/><Relationship Id="rId87" Type="http://schemas.openxmlformats.org/officeDocument/2006/relationships/header" Target="header41.xml"/><Relationship Id="rId88" Type="http://schemas.openxmlformats.org/officeDocument/2006/relationships/footer" Target="footer41.xml"/><Relationship Id="rId89" Type="http://schemas.openxmlformats.org/officeDocument/2006/relationships/header" Target="header42.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footer" Target="footer43.xml"/><Relationship Id="rId93" Type="http://schemas.openxmlformats.org/officeDocument/2006/relationships/header" Target="header44.xml"/><Relationship Id="rId94" Type="http://schemas.openxmlformats.org/officeDocument/2006/relationships/footer" Target="footer44.xml"/><Relationship Id="rId95" Type="http://schemas.openxmlformats.org/officeDocument/2006/relationships/header" Target="header45.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footer" Target="footer46.xml"/><Relationship Id="rId99" Type="http://schemas.openxmlformats.org/officeDocument/2006/relationships/header" Target="header47.xml"/><Relationship Id="rId100" Type="http://schemas.openxmlformats.org/officeDocument/2006/relationships/footer" Target="footer47.xml"/><Relationship Id="rId101" Type="http://schemas.openxmlformats.org/officeDocument/2006/relationships/header" Target="header48.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footer" Target="footer49.xml"/><Relationship Id="rId105" Type="http://schemas.openxmlformats.org/officeDocument/2006/relationships/header" Target="header50.xml"/><Relationship Id="rId106" Type="http://schemas.openxmlformats.org/officeDocument/2006/relationships/footer" Target="footer50.xml"/><Relationship Id="rId107" Type="http://schemas.openxmlformats.org/officeDocument/2006/relationships/header" Target="header51.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footer" Target="footer52.xml"/><Relationship Id="rId111" Type="http://schemas.openxmlformats.org/officeDocument/2006/relationships/header" Target="header53.xml"/><Relationship Id="rId112" Type="http://schemas.openxmlformats.org/officeDocument/2006/relationships/footer" Target="footer53.xml"/><Relationship Id="rId113" Type="http://schemas.openxmlformats.org/officeDocument/2006/relationships/header" Target="header54.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footer" Target="footer55.xml"/><Relationship Id="rId117" Type="http://schemas.openxmlformats.org/officeDocument/2006/relationships/header" Target="header56.xml"/><Relationship Id="rId118" Type="http://schemas.openxmlformats.org/officeDocument/2006/relationships/footer" Target="footer56.xml"/><Relationship Id="rId119" Type="http://schemas.openxmlformats.org/officeDocument/2006/relationships/header" Target="header57.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footer" Target="footer58.xml"/><Relationship Id="rId123" Type="http://schemas.openxmlformats.org/officeDocument/2006/relationships/image" Target="media/6dcf7271e1e52dd1166c0bad6b5284980070f63f.undefined"/><Relationship Id="rId1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5.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6.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7.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8.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9.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10.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11.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12.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13.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16.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17.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18.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19.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20.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21.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22.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23.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24.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27.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28.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29.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30.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31.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32.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33.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34.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35.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38.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39.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40.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41.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42.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43.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44.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45.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46.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49.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50.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51.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52.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53.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54.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55.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56.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57.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footer5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5.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6.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7.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8.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9.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10.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11.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12.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13.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16.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17.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18.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19.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20.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21.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22.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23.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24.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27.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28.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29.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30.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31.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32.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33.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34.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35.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38.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39.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40.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41.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42.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43.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44.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45.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46.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49.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50.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51.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52.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53.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54.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55.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56.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57.xml.rels><?xml version="1.0" encoding="UTF-8"?><Relationships xmlns="http://schemas.openxmlformats.org/package/2006/relationships"><Relationship Id="rId0" Type="http://schemas.openxmlformats.org/officeDocument/2006/relationships/image" Target="media/6dcf7271e1e52dd1166c0bad6b5284980070f63f.undefined"/></Relationships>
</file>

<file path=word/_rels/header5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2026-06-08T14:18:00.006Z</dcterms:created>
  <dcterms:modified xsi:type="dcterms:W3CDTF">2026-06-08T14:18:00.006Z</dcterms:modified>
</cp:coreProperties>
</file>

<file path=docProps/custom.xml><?xml version="1.0" encoding="utf-8"?>
<Properties xmlns="http://schemas.openxmlformats.org/officeDocument/2006/custom-properties" xmlns:vt="http://schemas.openxmlformats.org/officeDocument/2006/docPropsVTypes"/>
</file>