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911C1E" w14:textId="77777777" w:rsidR="001A234B" w:rsidRPr="00BF4711" w:rsidRDefault="001A234B" w:rsidP="0026028D">
      <w:pPr>
        <w:pStyle w:val="yiv8714890903msonormal"/>
        <w:shd w:val="clear" w:color="auto" w:fill="FFFFFF"/>
        <w:spacing w:before="0" w:beforeAutospacing="0" w:after="0" w:afterAutospacing="0"/>
        <w:contextualSpacing/>
        <w:rPr>
          <w:b/>
          <w:bCs/>
          <w:color w:val="1D1D1D"/>
        </w:rPr>
      </w:pPr>
    </w:p>
    <w:p w14:paraId="1EF29801" w14:textId="428FA535" w:rsidR="00C9475C" w:rsidRDefault="00F974CB" w:rsidP="00C9475C">
      <w:pPr>
        <w:pStyle w:val="Heading1"/>
        <w:shd w:val="clear" w:color="auto" w:fill="FFFFFF"/>
        <w:spacing w:before="261" w:after="174"/>
        <w:rPr>
          <w:rFonts w:ascii="Segoe UI" w:hAnsi="Segoe UI" w:cs="Segoe UI"/>
          <w:sz w:val="44"/>
          <w:szCs w:val="44"/>
        </w:rPr>
      </w:pPr>
      <w:r w:rsidRPr="00BF4711">
        <w:rPr>
          <w:b/>
          <w:bCs/>
          <w:color w:val="1D1D1D"/>
        </w:rPr>
        <w:t>Title:</w:t>
      </w:r>
      <w:r w:rsidR="001A234B" w:rsidRPr="00BF4711">
        <w:rPr>
          <w:b/>
          <w:bCs/>
          <w:color w:val="1D1D1D"/>
        </w:rPr>
        <w:t xml:space="preserve"> </w:t>
      </w:r>
      <w:r w:rsidR="00C9475C" w:rsidRPr="00C9475C">
        <w:rPr>
          <w:rFonts w:ascii="Times New Roman" w:eastAsiaTheme="minorHAnsi" w:hAnsi="Times New Roman" w:cs="Times New Roman"/>
          <w:color w:val="auto"/>
          <w:sz w:val="24"/>
          <w:szCs w:val="24"/>
        </w:rPr>
        <w:t>Dynamics of the Hair Follicle: An SIR-Based Analysis of Biochemical Activation and Hormonal Inhibition</w:t>
      </w:r>
      <w:r w:rsidR="00C9475C">
        <w:rPr>
          <w:rFonts w:ascii="Times New Roman" w:eastAsiaTheme="minorHAnsi" w:hAnsi="Times New Roman" w:cs="Times New Roman"/>
          <w:color w:val="auto"/>
          <w:sz w:val="24"/>
          <w:szCs w:val="24"/>
        </w:rPr>
        <w:t>.</w:t>
      </w:r>
    </w:p>
    <w:p w14:paraId="3616224A" w14:textId="00DC4FEB" w:rsidR="008376BF" w:rsidRPr="00BF4711" w:rsidRDefault="008376BF" w:rsidP="0026028D">
      <w:pPr>
        <w:pStyle w:val="yiv8714890903msonormal"/>
        <w:shd w:val="clear" w:color="auto" w:fill="FFFFFF"/>
        <w:spacing w:before="0" w:beforeAutospacing="0" w:after="0" w:afterAutospacing="0"/>
        <w:contextualSpacing/>
        <w:rPr>
          <w:color w:val="1D1D1D"/>
        </w:rPr>
      </w:pPr>
    </w:p>
    <w:p w14:paraId="07C30B76" w14:textId="77777777" w:rsidR="00423836" w:rsidRDefault="00423836" w:rsidP="0026028D">
      <w:pPr>
        <w:pStyle w:val="yiv8714890903msonormal"/>
        <w:shd w:val="clear" w:color="auto" w:fill="FFFFFF"/>
        <w:spacing w:before="0" w:beforeAutospacing="0" w:after="0" w:afterAutospacing="0"/>
        <w:contextualSpacing/>
        <w:rPr>
          <w:rFonts w:eastAsiaTheme="minorHAnsi"/>
        </w:rPr>
      </w:pPr>
    </w:p>
    <w:p w14:paraId="4818F3C8" w14:textId="77777777" w:rsidR="00115B70" w:rsidRPr="00BF4711" w:rsidRDefault="00115B70" w:rsidP="0026028D">
      <w:pPr>
        <w:pStyle w:val="yiv8714890903msonormal"/>
        <w:shd w:val="clear" w:color="auto" w:fill="FFFFFF"/>
        <w:spacing w:before="0" w:beforeAutospacing="0" w:after="0" w:afterAutospacing="0"/>
        <w:contextualSpacing/>
        <w:rPr>
          <w:rFonts w:eastAsiaTheme="minorHAnsi"/>
        </w:rPr>
      </w:pPr>
    </w:p>
    <w:p w14:paraId="1FB97AB1" w14:textId="152DD522" w:rsidR="00486339" w:rsidRPr="00BF4711" w:rsidRDefault="00E16788" w:rsidP="0026028D">
      <w:pPr>
        <w:pStyle w:val="yiv8714890903msonormal"/>
        <w:shd w:val="clear" w:color="auto" w:fill="FFFFFF"/>
        <w:spacing w:before="0" w:beforeAutospacing="0" w:after="0" w:afterAutospacing="0"/>
        <w:contextualSpacing/>
        <w:rPr>
          <w:color w:val="1D1D1D"/>
        </w:rPr>
      </w:pPr>
      <w:r w:rsidRPr="00BF4711">
        <w:rPr>
          <w:b/>
          <w:bCs/>
          <w:color w:val="1D1D1D"/>
        </w:rPr>
        <w:t>Contributors:</w:t>
      </w:r>
    </w:p>
    <w:p w14:paraId="75BDC14C" w14:textId="77777777" w:rsidR="00AB34AC" w:rsidRPr="00BF4711" w:rsidRDefault="00AB34AC" w:rsidP="0026028D">
      <w:pPr>
        <w:pStyle w:val="yiv8714890903msonormal"/>
        <w:shd w:val="clear" w:color="auto" w:fill="FFFFFF"/>
        <w:spacing w:before="0" w:beforeAutospacing="0" w:after="0" w:afterAutospacing="0"/>
        <w:contextualSpacing/>
        <w:rPr>
          <w:color w:val="1D1D1D"/>
        </w:rPr>
      </w:pPr>
    </w:p>
    <w:p w14:paraId="6E31C461" w14:textId="1A56245D" w:rsidR="00486339" w:rsidRPr="00BF4711" w:rsidRDefault="00DB45F6" w:rsidP="0026028D">
      <w:pPr>
        <w:pStyle w:val="yiv8714890903msonormal"/>
        <w:shd w:val="clear" w:color="auto" w:fill="FFFFFF"/>
        <w:spacing w:before="0" w:beforeAutospacing="0" w:after="0" w:afterAutospacing="0"/>
        <w:contextualSpacing/>
        <w:rPr>
          <w:color w:val="1D1D1D"/>
        </w:rPr>
      </w:pPr>
      <w:r w:rsidRPr="00BF4711">
        <w:rPr>
          <w:color w:val="1D1D1D"/>
        </w:rPr>
        <w:t>A</w:t>
      </w:r>
      <w:r w:rsidR="00486339" w:rsidRPr="00BF4711">
        <w:rPr>
          <w:color w:val="1D1D1D"/>
        </w:rPr>
        <w:t>sfaw, Yoseph</w:t>
      </w:r>
    </w:p>
    <w:p w14:paraId="3C8C98EE" w14:textId="6F1E3177" w:rsidR="00E16788" w:rsidRPr="00BF4711" w:rsidRDefault="00486339" w:rsidP="0026028D">
      <w:pPr>
        <w:pStyle w:val="yiv8714890903msonormal"/>
        <w:shd w:val="clear" w:color="auto" w:fill="FFFFFF"/>
        <w:spacing w:before="0" w:beforeAutospacing="0" w:after="0" w:afterAutospacing="0"/>
        <w:contextualSpacing/>
        <w:rPr>
          <w:color w:val="1D1D1D"/>
        </w:rPr>
      </w:pPr>
      <w:r w:rsidRPr="00BF4711">
        <w:rPr>
          <w:color w:val="1D1D1D"/>
        </w:rPr>
        <w:t>Paudel, Liladhar</w:t>
      </w:r>
    </w:p>
    <w:p w14:paraId="197870D0" w14:textId="77777777" w:rsidR="00E16788" w:rsidRPr="00BF4711" w:rsidRDefault="00E16788" w:rsidP="0026028D">
      <w:pPr>
        <w:pStyle w:val="yiv8714890903msonormal"/>
        <w:shd w:val="clear" w:color="auto" w:fill="FFFFFF"/>
        <w:spacing w:before="0" w:beforeAutospacing="0" w:after="0" w:afterAutospacing="0"/>
        <w:contextualSpacing/>
        <w:rPr>
          <w:rFonts w:eastAsiaTheme="minorHAnsi"/>
        </w:rPr>
      </w:pPr>
    </w:p>
    <w:p w14:paraId="29E8A754" w14:textId="77777777" w:rsidR="0047789C" w:rsidRPr="00BF4711" w:rsidRDefault="0047789C" w:rsidP="0026028D">
      <w:pPr>
        <w:pStyle w:val="yiv8714890903msonormal"/>
        <w:shd w:val="clear" w:color="auto" w:fill="FFFFFF"/>
        <w:spacing w:before="0" w:beforeAutospacing="0" w:after="0" w:afterAutospacing="0"/>
        <w:contextualSpacing/>
        <w:rPr>
          <w:b/>
          <w:bCs/>
          <w:color w:val="1D1D1D"/>
        </w:rPr>
      </w:pPr>
    </w:p>
    <w:p w14:paraId="06E8E36B" w14:textId="60F25B00" w:rsidR="00FA24D9" w:rsidRPr="00BF4711" w:rsidRDefault="00FA24D9" w:rsidP="0026028D">
      <w:pPr>
        <w:pStyle w:val="yiv8714890903msonormal"/>
        <w:shd w:val="clear" w:color="auto" w:fill="FFFFFF"/>
        <w:spacing w:before="0" w:beforeAutospacing="0" w:after="0" w:afterAutospacing="0"/>
        <w:contextualSpacing/>
        <w:rPr>
          <w:color w:val="1D1D1D"/>
        </w:rPr>
      </w:pPr>
      <w:r w:rsidRPr="00BF4711">
        <w:rPr>
          <w:b/>
          <w:bCs/>
          <w:color w:val="1D1D1D"/>
        </w:rPr>
        <w:t xml:space="preserve">Abstract </w:t>
      </w:r>
    </w:p>
    <w:p w14:paraId="2F692590" w14:textId="77777777" w:rsidR="00FA24D9" w:rsidRPr="00BF4711" w:rsidRDefault="00FA24D9" w:rsidP="0026028D">
      <w:pPr>
        <w:pStyle w:val="yiv8714890903msonormal"/>
        <w:shd w:val="clear" w:color="auto" w:fill="FFFFFF"/>
        <w:spacing w:before="0" w:beforeAutospacing="0" w:after="0" w:afterAutospacing="0"/>
        <w:contextualSpacing/>
        <w:rPr>
          <w:color w:val="1D1D1D"/>
        </w:rPr>
      </w:pPr>
      <w:r w:rsidRPr="00BF4711">
        <w:rPr>
          <w:color w:val="1D1D1D"/>
        </w:rPr>
        <w:t> </w:t>
      </w:r>
    </w:p>
    <w:p w14:paraId="042176E0" w14:textId="5D16FBFD" w:rsidR="00FA24D9" w:rsidRDefault="00FA24D9" w:rsidP="0026028D">
      <w:pPr>
        <w:contextualSpacing/>
        <w:rPr>
          <w:b/>
        </w:rPr>
      </w:pPr>
    </w:p>
    <w:p w14:paraId="20DE8F8C" w14:textId="77777777" w:rsidR="00115B70" w:rsidRPr="00BF4711" w:rsidRDefault="00115B70" w:rsidP="0026028D">
      <w:pPr>
        <w:contextualSpacing/>
        <w:rPr>
          <w:b/>
        </w:rPr>
      </w:pPr>
    </w:p>
    <w:p w14:paraId="12DA1F1B" w14:textId="77777777" w:rsidR="00306D3B" w:rsidRPr="00BF4711" w:rsidRDefault="00636F80" w:rsidP="0026028D">
      <w:pPr>
        <w:pStyle w:val="ListParagraph"/>
        <w:numPr>
          <w:ilvl w:val="0"/>
          <w:numId w:val="1"/>
        </w:numPr>
        <w:ind w:left="360"/>
        <w:rPr>
          <w:b/>
        </w:rPr>
      </w:pPr>
      <w:r w:rsidRPr="00BF4711">
        <w:rPr>
          <w:b/>
        </w:rPr>
        <w:t>Introduction</w:t>
      </w:r>
    </w:p>
    <w:p w14:paraId="5966A298" w14:textId="77777777" w:rsidR="00455CCD" w:rsidRPr="00455CCD" w:rsidRDefault="00455CCD" w:rsidP="00455CCD">
      <w:pPr>
        <w:spacing w:before="100" w:beforeAutospacing="1" w:after="100" w:afterAutospacing="1"/>
        <w:jc w:val="both"/>
        <w:rPr>
          <w:rFonts w:eastAsiaTheme="minorHAnsi"/>
        </w:rPr>
      </w:pPr>
      <w:r w:rsidRPr="00455CCD">
        <w:rPr>
          <w:rFonts w:eastAsiaTheme="minorHAnsi"/>
        </w:rPr>
        <w:t>Hair loss is a highly prevalent condition that affects individuals across a wide range of ages and both genders. Beyond its physiological aspects, hair loss has significant psychological and social implications, often impacting self-confidence, mental well-being, and even professional opportunities. As a result, understanding and predicting hair loss progression has become an important problem in both clinical and research settings.</w:t>
      </w:r>
    </w:p>
    <w:p w14:paraId="51788938" w14:textId="77777777" w:rsidR="00455CCD" w:rsidRPr="00455CCD" w:rsidRDefault="00455CCD" w:rsidP="00455CCD">
      <w:pPr>
        <w:spacing w:before="100" w:beforeAutospacing="1" w:after="100" w:afterAutospacing="1"/>
        <w:jc w:val="both"/>
        <w:rPr>
          <w:rFonts w:eastAsiaTheme="minorHAnsi"/>
        </w:rPr>
      </w:pPr>
      <w:r w:rsidRPr="00455CCD">
        <w:rPr>
          <w:rFonts w:eastAsiaTheme="minorHAnsi"/>
        </w:rPr>
        <w:t>Currently, many clinical procedures for evaluating hair loss and forecasting its future severity rely heavily on manual assessment and expert judgment. These approaches, while valuable, are often subjective and may lack consistency and scalability. This limitation has motivated substantial research into quantitative and computational models that can systematically describe hair follicle behavior over time.</w:t>
      </w:r>
    </w:p>
    <w:p w14:paraId="183507AE" w14:textId="77777777" w:rsidR="00455CCD" w:rsidRPr="00455CCD" w:rsidRDefault="00455CCD" w:rsidP="00455CCD">
      <w:pPr>
        <w:spacing w:before="100" w:beforeAutospacing="1" w:after="100" w:afterAutospacing="1"/>
        <w:jc w:val="both"/>
        <w:rPr>
          <w:rFonts w:eastAsiaTheme="minorHAnsi"/>
        </w:rPr>
      </w:pPr>
      <w:r w:rsidRPr="00455CCD">
        <w:rPr>
          <w:rFonts w:eastAsiaTheme="minorHAnsi"/>
        </w:rPr>
        <w:t xml:space="preserve">Hair follicles undergo a cyclic process consisting of three primary phases: anagen (growth phase), catagen (transition phase), and telogen (resting phase). Transitions between these phases are regulated by complex interactions of biochemical signals, including proteins such as </w:t>
      </w:r>
      <w:proofErr w:type="spellStart"/>
      <w:r w:rsidRPr="00455CCD">
        <w:rPr>
          <w:rFonts w:eastAsiaTheme="minorHAnsi"/>
        </w:rPr>
        <w:t>Wnt</w:t>
      </w:r>
      <w:proofErr w:type="spellEnd"/>
      <w:r w:rsidRPr="00455CCD">
        <w:rPr>
          <w:rFonts w:eastAsiaTheme="minorHAnsi"/>
        </w:rPr>
        <w:t xml:space="preserve"> and various hormones. Over the years, several studies have proposed mathematical models—particularly systems of ordinary differential equations (ODEs)—to capture these dynamics. For example, Al-Nuaimi et al. (2012) introduced a compartment-based model demonstrating oscillatory switching between growth and resting states, while Wang et al. (2017) developed a multi-scale framework to model spatial propagation of follicle activation. More recently, Alzubadi (2024) incorporated immune system interactions to better explain pathological conditions such as alopecia.</w:t>
      </w:r>
    </w:p>
    <w:p w14:paraId="45746BFD" w14:textId="77777777" w:rsidR="00455CCD" w:rsidRPr="00455CCD" w:rsidRDefault="00455CCD" w:rsidP="00455CCD">
      <w:pPr>
        <w:spacing w:before="100" w:beforeAutospacing="1" w:after="100" w:afterAutospacing="1"/>
        <w:jc w:val="both"/>
        <w:rPr>
          <w:rFonts w:eastAsiaTheme="minorHAnsi"/>
        </w:rPr>
      </w:pPr>
      <w:r w:rsidRPr="00455CCD">
        <w:rPr>
          <w:rFonts w:eastAsiaTheme="minorHAnsi"/>
        </w:rPr>
        <w:t>Despite differences in biological detail, these models share a common structural feature: they describe populations of follicles transitioning between discrete states. This structure closely resembles compartmental models widely used in epidemiology, particularly the SIR model, where individuals transition between susceptible, infected, and recovered states.</w:t>
      </w:r>
    </w:p>
    <w:p w14:paraId="1E5F9138" w14:textId="1BC1CB3B" w:rsidR="00455CCD" w:rsidRDefault="00455CCD" w:rsidP="00455CCD">
      <w:pPr>
        <w:spacing w:before="100" w:beforeAutospacing="1" w:after="100" w:afterAutospacing="1"/>
        <w:jc w:val="both"/>
        <w:rPr>
          <w:rFonts w:eastAsiaTheme="minorHAnsi"/>
        </w:rPr>
      </w:pPr>
      <w:r w:rsidRPr="00455CCD">
        <w:rPr>
          <w:rFonts w:eastAsiaTheme="minorHAnsi"/>
        </w:rPr>
        <w:lastRenderedPageBreak/>
        <w:t>Motivated by this analogy, this work formulates hair follicle dynamics within an SIR-inspired framework. By leveraging the mathematical simplicity and interpretability of compartmental models, we aim to provide a tractable yet insightful representation of follicle state transitions, enabling deeper analysis of hair growth dynamics and potential progression toward hair loss.</w:t>
      </w:r>
    </w:p>
    <w:p w14:paraId="211FE237" w14:textId="77777777" w:rsidR="00C9475C" w:rsidRPr="00C9475C" w:rsidRDefault="00C9475C" w:rsidP="00C9475C">
      <w:pPr>
        <w:pStyle w:val="NormalWeb"/>
        <w:jc w:val="both"/>
        <w:rPr>
          <w:rFonts w:eastAsiaTheme="minorHAnsi"/>
        </w:rPr>
      </w:pPr>
      <w:r w:rsidRPr="00C9475C">
        <w:rPr>
          <w:rFonts w:eastAsiaTheme="minorHAnsi"/>
        </w:rPr>
        <w:t>Due to the lack of accessible longitudinal clinical data, we estimated the parameters of the proposed ODE system using nonlinear regression on synthetically generated data. Specifically, we leveraged the stochastic framework presented in Halloy et al. (2026), which provides statistical characteristics for both alopecic and non-alopecic populations. Using this framework, we implemented an agent-based simulation to generate realistic time-series data for follicle state transitions.</w:t>
      </w:r>
    </w:p>
    <w:p w14:paraId="5F360A7B" w14:textId="77777777" w:rsidR="00C9475C" w:rsidRPr="00C9475C" w:rsidRDefault="00C9475C" w:rsidP="00C9475C">
      <w:pPr>
        <w:pStyle w:val="NormalWeb"/>
        <w:jc w:val="both"/>
        <w:rPr>
          <w:rFonts w:eastAsiaTheme="minorHAnsi"/>
        </w:rPr>
      </w:pPr>
      <w:r w:rsidRPr="00C9475C">
        <w:rPr>
          <w:rFonts w:eastAsiaTheme="minorHAnsi"/>
        </w:rPr>
        <w:t>The proposed model demonstrates a strong fit to the generated data, yielding parameter values that are consistent with known biological interpretations of hair follicle dynamics. However, initial analysis of the residuals indicated that a simple three-compartment formulation fails to capture the full temporal structure of the system, particularly its non-memoryless behavior.</w:t>
      </w:r>
    </w:p>
    <w:p w14:paraId="373CFADC" w14:textId="4AE83358" w:rsidR="00C9475C" w:rsidRPr="00C9475C" w:rsidRDefault="00C9475C" w:rsidP="00C9475C">
      <w:pPr>
        <w:pStyle w:val="NormalWeb"/>
        <w:jc w:val="both"/>
        <w:rPr>
          <w:rFonts w:eastAsiaTheme="minorHAnsi"/>
        </w:rPr>
      </w:pPr>
      <w:r w:rsidRPr="00C9475C">
        <w:rPr>
          <w:rFonts w:eastAsiaTheme="minorHAnsi"/>
        </w:rPr>
        <w:t>To address this limitation, we extended the model by introducing sub</w:t>
      </w:r>
      <w:r>
        <w:rPr>
          <w:rFonts w:eastAsiaTheme="minorHAnsi"/>
        </w:rPr>
        <w:t>-</w:t>
      </w:r>
      <w:r w:rsidRPr="00C9475C">
        <w:rPr>
          <w:rFonts w:eastAsiaTheme="minorHAnsi"/>
        </w:rPr>
        <w:t xml:space="preserve">compartments within the primary states </w:t>
      </w:r>
      <w:r w:rsidR="0072372B">
        <w:rPr>
          <w:rFonts w:eastAsiaTheme="minorHAnsi"/>
        </w:rPr>
        <w:t xml:space="preserve"> of </w:t>
      </w:r>
      <w:r w:rsidRPr="00C9475C">
        <w:rPr>
          <w:rFonts w:eastAsiaTheme="minorHAnsi"/>
        </w:rPr>
        <w:t>anagen</w:t>
      </w:r>
      <w:r w:rsidR="0072372B">
        <w:rPr>
          <w:rFonts w:eastAsiaTheme="minorHAnsi"/>
        </w:rPr>
        <w:t xml:space="preserve"> </w:t>
      </w:r>
      <w:r w:rsidRPr="00C9475C">
        <w:rPr>
          <w:rFonts w:eastAsiaTheme="minorHAnsi"/>
        </w:rPr>
        <w:t>and telogen. This refinement allows the system to better represent delayed transitions and internal phase heterogeneity, resulting in improved alignment with observed follicle dynamics.</w:t>
      </w:r>
    </w:p>
    <w:p w14:paraId="6F0B1824" w14:textId="77777777" w:rsidR="00FA181F" w:rsidRPr="00BF4711" w:rsidRDefault="00FA181F" w:rsidP="0026028D">
      <w:pPr>
        <w:pStyle w:val="NormalWeb"/>
        <w:spacing w:before="0" w:beforeAutospacing="0" w:after="0" w:afterAutospacing="0"/>
        <w:contextualSpacing/>
        <w:jc w:val="both"/>
        <w:rPr>
          <w:rFonts w:eastAsiaTheme="minorHAnsi"/>
        </w:rPr>
      </w:pPr>
    </w:p>
    <w:p w14:paraId="1B940DD7" w14:textId="77777777" w:rsidR="00636F80" w:rsidRPr="00BF4711" w:rsidRDefault="007C27BE" w:rsidP="0026028D">
      <w:pPr>
        <w:pStyle w:val="ListParagraph"/>
        <w:numPr>
          <w:ilvl w:val="0"/>
          <w:numId w:val="1"/>
        </w:numPr>
        <w:ind w:left="360"/>
        <w:rPr>
          <w:b/>
        </w:rPr>
      </w:pPr>
      <w:r w:rsidRPr="00BF4711">
        <w:rPr>
          <w:b/>
        </w:rPr>
        <w:t xml:space="preserve"> </w:t>
      </w:r>
      <w:r w:rsidR="00BF7982" w:rsidRPr="00BF4711">
        <w:rPr>
          <w:b/>
        </w:rPr>
        <w:t>Model Description</w:t>
      </w:r>
    </w:p>
    <w:p w14:paraId="000561EF" w14:textId="77777777" w:rsidR="006E3E30" w:rsidRDefault="006E3E30" w:rsidP="0026028D">
      <w:pPr>
        <w:pStyle w:val="NormalWeb"/>
        <w:spacing w:before="0" w:beforeAutospacing="0" w:after="0" w:afterAutospacing="0"/>
        <w:contextualSpacing/>
        <w:jc w:val="both"/>
        <w:rPr>
          <w:rFonts w:eastAsiaTheme="minorHAnsi"/>
        </w:rPr>
      </w:pPr>
    </w:p>
    <w:p w14:paraId="054CFBE5" w14:textId="77777777" w:rsidR="00276086" w:rsidRDefault="00276086" w:rsidP="00276086">
      <w:pPr>
        <w:tabs>
          <w:tab w:val="left" w:pos="3500"/>
        </w:tabs>
      </w:pPr>
    </w:p>
    <w:p w14:paraId="62B5FF8E" w14:textId="1DCD88DB" w:rsidR="00075ED4" w:rsidRPr="008D090A" w:rsidRDefault="00D276F3" w:rsidP="00FC728E">
      <w:pPr>
        <w:pStyle w:val="ListParagraph"/>
        <w:tabs>
          <w:tab w:val="left" w:pos="3500"/>
        </w:tabs>
        <w:spacing w:after="120"/>
        <w:ind w:left="0"/>
        <w:contextualSpacing w:val="0"/>
        <w:rPr>
          <w:b/>
        </w:rPr>
      </w:pPr>
      <w:r w:rsidRPr="00BF4711">
        <w:rPr>
          <w:b/>
        </w:rPr>
        <w:t>Parameter ranges and descriptions</w:t>
      </w:r>
      <w:r w:rsidR="000420BC" w:rsidRPr="00BF4711">
        <w:rPr>
          <w:b/>
        </w:rPr>
        <w:t>.</w:t>
      </w:r>
      <w:r w:rsidRPr="00BF4711">
        <w:rPr>
          <w:b/>
        </w:rPr>
        <w:t xml:space="preserve"> </w:t>
      </w:r>
    </w:p>
    <w:p w14:paraId="341849CA" w14:textId="3AB23C09" w:rsidR="00D276F3" w:rsidRPr="00BF4711" w:rsidRDefault="00D276F3" w:rsidP="0026028D">
      <w:pPr>
        <w:pStyle w:val="ListParagraph"/>
        <w:tabs>
          <w:tab w:val="left" w:pos="3500"/>
        </w:tabs>
        <w:ind w:left="0"/>
      </w:pPr>
      <w:r w:rsidRPr="00BF4711">
        <w:t xml:space="preserve">Model parameters and their ranges of values are summarized in </w:t>
      </w:r>
      <w:r w:rsidR="000420BC" w:rsidRPr="00BF4711">
        <w:rPr>
          <w:b/>
          <w:bCs/>
          <w:i/>
          <w:iCs/>
        </w:rPr>
        <w:t>T</w:t>
      </w:r>
      <w:r w:rsidRPr="00BF4711">
        <w:rPr>
          <w:b/>
          <w:bCs/>
          <w:i/>
          <w:iCs/>
        </w:rPr>
        <w:t>able 1</w:t>
      </w:r>
      <w:r w:rsidRPr="00BF4711">
        <w:t xml:space="preserve"> below</w:t>
      </w:r>
      <w:r w:rsidR="00E926EC" w:rsidRPr="00BF4711">
        <w:t>.</w:t>
      </w:r>
    </w:p>
    <w:p w14:paraId="3CE9C5EF" w14:textId="3DB8F54F" w:rsidR="000420BC" w:rsidRPr="00BF4711" w:rsidRDefault="000420BC" w:rsidP="0026028D">
      <w:pPr>
        <w:pStyle w:val="ListParagraph"/>
        <w:tabs>
          <w:tab w:val="left" w:pos="3500"/>
        </w:tabs>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4093"/>
        <w:gridCol w:w="1398"/>
        <w:gridCol w:w="2229"/>
        <w:gridCol w:w="2229"/>
      </w:tblGrid>
      <w:tr w:rsidR="0072372B" w:rsidRPr="00BF4711" w14:paraId="32497E56" w14:textId="77777777" w:rsidTr="00ED3F70">
        <w:trPr>
          <w:trHeight w:val="122"/>
          <w:tblHeader/>
        </w:trPr>
        <w:tc>
          <w:tcPr>
            <w:tcW w:w="4093" w:type="dxa"/>
            <w:shd w:val="clear" w:color="auto" w:fill="FFFFFF"/>
            <w:tcMar>
              <w:top w:w="120" w:type="dxa"/>
              <w:left w:w="120" w:type="dxa"/>
              <w:bottom w:w="120" w:type="dxa"/>
              <w:right w:w="120" w:type="dxa"/>
            </w:tcMar>
            <w:vAlign w:val="center"/>
            <w:hideMark/>
          </w:tcPr>
          <w:p w14:paraId="22D39490" w14:textId="1D118A1D" w:rsidR="0072372B" w:rsidRPr="00BF4711" w:rsidRDefault="0072372B" w:rsidP="0026028D">
            <w:pPr>
              <w:contextualSpacing/>
              <w:rPr>
                <w:b/>
                <w:bCs/>
              </w:rPr>
            </w:pPr>
            <w:r>
              <w:rPr>
                <w:b/>
                <w:bCs/>
              </w:rPr>
              <w:t>Metrics</w:t>
            </w:r>
          </w:p>
        </w:tc>
        <w:tc>
          <w:tcPr>
            <w:tcW w:w="0" w:type="auto"/>
            <w:shd w:val="clear" w:color="auto" w:fill="FFFFFF"/>
            <w:tcMar>
              <w:top w:w="120" w:type="dxa"/>
              <w:left w:w="120" w:type="dxa"/>
              <w:bottom w:w="120" w:type="dxa"/>
              <w:right w:w="120" w:type="dxa"/>
            </w:tcMar>
            <w:vAlign w:val="center"/>
            <w:hideMark/>
          </w:tcPr>
          <w:p w14:paraId="29F72B69" w14:textId="77777777" w:rsidR="0072372B" w:rsidRPr="00BF4711" w:rsidRDefault="0072372B" w:rsidP="0026028D">
            <w:pPr>
              <w:contextualSpacing/>
              <w:jc w:val="right"/>
              <w:rPr>
                <w:b/>
                <w:bCs/>
              </w:rPr>
            </w:pPr>
            <w:r w:rsidRPr="00BF4711">
              <w:rPr>
                <w:b/>
                <w:bCs/>
              </w:rPr>
              <w:t>Symbol</w:t>
            </w:r>
          </w:p>
        </w:tc>
        <w:tc>
          <w:tcPr>
            <w:tcW w:w="2229" w:type="dxa"/>
            <w:shd w:val="clear" w:color="auto" w:fill="FFFFFF"/>
          </w:tcPr>
          <w:p w14:paraId="52590864" w14:textId="78FD4FF9" w:rsidR="0072372B" w:rsidRPr="00BF4711" w:rsidRDefault="0072372B" w:rsidP="0072372B">
            <w:pPr>
              <w:contextualSpacing/>
              <w:jc w:val="center"/>
              <w:rPr>
                <w:b/>
                <w:bCs/>
              </w:rPr>
            </w:pPr>
            <w:r>
              <w:rPr>
                <w:b/>
                <w:bCs/>
              </w:rPr>
              <w:t>Description</w:t>
            </w:r>
          </w:p>
        </w:tc>
        <w:tc>
          <w:tcPr>
            <w:tcW w:w="2229" w:type="dxa"/>
            <w:shd w:val="clear" w:color="auto" w:fill="FFFFFF"/>
            <w:tcMar>
              <w:top w:w="120" w:type="dxa"/>
              <w:left w:w="120" w:type="dxa"/>
              <w:bottom w:w="120" w:type="dxa"/>
              <w:right w:w="120" w:type="dxa"/>
            </w:tcMar>
            <w:vAlign w:val="center"/>
            <w:hideMark/>
          </w:tcPr>
          <w:p w14:paraId="0A491F7C" w14:textId="4ED60A5B" w:rsidR="0072372B" w:rsidRPr="00BF4711" w:rsidRDefault="0072372B" w:rsidP="0026028D">
            <w:pPr>
              <w:contextualSpacing/>
              <w:jc w:val="right"/>
              <w:rPr>
                <w:b/>
                <w:bCs/>
              </w:rPr>
            </w:pPr>
            <w:r w:rsidRPr="00BF4711">
              <w:rPr>
                <w:b/>
                <w:bCs/>
              </w:rPr>
              <w:t>Typical range</w:t>
            </w:r>
            <w:r>
              <w:rPr>
                <w:b/>
                <w:bCs/>
              </w:rPr>
              <w:t xml:space="preserve"> (per month)</w:t>
            </w:r>
          </w:p>
        </w:tc>
      </w:tr>
      <w:tr w:rsidR="0072372B" w:rsidRPr="00BF4711" w14:paraId="17DD43FF" w14:textId="77777777" w:rsidTr="00ED3F70">
        <w:trPr>
          <w:trHeight w:val="122"/>
          <w:tblHeader/>
        </w:trPr>
        <w:tc>
          <w:tcPr>
            <w:tcW w:w="4093" w:type="dxa"/>
            <w:shd w:val="clear" w:color="auto" w:fill="FFFFFF"/>
            <w:tcMar>
              <w:top w:w="120" w:type="dxa"/>
              <w:left w:w="120" w:type="dxa"/>
              <w:bottom w:w="120" w:type="dxa"/>
              <w:right w:w="120" w:type="dxa"/>
            </w:tcMar>
            <w:vAlign w:val="center"/>
          </w:tcPr>
          <w:p w14:paraId="45922838" w14:textId="1898B173" w:rsidR="0072372B" w:rsidRPr="0072372B" w:rsidRDefault="0072372B" w:rsidP="0026028D">
            <w:pPr>
              <w:contextualSpacing/>
              <w:rPr>
                <w:bCs/>
              </w:rPr>
            </w:pPr>
            <w:r w:rsidRPr="0072372B">
              <w:rPr>
                <w:bCs/>
              </w:rPr>
              <w:t>gamma</w:t>
            </w:r>
          </w:p>
        </w:tc>
        <w:tc>
          <w:tcPr>
            <w:tcW w:w="0" w:type="auto"/>
            <w:shd w:val="clear" w:color="auto" w:fill="FFFFFF"/>
            <w:tcMar>
              <w:top w:w="120" w:type="dxa"/>
              <w:left w:w="120" w:type="dxa"/>
              <w:bottom w:w="120" w:type="dxa"/>
              <w:right w:w="120" w:type="dxa"/>
            </w:tcMar>
            <w:vAlign w:val="center"/>
          </w:tcPr>
          <w:p w14:paraId="131DC0CA" w14:textId="3985B20E" w:rsidR="0072372B" w:rsidRPr="0072372B" w:rsidRDefault="0072372B" w:rsidP="0026028D">
            <w:pPr>
              <w:contextualSpacing/>
              <w:jc w:val="right"/>
              <w:rPr>
                <w:bCs/>
              </w:rPr>
            </w:pPr>
            <m:oMathPara>
              <m:oMath>
                <m:r>
                  <w:rPr>
                    <w:rFonts w:ascii="Cambria Math" w:hAnsi="Cambria Math"/>
                  </w:rPr>
                  <m:t>γ</m:t>
                </m:r>
              </m:oMath>
            </m:oMathPara>
          </w:p>
        </w:tc>
        <w:tc>
          <w:tcPr>
            <w:tcW w:w="2229" w:type="dxa"/>
            <w:shd w:val="clear" w:color="auto" w:fill="FFFFFF"/>
          </w:tcPr>
          <w:p w14:paraId="7779D40E" w14:textId="5BC4E4F0" w:rsidR="0072372B" w:rsidRPr="0072372B" w:rsidRDefault="0072372B" w:rsidP="0072372B">
            <w:pPr>
              <w:contextualSpacing/>
              <w:jc w:val="center"/>
              <w:rPr>
                <w:bCs/>
              </w:rPr>
            </w:pPr>
            <w:r w:rsidRPr="0072372B">
              <w:rPr>
                <w:bCs/>
              </w:rPr>
              <w:t xml:space="preserve">Catagen to </w:t>
            </w:r>
            <w:proofErr w:type="spellStart"/>
            <w:r w:rsidRPr="0072372B">
              <w:rPr>
                <w:bCs/>
              </w:rPr>
              <w:t>Telogent</w:t>
            </w:r>
            <w:proofErr w:type="spellEnd"/>
            <w:r w:rsidRPr="0072372B">
              <w:rPr>
                <w:bCs/>
              </w:rPr>
              <w:t xml:space="preserve"> transit rate</w:t>
            </w:r>
          </w:p>
        </w:tc>
        <w:tc>
          <w:tcPr>
            <w:tcW w:w="2229" w:type="dxa"/>
            <w:shd w:val="clear" w:color="auto" w:fill="FFFFFF"/>
            <w:tcMar>
              <w:top w:w="120" w:type="dxa"/>
              <w:left w:w="120" w:type="dxa"/>
              <w:bottom w:w="120" w:type="dxa"/>
              <w:right w:w="120" w:type="dxa"/>
            </w:tcMar>
            <w:vAlign w:val="center"/>
          </w:tcPr>
          <w:p w14:paraId="17C912A7" w14:textId="198631F3" w:rsidR="0072372B" w:rsidRPr="0072372B" w:rsidRDefault="0072372B" w:rsidP="0026028D">
            <w:pPr>
              <w:contextualSpacing/>
              <w:jc w:val="right"/>
              <w:rPr>
                <w:bCs/>
              </w:rPr>
            </w:pPr>
            <w:r w:rsidRPr="0072372B">
              <w:rPr>
                <w:bCs/>
              </w:rPr>
              <w:t>1.3 to 1.5</w:t>
            </w:r>
          </w:p>
        </w:tc>
      </w:tr>
      <w:tr w:rsidR="0072372B" w:rsidRPr="00BF4711" w14:paraId="6648BBB9" w14:textId="77777777" w:rsidTr="00ED3F70">
        <w:trPr>
          <w:trHeight w:val="122"/>
          <w:tblHeader/>
        </w:trPr>
        <w:tc>
          <w:tcPr>
            <w:tcW w:w="4093" w:type="dxa"/>
            <w:shd w:val="clear" w:color="auto" w:fill="FFFFFF"/>
            <w:tcMar>
              <w:top w:w="120" w:type="dxa"/>
              <w:left w:w="120" w:type="dxa"/>
              <w:bottom w:w="120" w:type="dxa"/>
              <w:right w:w="120" w:type="dxa"/>
            </w:tcMar>
            <w:vAlign w:val="center"/>
          </w:tcPr>
          <w:p w14:paraId="3A5E62CA" w14:textId="5AE98F3E" w:rsidR="0072372B" w:rsidRPr="0072372B" w:rsidRDefault="0072372B" w:rsidP="0026028D">
            <w:pPr>
              <w:contextualSpacing/>
              <w:rPr>
                <w:bCs/>
              </w:rPr>
            </w:pPr>
            <w:r w:rsidRPr="0072372B">
              <w:rPr>
                <w:bCs/>
              </w:rPr>
              <w:t>Telogen base rate</w:t>
            </w:r>
          </w:p>
        </w:tc>
        <w:tc>
          <w:tcPr>
            <w:tcW w:w="0" w:type="auto"/>
            <w:shd w:val="clear" w:color="auto" w:fill="FFFFFF"/>
            <w:tcMar>
              <w:top w:w="120" w:type="dxa"/>
              <w:left w:w="120" w:type="dxa"/>
              <w:bottom w:w="120" w:type="dxa"/>
              <w:right w:w="120" w:type="dxa"/>
            </w:tcMar>
            <w:vAlign w:val="center"/>
          </w:tcPr>
          <w:p w14:paraId="5200A537" w14:textId="542B336B" w:rsidR="0072372B" w:rsidRPr="0072372B" w:rsidRDefault="00000000" w:rsidP="0026028D">
            <w:pPr>
              <w:contextualSpacing/>
              <w:jc w:val="right"/>
              <w:rPr>
                <w:bCs/>
              </w:rPr>
            </w:pPr>
            <m:oMathPara>
              <m:oMath>
                <m:sSub>
                  <m:sSubPr>
                    <m:ctrlPr>
                      <w:rPr>
                        <w:rFonts w:ascii="Cambria Math" w:hAnsi="Cambria Math"/>
                        <w:bCs/>
                        <w:i/>
                      </w:rPr>
                    </m:ctrlPr>
                  </m:sSubPr>
                  <m:e>
                    <m:r>
                      <w:rPr>
                        <w:rFonts w:ascii="Cambria Math" w:hAnsi="Cambria Math"/>
                      </w:rPr>
                      <m:t>k</m:t>
                    </m:r>
                  </m:e>
                  <m:sub>
                    <m:r>
                      <w:rPr>
                        <w:rFonts w:ascii="Cambria Math" w:hAnsi="Cambria Math"/>
                      </w:rPr>
                      <m:t>wake</m:t>
                    </m:r>
                  </m:sub>
                </m:sSub>
              </m:oMath>
            </m:oMathPara>
          </w:p>
        </w:tc>
        <w:tc>
          <w:tcPr>
            <w:tcW w:w="2229" w:type="dxa"/>
            <w:shd w:val="clear" w:color="auto" w:fill="FFFFFF"/>
          </w:tcPr>
          <w:p w14:paraId="7DCF13E8" w14:textId="09D50E65" w:rsidR="0072372B" w:rsidRPr="0072372B" w:rsidRDefault="0072372B" w:rsidP="0072372B">
            <w:pPr>
              <w:contextualSpacing/>
              <w:jc w:val="center"/>
              <w:rPr>
                <w:bCs/>
              </w:rPr>
            </w:pPr>
            <w:r w:rsidRPr="0072372B">
              <w:rPr>
                <w:bCs/>
              </w:rPr>
              <w:t>Telogen to Anagen transfer rate</w:t>
            </w:r>
          </w:p>
        </w:tc>
        <w:tc>
          <w:tcPr>
            <w:tcW w:w="2229" w:type="dxa"/>
            <w:shd w:val="clear" w:color="auto" w:fill="FFFFFF"/>
            <w:tcMar>
              <w:top w:w="120" w:type="dxa"/>
              <w:left w:w="120" w:type="dxa"/>
              <w:bottom w:w="120" w:type="dxa"/>
              <w:right w:w="120" w:type="dxa"/>
            </w:tcMar>
            <w:vAlign w:val="center"/>
          </w:tcPr>
          <w:p w14:paraId="0C3B9ED3" w14:textId="5985696F" w:rsidR="0072372B" w:rsidRPr="0072372B" w:rsidRDefault="0072372B" w:rsidP="0026028D">
            <w:pPr>
              <w:contextualSpacing/>
              <w:jc w:val="right"/>
              <w:rPr>
                <w:bCs/>
              </w:rPr>
            </w:pPr>
            <w:r w:rsidRPr="0072372B">
              <w:rPr>
                <w:bCs/>
              </w:rPr>
              <w:t xml:space="preserve">0.25 to 0.33 </w:t>
            </w:r>
          </w:p>
        </w:tc>
      </w:tr>
      <w:tr w:rsidR="0072372B" w:rsidRPr="00BF4711" w14:paraId="09061AE1" w14:textId="77777777" w:rsidTr="00ED3F70">
        <w:trPr>
          <w:trHeight w:val="122"/>
          <w:tblHeader/>
        </w:trPr>
        <w:tc>
          <w:tcPr>
            <w:tcW w:w="4093" w:type="dxa"/>
            <w:shd w:val="clear" w:color="auto" w:fill="FFFFFF"/>
            <w:tcMar>
              <w:top w:w="120" w:type="dxa"/>
              <w:left w:w="120" w:type="dxa"/>
              <w:bottom w:w="120" w:type="dxa"/>
              <w:right w:w="120" w:type="dxa"/>
            </w:tcMar>
            <w:vAlign w:val="center"/>
          </w:tcPr>
          <w:p w14:paraId="3D1C600E" w14:textId="07A84272" w:rsidR="0072372B" w:rsidRPr="0072372B" w:rsidRDefault="0072372B" w:rsidP="0026028D">
            <w:pPr>
              <w:contextualSpacing/>
              <w:rPr>
                <w:bCs/>
              </w:rPr>
            </w:pPr>
            <w:r w:rsidRPr="0072372B">
              <w:rPr>
                <w:bCs/>
              </w:rPr>
              <w:t>Anagen base rate</w:t>
            </w:r>
          </w:p>
        </w:tc>
        <w:tc>
          <w:tcPr>
            <w:tcW w:w="0" w:type="auto"/>
            <w:shd w:val="clear" w:color="auto" w:fill="FFFFFF"/>
            <w:tcMar>
              <w:top w:w="120" w:type="dxa"/>
              <w:left w:w="120" w:type="dxa"/>
              <w:bottom w:w="120" w:type="dxa"/>
              <w:right w:w="120" w:type="dxa"/>
            </w:tcMar>
            <w:vAlign w:val="center"/>
          </w:tcPr>
          <w:p w14:paraId="049DCCC9" w14:textId="4BA77C28" w:rsidR="0072372B" w:rsidRPr="0072372B" w:rsidRDefault="00000000" w:rsidP="0026028D">
            <w:pPr>
              <w:contextualSpacing/>
              <w:jc w:val="right"/>
              <w:rPr>
                <w:bCs/>
              </w:rPr>
            </w:pPr>
            <m:oMathPara>
              <m:oMath>
                <m:sSub>
                  <m:sSubPr>
                    <m:ctrlPr>
                      <w:rPr>
                        <w:rFonts w:ascii="Cambria Math" w:hAnsi="Cambria Math"/>
                        <w:bCs/>
                        <w:i/>
                      </w:rPr>
                    </m:ctrlPr>
                  </m:sSubPr>
                  <m:e>
                    <m:r>
                      <w:rPr>
                        <w:rFonts w:ascii="Cambria Math" w:hAnsi="Cambria Math"/>
                      </w:rPr>
                      <m:t>β</m:t>
                    </m:r>
                  </m:e>
                  <m:sub>
                    <m:r>
                      <w:rPr>
                        <w:rFonts w:ascii="Cambria Math" w:hAnsi="Cambria Math"/>
                      </w:rPr>
                      <m:t>base</m:t>
                    </m:r>
                  </m:sub>
                </m:sSub>
              </m:oMath>
            </m:oMathPara>
          </w:p>
        </w:tc>
        <w:tc>
          <w:tcPr>
            <w:tcW w:w="2229" w:type="dxa"/>
            <w:shd w:val="clear" w:color="auto" w:fill="FFFFFF"/>
          </w:tcPr>
          <w:p w14:paraId="34C5F5D7" w14:textId="12A929C4" w:rsidR="0072372B" w:rsidRPr="0072372B" w:rsidRDefault="0072372B" w:rsidP="0072372B">
            <w:pPr>
              <w:contextualSpacing/>
              <w:jc w:val="center"/>
              <w:rPr>
                <w:bCs/>
              </w:rPr>
            </w:pPr>
            <w:r w:rsidRPr="0072372B">
              <w:rPr>
                <w:bCs/>
              </w:rPr>
              <w:t>Anagen to Catagen transfer rate</w:t>
            </w:r>
          </w:p>
        </w:tc>
        <w:tc>
          <w:tcPr>
            <w:tcW w:w="2229" w:type="dxa"/>
            <w:shd w:val="clear" w:color="auto" w:fill="FFFFFF"/>
            <w:tcMar>
              <w:top w:w="120" w:type="dxa"/>
              <w:left w:w="120" w:type="dxa"/>
              <w:bottom w:w="120" w:type="dxa"/>
              <w:right w:w="120" w:type="dxa"/>
            </w:tcMar>
            <w:vAlign w:val="center"/>
          </w:tcPr>
          <w:p w14:paraId="29750323" w14:textId="725ECBBD" w:rsidR="0072372B" w:rsidRPr="0072372B" w:rsidRDefault="0072372B" w:rsidP="0026028D">
            <w:pPr>
              <w:contextualSpacing/>
              <w:jc w:val="right"/>
              <w:rPr>
                <w:bCs/>
              </w:rPr>
            </w:pPr>
            <w:r w:rsidRPr="0072372B">
              <w:rPr>
                <w:bCs/>
              </w:rPr>
              <w:t>0.027</w:t>
            </w:r>
          </w:p>
        </w:tc>
      </w:tr>
      <w:tr w:rsidR="0072372B" w:rsidRPr="00BF4711" w14:paraId="0616E86C" w14:textId="77777777" w:rsidTr="00ED3F70">
        <w:trPr>
          <w:trHeight w:val="122"/>
          <w:tblHeader/>
        </w:trPr>
        <w:tc>
          <w:tcPr>
            <w:tcW w:w="4093" w:type="dxa"/>
            <w:shd w:val="clear" w:color="auto" w:fill="FFFFFF"/>
            <w:tcMar>
              <w:top w:w="120" w:type="dxa"/>
              <w:left w:w="120" w:type="dxa"/>
              <w:bottom w:w="120" w:type="dxa"/>
              <w:right w:w="120" w:type="dxa"/>
            </w:tcMar>
            <w:vAlign w:val="center"/>
          </w:tcPr>
          <w:p w14:paraId="51817743" w14:textId="59177830" w:rsidR="0072372B" w:rsidRPr="0072372B" w:rsidRDefault="0072372B" w:rsidP="0026028D">
            <w:pPr>
              <w:contextualSpacing/>
              <w:rPr>
                <w:bCs/>
              </w:rPr>
            </w:pPr>
            <w:proofErr w:type="spellStart"/>
            <w:r w:rsidRPr="0072372B">
              <w:rPr>
                <w:bCs/>
              </w:rPr>
              <w:t>Wnt</w:t>
            </w:r>
            <w:proofErr w:type="spellEnd"/>
            <w:r w:rsidRPr="0072372B">
              <w:rPr>
                <w:bCs/>
              </w:rPr>
              <w:t>/FGF5</w:t>
            </w:r>
            <w:r>
              <w:rPr>
                <w:bCs/>
              </w:rPr>
              <w:t>/DHT</w:t>
            </w:r>
          </w:p>
        </w:tc>
        <w:tc>
          <w:tcPr>
            <w:tcW w:w="0" w:type="auto"/>
            <w:shd w:val="clear" w:color="auto" w:fill="FFFFFF"/>
            <w:tcMar>
              <w:top w:w="120" w:type="dxa"/>
              <w:left w:w="120" w:type="dxa"/>
              <w:bottom w:w="120" w:type="dxa"/>
              <w:right w:w="120" w:type="dxa"/>
            </w:tcMar>
            <w:vAlign w:val="center"/>
          </w:tcPr>
          <w:p w14:paraId="6EC913CA" w14:textId="77777777" w:rsidR="0072372B" w:rsidRPr="0072372B" w:rsidRDefault="0072372B" w:rsidP="0026028D">
            <w:pPr>
              <w:contextualSpacing/>
              <w:jc w:val="right"/>
              <w:rPr>
                <w:bCs/>
              </w:rPr>
            </w:pPr>
          </w:p>
        </w:tc>
        <w:tc>
          <w:tcPr>
            <w:tcW w:w="2229" w:type="dxa"/>
            <w:shd w:val="clear" w:color="auto" w:fill="FFFFFF"/>
          </w:tcPr>
          <w:p w14:paraId="33090D0B" w14:textId="05B7269D" w:rsidR="0072372B" w:rsidRPr="0072372B" w:rsidRDefault="0072372B" w:rsidP="0072372B">
            <w:pPr>
              <w:contextualSpacing/>
              <w:jc w:val="center"/>
              <w:rPr>
                <w:bCs/>
              </w:rPr>
            </w:pPr>
            <w:r w:rsidRPr="0072372B">
              <w:rPr>
                <w:bCs/>
              </w:rPr>
              <w:t>Signal strength</w:t>
            </w:r>
          </w:p>
        </w:tc>
        <w:tc>
          <w:tcPr>
            <w:tcW w:w="2229" w:type="dxa"/>
            <w:shd w:val="clear" w:color="auto" w:fill="FFFFFF"/>
            <w:tcMar>
              <w:top w:w="120" w:type="dxa"/>
              <w:left w:w="120" w:type="dxa"/>
              <w:bottom w:w="120" w:type="dxa"/>
              <w:right w:w="120" w:type="dxa"/>
            </w:tcMar>
            <w:vAlign w:val="center"/>
          </w:tcPr>
          <w:p w14:paraId="7D461EC2" w14:textId="4CF0E286" w:rsidR="0072372B" w:rsidRPr="0072372B" w:rsidRDefault="0072372B" w:rsidP="0026028D">
            <w:pPr>
              <w:contextualSpacing/>
              <w:jc w:val="right"/>
              <w:rPr>
                <w:bCs/>
              </w:rPr>
            </w:pPr>
            <w:r w:rsidRPr="0072372B">
              <w:rPr>
                <w:bCs/>
              </w:rPr>
              <w:t>Normalized to 1</w:t>
            </w:r>
          </w:p>
        </w:tc>
      </w:tr>
      <w:tr w:rsidR="0072372B" w:rsidRPr="00BF4711" w14:paraId="6C31F80B" w14:textId="77777777" w:rsidTr="00ED3F70">
        <w:trPr>
          <w:trHeight w:val="122"/>
          <w:tblHeader/>
        </w:trPr>
        <w:tc>
          <w:tcPr>
            <w:tcW w:w="4093" w:type="dxa"/>
            <w:shd w:val="clear" w:color="auto" w:fill="FFFFFF"/>
            <w:tcMar>
              <w:top w:w="120" w:type="dxa"/>
              <w:left w:w="120" w:type="dxa"/>
              <w:bottom w:w="120" w:type="dxa"/>
              <w:right w:w="120" w:type="dxa"/>
            </w:tcMar>
            <w:vAlign w:val="center"/>
          </w:tcPr>
          <w:p w14:paraId="3C99392F" w14:textId="716C8F8F" w:rsidR="0072372B" w:rsidRPr="0072372B" w:rsidRDefault="0072372B" w:rsidP="0026028D">
            <w:pPr>
              <w:contextualSpacing/>
              <w:rPr>
                <w:bCs/>
              </w:rPr>
            </w:pPr>
            <w:r w:rsidRPr="0072372B">
              <w:rPr>
                <w:bCs/>
              </w:rPr>
              <w:t>Biological Threshold</w:t>
            </w:r>
          </w:p>
        </w:tc>
        <w:tc>
          <w:tcPr>
            <w:tcW w:w="0" w:type="auto"/>
            <w:shd w:val="clear" w:color="auto" w:fill="FFFFFF"/>
            <w:tcMar>
              <w:top w:w="120" w:type="dxa"/>
              <w:left w:w="120" w:type="dxa"/>
              <w:bottom w:w="120" w:type="dxa"/>
              <w:right w:w="120" w:type="dxa"/>
            </w:tcMar>
            <w:vAlign w:val="center"/>
          </w:tcPr>
          <w:p w14:paraId="5D338648" w14:textId="18820A40" w:rsidR="0072372B" w:rsidRPr="0072372B" w:rsidRDefault="00000000" w:rsidP="0026028D">
            <w:pPr>
              <w:contextualSpacing/>
              <w:jc w:val="right"/>
              <w:rPr>
                <w:bCs/>
              </w:rPr>
            </w:pPr>
            <m:oMathPara>
              <m:oMath>
                <m:sSub>
                  <m:sSubPr>
                    <m:ctrlPr>
                      <w:rPr>
                        <w:rFonts w:ascii="Cambria Math" w:hAnsi="Cambria Math"/>
                        <w:bCs/>
                        <w:i/>
                      </w:rPr>
                    </m:ctrlPr>
                  </m:sSubPr>
                  <m:e>
                    <m:r>
                      <w:rPr>
                        <w:rFonts w:ascii="Cambria Math" w:hAnsi="Cambria Math"/>
                      </w:rPr>
                      <m:t>K</m:t>
                    </m:r>
                  </m:e>
                  <m:sub>
                    <m:r>
                      <w:rPr>
                        <w:rFonts w:ascii="Cambria Math" w:hAnsi="Cambria Math"/>
                      </w:rPr>
                      <m:t>wnt</m:t>
                    </m:r>
                  </m:sub>
                </m:sSub>
                <m:r>
                  <w:rPr>
                    <w:rFonts w:ascii="Cambria Math" w:hAnsi="Cambria Math"/>
                  </w:rPr>
                  <m:t xml:space="preserve">, </m:t>
                </m:r>
                <m:sSub>
                  <m:sSubPr>
                    <m:ctrlPr>
                      <w:rPr>
                        <w:rFonts w:ascii="Cambria Math" w:hAnsi="Cambria Math"/>
                        <w:bCs/>
                        <w:i/>
                      </w:rPr>
                    </m:ctrlPr>
                  </m:sSubPr>
                  <m:e>
                    <m:r>
                      <w:rPr>
                        <w:rFonts w:ascii="Cambria Math" w:hAnsi="Cambria Math"/>
                      </w:rPr>
                      <m:t>K</m:t>
                    </m:r>
                  </m:e>
                  <m:sub>
                    <m:r>
                      <w:rPr>
                        <w:rFonts w:ascii="Cambria Math" w:hAnsi="Cambria Math"/>
                      </w:rPr>
                      <m:t>FGF5</m:t>
                    </m:r>
                  </m:sub>
                </m:sSub>
              </m:oMath>
            </m:oMathPara>
          </w:p>
        </w:tc>
        <w:tc>
          <w:tcPr>
            <w:tcW w:w="2229" w:type="dxa"/>
            <w:shd w:val="clear" w:color="auto" w:fill="FFFFFF"/>
          </w:tcPr>
          <w:p w14:paraId="1CB35991" w14:textId="77777777" w:rsidR="0072372B" w:rsidRPr="0072372B" w:rsidRDefault="0072372B" w:rsidP="0072372B">
            <w:pPr>
              <w:contextualSpacing/>
              <w:jc w:val="center"/>
              <w:rPr>
                <w:bCs/>
              </w:rPr>
            </w:pPr>
          </w:p>
        </w:tc>
        <w:tc>
          <w:tcPr>
            <w:tcW w:w="2229" w:type="dxa"/>
            <w:shd w:val="clear" w:color="auto" w:fill="FFFFFF"/>
            <w:tcMar>
              <w:top w:w="120" w:type="dxa"/>
              <w:left w:w="120" w:type="dxa"/>
              <w:bottom w:w="120" w:type="dxa"/>
              <w:right w:w="120" w:type="dxa"/>
            </w:tcMar>
            <w:vAlign w:val="center"/>
          </w:tcPr>
          <w:p w14:paraId="277FC840" w14:textId="2E9D1747" w:rsidR="0072372B" w:rsidRPr="0072372B" w:rsidRDefault="0072372B" w:rsidP="0026028D">
            <w:pPr>
              <w:contextualSpacing/>
              <w:jc w:val="right"/>
              <w:rPr>
                <w:bCs/>
              </w:rPr>
            </w:pPr>
            <w:r>
              <w:rPr>
                <w:bCs/>
              </w:rPr>
              <w:t>0.4 to 0.6 normalized</w:t>
            </w:r>
          </w:p>
        </w:tc>
      </w:tr>
      <w:tr w:rsidR="0072372B" w:rsidRPr="00BF4711" w14:paraId="710E71DF" w14:textId="77777777" w:rsidTr="00ED3F70">
        <w:trPr>
          <w:trHeight w:val="122"/>
          <w:tblHeader/>
        </w:trPr>
        <w:tc>
          <w:tcPr>
            <w:tcW w:w="4093" w:type="dxa"/>
            <w:shd w:val="clear" w:color="auto" w:fill="FFFFFF"/>
            <w:tcMar>
              <w:top w:w="120" w:type="dxa"/>
              <w:left w:w="120" w:type="dxa"/>
              <w:bottom w:w="120" w:type="dxa"/>
              <w:right w:w="120" w:type="dxa"/>
            </w:tcMar>
            <w:vAlign w:val="center"/>
          </w:tcPr>
          <w:p w14:paraId="10DECA22" w14:textId="397F928B" w:rsidR="0072372B" w:rsidRPr="0072372B" w:rsidRDefault="0072372B" w:rsidP="0026028D">
            <w:pPr>
              <w:contextualSpacing/>
              <w:rPr>
                <w:bCs/>
              </w:rPr>
            </w:pPr>
            <w:r w:rsidRPr="0072372B">
              <w:rPr>
                <w:bCs/>
              </w:rPr>
              <w:t>Biological Threshold</w:t>
            </w:r>
          </w:p>
        </w:tc>
        <w:tc>
          <w:tcPr>
            <w:tcW w:w="0" w:type="auto"/>
            <w:shd w:val="clear" w:color="auto" w:fill="FFFFFF"/>
            <w:tcMar>
              <w:top w:w="120" w:type="dxa"/>
              <w:left w:w="120" w:type="dxa"/>
              <w:bottom w:w="120" w:type="dxa"/>
              <w:right w:w="120" w:type="dxa"/>
            </w:tcMar>
            <w:vAlign w:val="center"/>
          </w:tcPr>
          <w:p w14:paraId="4DFD3B64" w14:textId="595310AF" w:rsidR="0072372B" w:rsidRPr="00FF5DD3" w:rsidRDefault="00000000" w:rsidP="0026028D">
            <w:pPr>
              <w:contextualSpacing/>
              <w:jc w:val="right"/>
              <w:rPr>
                <w:bCs/>
              </w:rPr>
            </w:pPr>
            <m:oMathPara>
              <m:oMath>
                <m:sSub>
                  <m:sSubPr>
                    <m:ctrlPr>
                      <w:rPr>
                        <w:rFonts w:ascii="Cambria Math" w:hAnsi="Cambria Math"/>
                        <w:bCs/>
                        <w:i/>
                      </w:rPr>
                    </m:ctrlPr>
                  </m:sSubPr>
                  <m:e>
                    <m:r>
                      <w:rPr>
                        <w:rFonts w:ascii="Cambria Math" w:hAnsi="Cambria Math"/>
                      </w:rPr>
                      <m:t>K</m:t>
                    </m:r>
                  </m:e>
                  <m:sub>
                    <m:r>
                      <w:rPr>
                        <w:rFonts w:ascii="Cambria Math" w:hAnsi="Cambria Math"/>
                      </w:rPr>
                      <m:t>DHT</m:t>
                    </m:r>
                  </m:sub>
                </m:sSub>
              </m:oMath>
            </m:oMathPara>
          </w:p>
        </w:tc>
        <w:tc>
          <w:tcPr>
            <w:tcW w:w="2229" w:type="dxa"/>
            <w:shd w:val="clear" w:color="auto" w:fill="FFFFFF"/>
          </w:tcPr>
          <w:p w14:paraId="06DC4F49" w14:textId="77777777" w:rsidR="0072372B" w:rsidRPr="0072372B" w:rsidRDefault="0072372B" w:rsidP="0072372B">
            <w:pPr>
              <w:contextualSpacing/>
              <w:jc w:val="center"/>
              <w:rPr>
                <w:bCs/>
              </w:rPr>
            </w:pPr>
          </w:p>
        </w:tc>
        <w:tc>
          <w:tcPr>
            <w:tcW w:w="2229" w:type="dxa"/>
            <w:shd w:val="clear" w:color="auto" w:fill="FFFFFF"/>
            <w:tcMar>
              <w:top w:w="120" w:type="dxa"/>
              <w:left w:w="120" w:type="dxa"/>
              <w:bottom w:w="120" w:type="dxa"/>
              <w:right w:w="120" w:type="dxa"/>
            </w:tcMar>
            <w:vAlign w:val="center"/>
          </w:tcPr>
          <w:p w14:paraId="4CDA62D5" w14:textId="03240F0C" w:rsidR="0072372B" w:rsidRDefault="0072372B" w:rsidP="0026028D">
            <w:pPr>
              <w:contextualSpacing/>
              <w:jc w:val="right"/>
              <w:rPr>
                <w:bCs/>
              </w:rPr>
            </w:pPr>
            <w:r>
              <w:rPr>
                <w:bCs/>
              </w:rPr>
              <w:t>0.2 to 0.8 normalized</w:t>
            </w:r>
          </w:p>
        </w:tc>
      </w:tr>
    </w:tbl>
    <w:p w14:paraId="31FB1406" w14:textId="77777777" w:rsidR="00D276F3" w:rsidRPr="00BF4711" w:rsidRDefault="00D276F3" w:rsidP="0026028D">
      <w:pPr>
        <w:pStyle w:val="ListParagraph"/>
        <w:tabs>
          <w:tab w:val="left" w:pos="3500"/>
        </w:tabs>
      </w:pPr>
    </w:p>
    <w:p w14:paraId="083BF2B7" w14:textId="3C860C73" w:rsidR="00172740" w:rsidRPr="00BF4711" w:rsidRDefault="0079552D" w:rsidP="0026028D">
      <w:pPr>
        <w:contextualSpacing/>
        <w:jc w:val="both"/>
        <w:rPr>
          <w:rFonts w:eastAsiaTheme="minorHAnsi"/>
        </w:rPr>
      </w:pPr>
      <w:r w:rsidRPr="00BF4711">
        <w:rPr>
          <w:rFonts w:eastAsiaTheme="minorHAnsi"/>
        </w:rPr>
        <w:t>The parameter ranges used in this model correspond to typical values reported in the hemodialysis literature and clinical practice</w:t>
      </w:r>
      <w:r w:rsidR="00E926EC" w:rsidRPr="00BF4711">
        <w:rPr>
          <w:rFonts w:eastAsiaTheme="minorHAnsi"/>
        </w:rPr>
        <w:t xml:space="preserve"> ([1], [4])</w:t>
      </w:r>
      <w:r w:rsidRPr="00BF4711">
        <w:rPr>
          <w:rFonts w:eastAsiaTheme="minorHAnsi"/>
        </w:rPr>
        <w:t xml:space="preserve">. Blood flow rates typically range between 200 and 500 mL/min, while dialysate flow rates are commonly maintained between 500 and 800 mL/min. The overall mass transfer coefficient, which depends on membrane permeability and surface area, generally lies between 400 and 1200 mL/min. The effective patient distribution </w:t>
      </w:r>
      <w:r w:rsidR="000F4186" w:rsidRPr="00BF4711">
        <w:rPr>
          <w:rFonts w:eastAsiaTheme="minorHAnsi"/>
        </w:rPr>
        <w:t>volume</w:t>
      </w:r>
      <w:r w:rsidRPr="00BF4711">
        <w:rPr>
          <w:rFonts w:eastAsiaTheme="minorHAnsi"/>
        </w:rPr>
        <w:t xml:space="preserve"> typically ranges from 30 to 50 L depending on patient size</w:t>
      </w:r>
      <w:r w:rsidR="006F12B3" w:rsidRPr="00BF4711">
        <w:rPr>
          <w:rFonts w:eastAsiaTheme="minorHAnsi"/>
        </w:rPr>
        <w:t xml:space="preserve"> and </w:t>
      </w:r>
      <w:r w:rsidR="00AD79D5" w:rsidRPr="00BF4711">
        <w:rPr>
          <w:rFonts w:eastAsiaTheme="minorHAnsi"/>
        </w:rPr>
        <w:t>the Urea solute initial concentration ranges from 20-25mmol/L</w:t>
      </w:r>
      <w:r w:rsidRPr="00BF4711">
        <w:rPr>
          <w:rFonts w:eastAsiaTheme="minorHAnsi"/>
        </w:rPr>
        <w:t>. In this project, we assumed those parameters to remain constant during the dialysis session</w:t>
      </w:r>
      <w:r w:rsidR="00E926EC" w:rsidRPr="00BF4711">
        <w:rPr>
          <w:rFonts w:eastAsiaTheme="minorHAnsi"/>
        </w:rPr>
        <w:t>.</w:t>
      </w:r>
    </w:p>
    <w:p w14:paraId="6E943253" w14:textId="77777777" w:rsidR="00840BB6" w:rsidRPr="00BF4711" w:rsidRDefault="00840BB6" w:rsidP="0026028D">
      <w:pPr>
        <w:contextualSpacing/>
        <w:jc w:val="both"/>
        <w:rPr>
          <w:rFonts w:eastAsiaTheme="minorHAnsi"/>
        </w:rPr>
      </w:pPr>
    </w:p>
    <w:p w14:paraId="2735714C" w14:textId="5A6C2558" w:rsidR="00853AE7" w:rsidRPr="00BF4711" w:rsidRDefault="00BC2B04" w:rsidP="0026028D">
      <w:pPr>
        <w:pStyle w:val="ListParagraph"/>
        <w:numPr>
          <w:ilvl w:val="0"/>
          <w:numId w:val="1"/>
        </w:numPr>
        <w:ind w:left="360"/>
        <w:rPr>
          <w:b/>
        </w:rPr>
      </w:pPr>
      <w:r w:rsidRPr="00BF4711">
        <w:rPr>
          <w:b/>
        </w:rPr>
        <w:t>Results &amp; Discussion</w:t>
      </w:r>
    </w:p>
    <w:p w14:paraId="23752C39" w14:textId="77777777" w:rsidR="00C91902" w:rsidRDefault="00C91902" w:rsidP="0026028D">
      <w:pPr>
        <w:pStyle w:val="NormalWeb"/>
        <w:spacing w:before="0" w:beforeAutospacing="0" w:after="0" w:afterAutospacing="0"/>
        <w:contextualSpacing/>
        <w:jc w:val="both"/>
        <w:rPr>
          <w:rFonts w:eastAsiaTheme="minorHAnsi"/>
        </w:rPr>
      </w:pPr>
    </w:p>
    <w:p w14:paraId="3DD5EBDF" w14:textId="69DE1384" w:rsidR="00F5665A" w:rsidRPr="00BF4711" w:rsidRDefault="0047134E" w:rsidP="0026028D">
      <w:pPr>
        <w:pStyle w:val="NormalWeb"/>
        <w:spacing w:before="0" w:beforeAutospacing="0" w:after="0" w:afterAutospacing="0"/>
        <w:contextualSpacing/>
        <w:jc w:val="both"/>
        <w:rPr>
          <w:rFonts w:eastAsiaTheme="minorHAnsi"/>
        </w:rPr>
      </w:pPr>
      <w:r w:rsidRPr="00BF4711">
        <w:rPr>
          <w:rFonts w:eastAsiaTheme="minorHAnsi"/>
        </w:rPr>
        <w:t xml:space="preserve">The axial profile </w:t>
      </w:r>
      <w:r w:rsidR="00F5665A" w:rsidRPr="00BF4711">
        <w:rPr>
          <w:rFonts w:eastAsiaTheme="minorHAnsi"/>
        </w:rPr>
        <w:t xml:space="preserve">of the concentration difference </w:t>
      </w:r>
      <m:oMath>
        <m:r>
          <w:rPr>
            <w:rFonts w:ascii="Cambria Math" w:hAnsi="Cambria Math"/>
          </w:rPr>
          <m:t>∆</m:t>
        </m:r>
        <m:d>
          <m:dPr>
            <m:ctrlPr>
              <w:rPr>
                <w:rFonts w:ascii="Cambria Math" w:hAnsi="Cambria Math"/>
                <w:i/>
              </w:rPr>
            </m:ctrlPr>
          </m:dPr>
          <m:e>
            <m:r>
              <w:rPr>
                <w:rFonts w:ascii="Cambria Math" w:hAnsi="Cambria Math"/>
              </w:rPr>
              <m:t>x</m:t>
            </m:r>
          </m:e>
        </m:d>
      </m:oMath>
      <w:r w:rsidR="00AE5AEA" w:rsidRPr="00BF4711">
        <w:rPr>
          <w:rFonts w:eastAsiaTheme="minorEastAsia"/>
        </w:rPr>
        <w:t xml:space="preserve"> between blood and dialysate for co-current (CO) and counter-current</w:t>
      </w:r>
      <w:r w:rsidR="00437102" w:rsidRPr="00BF4711">
        <w:rPr>
          <w:rFonts w:eastAsiaTheme="minorEastAsia"/>
        </w:rPr>
        <w:t xml:space="preserve"> (CC) flow is shown for the lumped two-compartment box model of the dialyzer (</w:t>
      </w:r>
      <w:r w:rsidR="00437102" w:rsidRPr="00BF4711">
        <w:rPr>
          <w:rFonts w:eastAsiaTheme="minorEastAsia"/>
          <w:b/>
          <w:bCs/>
          <w:i/>
          <w:iCs/>
        </w:rPr>
        <w:t xml:space="preserve">Figure </w:t>
      </w:r>
      <w:r w:rsidR="00872854">
        <w:rPr>
          <w:rFonts w:eastAsiaTheme="minorEastAsia"/>
          <w:b/>
          <w:bCs/>
          <w:i/>
          <w:iCs/>
        </w:rPr>
        <w:t>2</w:t>
      </w:r>
      <w:r w:rsidR="00437102" w:rsidRPr="00BF4711">
        <w:rPr>
          <w:rFonts w:eastAsiaTheme="minorEastAsia"/>
          <w:b/>
          <w:bCs/>
          <w:i/>
          <w:iCs/>
        </w:rPr>
        <w:t>a</w:t>
      </w:r>
      <w:r w:rsidR="00743552" w:rsidRPr="00BF4711">
        <w:rPr>
          <w:rFonts w:eastAsiaTheme="minorEastAsia"/>
        </w:rPr>
        <w:t>). In the CO configuration, the two streams enter</w:t>
      </w:r>
      <w:r w:rsidR="00806239" w:rsidRPr="00BF4711">
        <w:rPr>
          <w:rFonts w:eastAsiaTheme="minorEastAsia"/>
        </w:rPr>
        <w:t xml:space="preserve"> with the largest initial concentration </w:t>
      </w:r>
      <w:r w:rsidR="008353EE" w:rsidRPr="00BF4711">
        <w:rPr>
          <w:rFonts w:eastAsiaTheme="minorEastAsia"/>
        </w:rPr>
        <w:t xml:space="preserve">difference </w:t>
      </w:r>
      <m:oMath>
        <m:r>
          <w:rPr>
            <w:rFonts w:ascii="Cambria Math" w:hAnsi="Cambria Math"/>
          </w:rPr>
          <m:t>∆</m:t>
        </m:r>
        <m:d>
          <m:dPr>
            <m:ctrlPr>
              <w:rPr>
                <w:rFonts w:ascii="Cambria Math" w:hAnsi="Cambria Math"/>
                <w:i/>
              </w:rPr>
            </m:ctrlPr>
          </m:dPr>
          <m:e>
            <m:r>
              <w:rPr>
                <w:rFonts w:ascii="Cambria Math" w:hAnsi="Cambria Math"/>
              </w:rPr>
              <m:t>0</m:t>
            </m:r>
          </m:e>
        </m:d>
      </m:oMath>
      <w:r w:rsidR="008353EE" w:rsidRPr="00BF4711">
        <w:rPr>
          <w:rFonts w:eastAsiaTheme="minorEastAsia"/>
        </w:rPr>
        <w:t xml:space="preserve">, </w:t>
      </w:r>
      <w:r w:rsidR="0011653E" w:rsidRPr="00BF4711">
        <w:rPr>
          <w:rFonts w:eastAsiaTheme="minorEastAsia"/>
        </w:rPr>
        <w:t xml:space="preserve">but this driving force collapses rapidly as both fluids move </w:t>
      </w:r>
      <w:r w:rsidR="00666D4E" w:rsidRPr="00BF4711">
        <w:rPr>
          <w:rFonts w:eastAsiaTheme="minorEastAsia"/>
        </w:rPr>
        <w:t>in the same direction</w:t>
      </w:r>
      <w:r w:rsidR="00C60B51" w:rsidRPr="00BF4711">
        <w:rPr>
          <w:rFonts w:eastAsiaTheme="minorEastAsia"/>
        </w:rPr>
        <w:t xml:space="preserve"> and </w:t>
      </w:r>
      <w:r w:rsidR="0022674D" w:rsidRPr="00BF4711">
        <w:rPr>
          <w:rFonts w:eastAsiaTheme="minorEastAsia"/>
        </w:rPr>
        <w:t xml:space="preserve">quickly approach local equilibrium. </w:t>
      </w:r>
      <w:r w:rsidR="00652AC9" w:rsidRPr="00BF4711">
        <w:rPr>
          <w:rFonts w:eastAsiaTheme="minorEastAsia"/>
        </w:rPr>
        <w:t>As a consequence</w:t>
      </w:r>
      <w:r w:rsidR="0022674D" w:rsidRPr="00BF4711">
        <w:rPr>
          <w:rFonts w:eastAsiaTheme="minorEastAsia"/>
        </w:rPr>
        <w:t xml:space="preserve">, most solute removal occurs near the inlet, and the remaining </w:t>
      </w:r>
      <w:r w:rsidR="001B5743" w:rsidRPr="00BF4711">
        <w:rPr>
          <w:rFonts w:eastAsiaTheme="minorEastAsia"/>
        </w:rPr>
        <w:t>fiber</w:t>
      </w:r>
      <w:r w:rsidR="0022674D" w:rsidRPr="00BF4711">
        <w:rPr>
          <w:rFonts w:eastAsiaTheme="minorEastAsia"/>
        </w:rPr>
        <w:t xml:space="preserve"> length contributes little additional clearance. In contrast, the CC configuration main</w:t>
      </w:r>
      <w:r w:rsidR="00832BAB" w:rsidRPr="00BF4711">
        <w:rPr>
          <w:rFonts w:eastAsiaTheme="minorEastAsia"/>
        </w:rPr>
        <w:t xml:space="preserve">tains a more </w:t>
      </w:r>
      <w:r w:rsidR="001B5743" w:rsidRPr="00BF4711">
        <w:rPr>
          <w:rFonts w:eastAsiaTheme="minorEastAsia"/>
        </w:rPr>
        <w:t>uniform</w:t>
      </w:r>
      <w:r w:rsidR="00832BAB" w:rsidRPr="00BF4711">
        <w:rPr>
          <w:rFonts w:eastAsiaTheme="minorEastAsia"/>
        </w:rPr>
        <w:t xml:space="preserve"> and sustained </w:t>
      </w:r>
      <w:r w:rsidR="001B5743" w:rsidRPr="00BF4711">
        <w:rPr>
          <w:rFonts w:eastAsiaTheme="minorEastAsia"/>
        </w:rPr>
        <w:t>concentration</w:t>
      </w:r>
      <w:r w:rsidR="00832BAB" w:rsidRPr="00BF4711">
        <w:rPr>
          <w:rFonts w:eastAsiaTheme="minorEastAsia"/>
        </w:rPr>
        <w:t xml:space="preserve"> difference along the entire </w:t>
      </w:r>
      <w:r w:rsidR="001B5743" w:rsidRPr="00BF4711">
        <w:rPr>
          <w:rFonts w:eastAsiaTheme="minorEastAsia"/>
        </w:rPr>
        <w:t>length</w:t>
      </w:r>
      <w:r w:rsidR="00832BAB" w:rsidRPr="00BF4711">
        <w:rPr>
          <w:rFonts w:eastAsiaTheme="minorEastAsia"/>
        </w:rPr>
        <w:t xml:space="preserve">. </w:t>
      </w:r>
      <w:r w:rsidR="003B554B" w:rsidRPr="00BF4711">
        <w:rPr>
          <w:rFonts w:eastAsiaTheme="minorEastAsia"/>
        </w:rPr>
        <w:t>Although</w:t>
      </w:r>
      <w:r w:rsidR="00832BAB" w:rsidRPr="00BF4711">
        <w:rPr>
          <w:rFonts w:eastAsiaTheme="minorEastAsia"/>
        </w:rPr>
        <w:t xml:space="preserve"> </w:t>
      </w:r>
      <w:r w:rsidR="001B5743" w:rsidRPr="00BF4711">
        <w:rPr>
          <w:rFonts w:eastAsiaTheme="minorEastAsia"/>
        </w:rPr>
        <w:t xml:space="preserve">the initial </w:t>
      </w:r>
      <w:r w:rsidR="00E63892" w:rsidRPr="00BF4711">
        <w:rPr>
          <w:rFonts w:eastAsiaTheme="minorEastAsia"/>
        </w:rPr>
        <w:t xml:space="preserve">gradient </w:t>
      </w:r>
      <w:r w:rsidR="00E576FC" w:rsidRPr="00BF4711">
        <w:rPr>
          <w:rFonts w:eastAsiaTheme="minorEastAsia"/>
        </w:rPr>
        <w:t xml:space="preserve">is smaller than in CO flow, the opposing movement of dialysate continually exposes the blood to fresher, lower-concentration dialysate, </w:t>
      </w:r>
      <w:r w:rsidR="000C096D" w:rsidRPr="00BF4711">
        <w:rPr>
          <w:rFonts w:eastAsiaTheme="minorEastAsia"/>
        </w:rPr>
        <w:t>thereby delaying equilibrium and producing a more gradual</w:t>
      </w:r>
      <w:r w:rsidR="00F87B48" w:rsidRPr="00BF4711">
        <w:rPr>
          <w:rFonts w:eastAsiaTheme="minorEastAsia"/>
        </w:rPr>
        <w:t xml:space="preserve"> decline in </w:t>
      </w:r>
      <m:oMath>
        <m:r>
          <w:rPr>
            <w:rFonts w:ascii="Cambria Math" w:hAnsi="Cambria Math"/>
          </w:rPr>
          <m:t>∆</m:t>
        </m:r>
        <m:d>
          <m:dPr>
            <m:ctrlPr>
              <w:rPr>
                <w:rFonts w:ascii="Cambria Math" w:hAnsi="Cambria Math"/>
                <w:i/>
              </w:rPr>
            </m:ctrlPr>
          </m:dPr>
          <m:e>
            <m:r>
              <w:rPr>
                <w:rFonts w:ascii="Cambria Math" w:hAnsi="Cambria Math"/>
              </w:rPr>
              <m:t>x</m:t>
            </m:r>
          </m:e>
        </m:d>
      </m:oMath>
      <w:r w:rsidR="00F87B48" w:rsidRPr="00BF4711">
        <w:rPr>
          <w:rFonts w:eastAsiaTheme="minorEastAsia"/>
        </w:rPr>
        <w:t xml:space="preserve">. </w:t>
      </w:r>
      <w:r w:rsidR="005C620D" w:rsidRPr="00BF4711">
        <w:rPr>
          <w:rFonts w:eastAsiaTheme="minorEastAsia"/>
        </w:rPr>
        <w:t>This sustained separation underlies the higher overall clearance achieved in CC operation.</w:t>
      </w:r>
      <w:r w:rsidR="00F87B48" w:rsidRPr="00BF4711">
        <w:rPr>
          <w:rFonts w:eastAsiaTheme="minorEastAsia"/>
        </w:rPr>
        <w:t xml:space="preserve"> </w:t>
      </w:r>
    </w:p>
    <w:p w14:paraId="7F50EC1B" w14:textId="77777777" w:rsidR="0091372F" w:rsidRDefault="0091372F" w:rsidP="0026028D">
      <w:pPr>
        <w:pStyle w:val="NormalWeb"/>
        <w:spacing w:before="0" w:beforeAutospacing="0" w:after="0" w:afterAutospacing="0"/>
        <w:contextualSpacing/>
        <w:jc w:val="both"/>
        <w:rPr>
          <w:rFonts w:eastAsiaTheme="minorHAnsi"/>
        </w:rPr>
      </w:pPr>
    </w:p>
    <w:p w14:paraId="26823D64" w14:textId="356D83A7" w:rsidR="00CF264E" w:rsidRPr="00BF4711" w:rsidRDefault="00CF264E" w:rsidP="0026028D">
      <w:pPr>
        <w:pStyle w:val="NormalWeb"/>
        <w:spacing w:before="0" w:beforeAutospacing="0" w:after="0" w:afterAutospacing="0"/>
        <w:contextualSpacing/>
        <w:jc w:val="both"/>
        <w:rPr>
          <w:rFonts w:eastAsiaTheme="minorEastAsia"/>
        </w:rPr>
      </w:pPr>
      <w:r w:rsidRPr="00BF4711">
        <w:rPr>
          <w:rFonts w:eastAsiaTheme="minorHAnsi"/>
        </w:rPr>
        <w:t xml:space="preserve">The corresponding individual concentration profiles </w:t>
      </w:r>
      <m:oMath>
        <m:sSub>
          <m:sSubPr>
            <m:ctrlPr>
              <w:rPr>
                <w:rFonts w:ascii="Cambria Math" w:hAnsi="Cambria Math"/>
                <w:i/>
              </w:rPr>
            </m:ctrlPr>
          </m:sSubPr>
          <m:e>
            <m:r>
              <w:rPr>
                <w:rFonts w:ascii="Cambria Math" w:hAnsi="Cambria Math"/>
              </w:rPr>
              <m:t>C</m:t>
            </m:r>
          </m:e>
          <m:sub>
            <m:r>
              <w:rPr>
                <w:rFonts w:ascii="Cambria Math" w:hAnsi="Cambria Math"/>
              </w:rPr>
              <m:t>b</m:t>
            </m:r>
          </m:sub>
        </m:sSub>
        <m:d>
          <m:dPr>
            <m:ctrlPr>
              <w:rPr>
                <w:rFonts w:ascii="Cambria Math" w:hAnsi="Cambria Math"/>
                <w:i/>
              </w:rPr>
            </m:ctrlPr>
          </m:dPr>
          <m:e>
            <m:r>
              <w:rPr>
                <w:rFonts w:ascii="Cambria Math" w:hAnsi="Cambria Math"/>
              </w:rPr>
              <m:t>x</m:t>
            </m:r>
          </m:e>
        </m:d>
      </m:oMath>
      <w:r w:rsidRPr="00BF4711">
        <w:rPr>
          <w:rFonts w:eastAsiaTheme="minorEastAsia"/>
        </w:rPr>
        <w:t xml:space="preserve"> </w:t>
      </w:r>
      <w:r w:rsidRPr="00BF4711">
        <w:rPr>
          <w:rFonts w:eastAsiaTheme="minorHAnsi"/>
        </w:rPr>
        <w:t xml:space="preserve">and </w:t>
      </w:r>
      <m:oMath>
        <m:sSub>
          <m:sSubPr>
            <m:ctrlPr>
              <w:rPr>
                <w:rFonts w:ascii="Cambria Math" w:hAnsi="Cambria Math"/>
                <w:i/>
              </w:rPr>
            </m:ctrlPr>
          </m:sSubPr>
          <m:e>
            <m:r>
              <w:rPr>
                <w:rFonts w:ascii="Cambria Math" w:hAnsi="Cambria Math"/>
              </w:rPr>
              <m:t>C</m:t>
            </m:r>
          </m:e>
          <m:sub>
            <m:r>
              <w:rPr>
                <w:rFonts w:ascii="Cambria Math" w:hAnsi="Cambria Math"/>
              </w:rPr>
              <m:t>d</m:t>
            </m:r>
          </m:sub>
        </m:sSub>
        <m:d>
          <m:dPr>
            <m:ctrlPr>
              <w:rPr>
                <w:rFonts w:ascii="Cambria Math" w:hAnsi="Cambria Math"/>
                <w:i/>
              </w:rPr>
            </m:ctrlPr>
          </m:dPr>
          <m:e>
            <m:r>
              <w:rPr>
                <w:rFonts w:ascii="Cambria Math" w:hAnsi="Cambria Math"/>
              </w:rPr>
              <m:t>x</m:t>
            </m:r>
          </m:e>
        </m:d>
      </m:oMath>
      <w:r w:rsidRPr="00BF4711">
        <w:rPr>
          <w:rFonts w:eastAsiaTheme="minorEastAsia"/>
        </w:rPr>
        <w:t xml:space="preserve"> for the two configurations further reinforce the above interpretation (</w:t>
      </w:r>
      <w:r w:rsidRPr="00BF4711">
        <w:rPr>
          <w:rFonts w:eastAsiaTheme="minorEastAsia"/>
          <w:b/>
          <w:bCs/>
        </w:rPr>
        <w:t xml:space="preserve">Figure </w:t>
      </w:r>
      <w:r w:rsidR="00872854">
        <w:rPr>
          <w:rFonts w:eastAsiaTheme="minorEastAsia"/>
          <w:b/>
          <w:bCs/>
        </w:rPr>
        <w:t>2</w:t>
      </w:r>
      <w:r w:rsidRPr="00BF4711">
        <w:rPr>
          <w:rFonts w:eastAsiaTheme="minorEastAsia"/>
          <w:b/>
          <w:bCs/>
        </w:rPr>
        <w:t>b</w:t>
      </w:r>
      <w:r w:rsidRPr="00BF4711">
        <w:rPr>
          <w:rFonts w:eastAsiaTheme="minorEastAsia"/>
        </w:rPr>
        <w:t xml:space="preserve">). In CO flow, the blood concentration decreases sharply while the dialysate concentration rises quickly, causing the two curves to converge early and leaving much of the device operating  near equilibrium. In CC flow, however, the blood concentration declines while the dialysate concentration rises more gradually, and the two curves remain separated over a much larger portion of the fiber. This persistent gap mirrors the sustained profile and reflects the continuous renewal of the driving force for the solute transfer. Together, </w:t>
      </w:r>
      <w:r w:rsidRPr="00BF4711">
        <w:rPr>
          <w:rFonts w:eastAsiaTheme="minorEastAsia"/>
          <w:b/>
          <w:bCs/>
          <w:i/>
          <w:iCs/>
        </w:rPr>
        <w:t xml:space="preserve">Figures </w:t>
      </w:r>
      <w:r w:rsidR="00872854">
        <w:rPr>
          <w:rFonts w:eastAsiaTheme="minorEastAsia"/>
          <w:b/>
          <w:bCs/>
          <w:i/>
          <w:iCs/>
        </w:rPr>
        <w:t>2</w:t>
      </w:r>
      <w:r w:rsidRPr="00BF4711">
        <w:rPr>
          <w:rFonts w:eastAsiaTheme="minorEastAsia"/>
          <w:b/>
          <w:bCs/>
          <w:i/>
          <w:iCs/>
        </w:rPr>
        <w:t>(a)</w:t>
      </w:r>
      <w:r w:rsidRPr="00BF4711">
        <w:rPr>
          <w:rFonts w:eastAsiaTheme="minorEastAsia"/>
        </w:rPr>
        <w:t xml:space="preserve"> and </w:t>
      </w:r>
      <w:r w:rsidR="00872854">
        <w:rPr>
          <w:rFonts w:eastAsiaTheme="minorEastAsia"/>
          <w:b/>
          <w:bCs/>
          <w:i/>
          <w:iCs/>
        </w:rPr>
        <w:t>2</w:t>
      </w:r>
      <w:r w:rsidRPr="00BF4711">
        <w:rPr>
          <w:rFonts w:eastAsiaTheme="minorEastAsia"/>
          <w:b/>
          <w:bCs/>
          <w:i/>
          <w:iCs/>
        </w:rPr>
        <w:t>(b)</w:t>
      </w:r>
      <w:r w:rsidRPr="00BF4711">
        <w:rPr>
          <w:rFonts w:eastAsiaTheme="minorEastAsia"/>
        </w:rPr>
        <w:t xml:space="preserve"> demonstrate that CC flow distributes the driving force more effectively along the device, explaining its superior solute-removal performance over CO flow.</w:t>
      </w:r>
    </w:p>
    <w:p w14:paraId="5FB10E66" w14:textId="77777777" w:rsidR="00CF264E" w:rsidRPr="00BF4711" w:rsidRDefault="00CF264E" w:rsidP="0026028D">
      <w:pPr>
        <w:pStyle w:val="NormalWeb"/>
        <w:spacing w:before="0" w:beforeAutospacing="0" w:after="0" w:afterAutospacing="0"/>
        <w:contextualSpacing/>
        <w:jc w:val="both"/>
        <w:rPr>
          <w:rFonts w:eastAsiaTheme="minorHAnsi"/>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43" w:type="dxa"/>
          <w:right w:w="43" w:type="dxa"/>
        </w:tblCellMar>
        <w:tblLook w:val="04A0" w:firstRow="1" w:lastRow="0" w:firstColumn="1" w:lastColumn="0" w:noHBand="0" w:noVBand="1"/>
      </w:tblPr>
      <w:tblGrid>
        <w:gridCol w:w="5034"/>
        <w:gridCol w:w="5046"/>
      </w:tblGrid>
      <w:tr w:rsidR="003F6FC6" w:rsidRPr="00BF4711" w14:paraId="3236663F" w14:textId="77777777" w:rsidTr="00F70B24">
        <w:trPr>
          <w:trHeight w:val="3392"/>
        </w:trPr>
        <w:tc>
          <w:tcPr>
            <w:tcW w:w="5035" w:type="dxa"/>
          </w:tcPr>
          <w:p w14:paraId="714B49AB" w14:textId="2D4C126D" w:rsidR="00764E4B" w:rsidRPr="00BF4711" w:rsidRDefault="005E74D7" w:rsidP="0026028D">
            <w:pPr>
              <w:pStyle w:val="NormalWeb"/>
              <w:spacing w:before="0" w:beforeAutospacing="0" w:after="0" w:afterAutospacing="0"/>
              <w:contextualSpacing/>
              <w:jc w:val="both"/>
              <w:rPr>
                <w:rFonts w:eastAsiaTheme="minorHAnsi"/>
              </w:rPr>
            </w:pPr>
            <w:r w:rsidRPr="00BF4711">
              <w:rPr>
                <w:rFonts w:eastAsiaTheme="minorHAnsi"/>
                <w:noProof/>
              </w:rPr>
              <w:drawing>
                <wp:inline distT="0" distB="0" distL="0" distR="0" wp14:anchorId="5A6BB1A5" wp14:editId="0C17E213">
                  <wp:extent cx="3218688" cy="2542032"/>
                  <wp:effectExtent l="0" t="0" r="1270" b="0"/>
                  <wp:docPr id="1163620022" name="Graphic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620022" name="Graphic 1163620022"/>
                          <pic:cNvPicPr/>
                        </pic:nvPicPr>
                        <pic:blipFill>
                          <a:blip r:embed="rId7">
                            <a:extLst>
                              <a:ext uri="{96DAC541-7B7A-43D3-8B79-37D633B846F1}">
                                <asvg:svgBlip xmlns:asvg="http://schemas.microsoft.com/office/drawing/2016/SVG/main" r:embed="rId8"/>
                              </a:ext>
                            </a:extLst>
                          </a:blip>
                          <a:stretch>
                            <a:fillRect/>
                          </a:stretch>
                        </pic:blipFill>
                        <pic:spPr>
                          <a:xfrm>
                            <a:off x="0" y="0"/>
                            <a:ext cx="3218688" cy="2542032"/>
                          </a:xfrm>
                          <a:prstGeom prst="rect">
                            <a:avLst/>
                          </a:prstGeom>
                        </pic:spPr>
                      </pic:pic>
                    </a:graphicData>
                  </a:graphic>
                </wp:inline>
              </w:drawing>
            </w:r>
          </w:p>
        </w:tc>
        <w:tc>
          <w:tcPr>
            <w:tcW w:w="5035" w:type="dxa"/>
          </w:tcPr>
          <w:p w14:paraId="70561A28" w14:textId="2673639A" w:rsidR="00764E4B" w:rsidRPr="00BF4711" w:rsidRDefault="00451811" w:rsidP="0026028D">
            <w:pPr>
              <w:pStyle w:val="NormalWeb"/>
              <w:spacing w:before="0" w:beforeAutospacing="0" w:after="0" w:afterAutospacing="0"/>
              <w:contextualSpacing/>
              <w:jc w:val="both"/>
              <w:rPr>
                <w:rFonts w:eastAsiaTheme="minorHAnsi"/>
              </w:rPr>
            </w:pPr>
            <w:r w:rsidRPr="00BF4711">
              <w:rPr>
                <w:rFonts w:eastAsiaTheme="minorHAnsi"/>
                <w:noProof/>
              </w:rPr>
              <w:drawing>
                <wp:inline distT="0" distB="0" distL="0" distR="0" wp14:anchorId="33C0C5B1" wp14:editId="3709C002">
                  <wp:extent cx="3227832" cy="2542032"/>
                  <wp:effectExtent l="0" t="0" r="0" b="0"/>
                  <wp:docPr id="654878116" name="Graphic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878116" name="Graphic 654878116"/>
                          <pic:cNvPicPr/>
                        </pic:nvPicPr>
                        <pic:blipFill>
                          <a:blip r:embed="rId9">
                            <a:extLst>
                              <a:ext uri="{96DAC541-7B7A-43D3-8B79-37D633B846F1}">
                                <asvg:svgBlip xmlns:asvg="http://schemas.microsoft.com/office/drawing/2016/SVG/main" r:embed="rId10"/>
                              </a:ext>
                            </a:extLst>
                          </a:blip>
                          <a:stretch>
                            <a:fillRect/>
                          </a:stretch>
                        </pic:blipFill>
                        <pic:spPr>
                          <a:xfrm>
                            <a:off x="0" y="0"/>
                            <a:ext cx="3227832" cy="2542032"/>
                          </a:xfrm>
                          <a:prstGeom prst="rect">
                            <a:avLst/>
                          </a:prstGeom>
                        </pic:spPr>
                      </pic:pic>
                    </a:graphicData>
                  </a:graphic>
                </wp:inline>
              </w:drawing>
            </w:r>
          </w:p>
        </w:tc>
      </w:tr>
      <w:tr w:rsidR="00F93CF2" w:rsidRPr="00BF4711" w14:paraId="34CEDCED" w14:textId="77777777" w:rsidTr="00F70B24">
        <w:tc>
          <w:tcPr>
            <w:tcW w:w="10070" w:type="dxa"/>
            <w:gridSpan w:val="2"/>
          </w:tcPr>
          <w:p w14:paraId="6D92D3A9" w14:textId="1CEA5509" w:rsidR="00F93CF2" w:rsidRPr="00BF4711" w:rsidRDefault="00070F28" w:rsidP="0026028D">
            <w:pPr>
              <w:pStyle w:val="NormalWeb"/>
              <w:spacing w:before="0" w:beforeAutospacing="0" w:after="0" w:afterAutospacing="0"/>
              <w:contextualSpacing/>
              <w:rPr>
                <w:rFonts w:eastAsiaTheme="minorHAnsi"/>
              </w:rPr>
            </w:pPr>
            <w:r w:rsidRPr="00BF4711">
              <w:rPr>
                <w:rFonts w:eastAsiaTheme="minorHAnsi"/>
                <w:b/>
                <w:bCs/>
                <w:i/>
                <w:iCs/>
              </w:rPr>
              <w:lastRenderedPageBreak/>
              <w:t xml:space="preserve">Figure </w:t>
            </w:r>
            <w:r w:rsidR="00872854">
              <w:rPr>
                <w:rFonts w:eastAsiaTheme="minorHAnsi"/>
                <w:b/>
                <w:bCs/>
                <w:i/>
                <w:iCs/>
              </w:rPr>
              <w:t>2</w:t>
            </w:r>
            <w:r w:rsidR="00333342" w:rsidRPr="00BF4711">
              <w:rPr>
                <w:rFonts w:eastAsiaTheme="minorHAnsi"/>
                <w:b/>
                <w:bCs/>
                <w:i/>
                <w:iCs/>
              </w:rPr>
              <w:t>.</w:t>
            </w:r>
            <w:r w:rsidR="00333342" w:rsidRPr="00BF4711">
              <w:rPr>
                <w:rFonts w:eastAsiaTheme="minorHAnsi"/>
              </w:rPr>
              <w:t xml:space="preserve"> </w:t>
            </w:r>
            <w:r w:rsidR="000D5DE2" w:rsidRPr="00BF4711">
              <w:rPr>
                <w:rFonts w:eastAsiaTheme="minorHAnsi"/>
              </w:rPr>
              <w:t>Box model predicted spatial concentration gradient</w:t>
            </w:r>
            <w:r w:rsidR="000A6CAC" w:rsidRPr="00BF4711">
              <w:rPr>
                <w:rFonts w:eastAsiaTheme="minorHAnsi"/>
              </w:rPr>
              <w:t>s</w:t>
            </w:r>
            <w:r w:rsidR="000D5DE2" w:rsidRPr="00BF4711">
              <w:rPr>
                <w:rFonts w:eastAsiaTheme="minorHAnsi"/>
              </w:rPr>
              <w:t xml:space="preserve"> (a) and concentration</w:t>
            </w:r>
            <w:r w:rsidR="000A6CAC" w:rsidRPr="00BF4711">
              <w:rPr>
                <w:rFonts w:eastAsiaTheme="minorHAnsi"/>
              </w:rPr>
              <w:t>s during co-current and counter-current kidney dialysis.</w:t>
            </w:r>
          </w:p>
        </w:tc>
      </w:tr>
    </w:tbl>
    <w:p w14:paraId="3F421EA1" w14:textId="77777777" w:rsidR="0091372F" w:rsidRPr="00BF4711" w:rsidRDefault="0091372F" w:rsidP="0026028D">
      <w:pPr>
        <w:pStyle w:val="NormalWeb"/>
        <w:spacing w:before="0" w:beforeAutospacing="0" w:after="0" w:afterAutospacing="0"/>
        <w:contextualSpacing/>
        <w:jc w:val="both"/>
        <w:rPr>
          <w:rFonts w:eastAsiaTheme="minorHAnsi"/>
        </w:rPr>
      </w:pPr>
    </w:p>
    <w:p w14:paraId="5EE623F6" w14:textId="30A79112" w:rsidR="00164712" w:rsidRPr="00631250" w:rsidRDefault="006E37A6" w:rsidP="00DC030F">
      <w:pPr>
        <w:pStyle w:val="NormalWeb"/>
        <w:spacing w:before="0" w:beforeAutospacing="0" w:after="120" w:afterAutospacing="0"/>
        <w:jc w:val="both"/>
        <w:rPr>
          <w:rFonts w:eastAsiaTheme="minorEastAsia"/>
          <w:b/>
          <w:bCs/>
        </w:rPr>
      </w:pPr>
      <w:r w:rsidRPr="00BF4711">
        <w:rPr>
          <w:rFonts w:eastAsiaTheme="minorEastAsia"/>
          <w:b/>
          <w:bCs/>
        </w:rPr>
        <w:t>Sensitivity to K</w:t>
      </w:r>
      <w:r w:rsidRPr="00BF4711">
        <w:rPr>
          <w:rFonts w:eastAsiaTheme="minorEastAsia"/>
          <w:b/>
          <w:bCs/>
          <w:vertAlign w:val="subscript"/>
        </w:rPr>
        <w:t>0</w:t>
      </w:r>
      <w:r w:rsidRPr="00BF4711">
        <w:rPr>
          <w:rFonts w:eastAsiaTheme="minorEastAsia"/>
          <w:b/>
          <w:bCs/>
        </w:rPr>
        <w:t>A.</w:t>
      </w:r>
    </w:p>
    <w:p w14:paraId="7357FC2B" w14:textId="20289DB0" w:rsidR="0098210B" w:rsidRPr="00BF4711" w:rsidRDefault="001E2FED" w:rsidP="0026028D">
      <w:pPr>
        <w:pStyle w:val="NormalWeb"/>
        <w:spacing w:before="0" w:beforeAutospacing="0" w:after="0" w:afterAutospacing="0"/>
        <w:contextualSpacing/>
        <w:jc w:val="both"/>
        <w:rPr>
          <w:rFonts w:eastAsiaTheme="minorEastAsia"/>
        </w:rPr>
      </w:pPr>
      <w:r w:rsidRPr="00BF4711">
        <w:rPr>
          <w:rFonts w:eastAsiaTheme="minorEastAsia"/>
        </w:rPr>
        <w:t xml:space="preserve">The sensitivity of </w:t>
      </w:r>
      <w:r w:rsidR="00CA5DF7" w:rsidRPr="00BF4711">
        <w:rPr>
          <w:rFonts w:eastAsiaTheme="minorEastAsia"/>
        </w:rPr>
        <w:t>the box model to changes in mass-transfer capacity K</w:t>
      </w:r>
      <w:r w:rsidR="00CA5DF7" w:rsidRPr="00BF4711">
        <w:rPr>
          <w:rFonts w:eastAsiaTheme="minorEastAsia"/>
          <w:vertAlign w:val="subscript"/>
        </w:rPr>
        <w:t>0</w:t>
      </w:r>
      <w:r w:rsidR="00CA5DF7" w:rsidRPr="00BF4711">
        <w:rPr>
          <w:rFonts w:eastAsiaTheme="minorEastAsia"/>
        </w:rPr>
        <w:t>A</w:t>
      </w:r>
      <w:r w:rsidR="00A620D1" w:rsidRPr="00BF4711">
        <w:rPr>
          <w:rFonts w:eastAsiaTheme="minorEastAsia"/>
        </w:rPr>
        <w:t xml:space="preserve"> is illustrated in </w:t>
      </w:r>
      <w:r w:rsidR="00A620D1" w:rsidRPr="00BF4711">
        <w:rPr>
          <w:rFonts w:eastAsiaTheme="minorEastAsia"/>
          <w:b/>
          <w:bCs/>
        </w:rPr>
        <w:t xml:space="preserve">Figure </w:t>
      </w:r>
      <w:r w:rsidR="00802886">
        <w:rPr>
          <w:rFonts w:eastAsiaTheme="minorEastAsia"/>
          <w:b/>
          <w:bCs/>
        </w:rPr>
        <w:t>3</w:t>
      </w:r>
      <w:r w:rsidR="00A620D1" w:rsidRPr="00BF4711">
        <w:rPr>
          <w:rFonts w:eastAsiaTheme="minorEastAsia"/>
        </w:rPr>
        <w:t xml:space="preserve">. These plots show how the concentration difference </w:t>
      </w:r>
      <w:r w:rsidR="00CA5DF7" w:rsidRPr="00BF4711">
        <w:rPr>
          <w:rFonts w:eastAsiaTheme="minorEastAsia"/>
        </w:rPr>
        <w:t xml:space="preserve"> </w:t>
      </w:r>
      <m:oMath>
        <m:r>
          <w:rPr>
            <w:rFonts w:ascii="Cambria Math" w:hAnsi="Cambria Math"/>
          </w:rPr>
          <m:t>∆</m:t>
        </m:r>
        <m:d>
          <m:dPr>
            <m:ctrlPr>
              <w:rPr>
                <w:rFonts w:ascii="Cambria Math" w:hAnsi="Cambria Math"/>
                <w:i/>
              </w:rPr>
            </m:ctrlPr>
          </m:dPr>
          <m:e>
            <m:r>
              <w:rPr>
                <w:rFonts w:ascii="Cambria Math" w:hAnsi="Cambria Math"/>
              </w:rPr>
              <m:t>x</m:t>
            </m:r>
          </m:e>
        </m:d>
      </m:oMath>
      <w:r w:rsidR="00F013EA" w:rsidRPr="00BF4711">
        <w:rPr>
          <w:rFonts w:eastAsiaTheme="minorEastAsia"/>
        </w:rPr>
        <w:t xml:space="preserve"> evolves along the fiber axis for both CO and CC</w:t>
      </w:r>
      <w:r w:rsidR="005877DE" w:rsidRPr="00BF4711">
        <w:rPr>
          <w:rFonts w:eastAsiaTheme="minorEastAsia"/>
        </w:rPr>
        <w:t xml:space="preserve"> flow when K</w:t>
      </w:r>
      <w:r w:rsidR="005877DE" w:rsidRPr="00BF4711">
        <w:rPr>
          <w:rFonts w:eastAsiaTheme="minorEastAsia"/>
          <w:vertAlign w:val="subscript"/>
        </w:rPr>
        <w:t>0</w:t>
      </w:r>
      <w:r w:rsidR="005877DE" w:rsidRPr="00BF4711">
        <w:rPr>
          <w:rFonts w:eastAsiaTheme="minorEastAsia"/>
        </w:rPr>
        <w:t xml:space="preserve">A is varied. </w:t>
      </w:r>
      <w:r w:rsidR="002015CD" w:rsidRPr="00BF4711">
        <w:rPr>
          <w:rFonts w:eastAsiaTheme="minorEastAsia"/>
        </w:rPr>
        <w:t>Changing K</w:t>
      </w:r>
      <w:r w:rsidR="002015CD" w:rsidRPr="00BF4711">
        <w:rPr>
          <w:rFonts w:eastAsiaTheme="minorEastAsia"/>
          <w:vertAlign w:val="subscript"/>
        </w:rPr>
        <w:t>0</w:t>
      </w:r>
      <w:r w:rsidR="002015CD" w:rsidRPr="00BF4711">
        <w:rPr>
          <w:rFonts w:eastAsiaTheme="minorEastAsia"/>
        </w:rPr>
        <w:t>A</w:t>
      </w:r>
      <w:r w:rsidR="0083568C" w:rsidRPr="00BF4711">
        <w:rPr>
          <w:rFonts w:eastAsiaTheme="minorEastAsia"/>
        </w:rPr>
        <w:t xml:space="preserve"> effectively mimics the behavior of </w:t>
      </w:r>
      <w:r w:rsidR="0075004A" w:rsidRPr="00BF4711">
        <w:rPr>
          <w:rFonts w:eastAsiaTheme="minorEastAsia"/>
        </w:rPr>
        <w:t>solutes with different diffusi</w:t>
      </w:r>
      <w:r w:rsidR="002729E7" w:rsidRPr="00BF4711">
        <w:rPr>
          <w:rFonts w:eastAsiaTheme="minorEastAsia"/>
        </w:rPr>
        <w:t>vities</w:t>
      </w:r>
      <w:r w:rsidR="0071519A" w:rsidRPr="00BF4711">
        <w:rPr>
          <w:rFonts w:eastAsiaTheme="minorEastAsia"/>
        </w:rPr>
        <w:t xml:space="preserve">: </w:t>
      </w:r>
      <w:r w:rsidR="002729E7" w:rsidRPr="00BF4711">
        <w:rPr>
          <w:rFonts w:eastAsiaTheme="minorEastAsia"/>
        </w:rPr>
        <w:t>lower K</w:t>
      </w:r>
      <w:r w:rsidR="002729E7" w:rsidRPr="00BF4711">
        <w:rPr>
          <w:rFonts w:eastAsiaTheme="minorEastAsia"/>
          <w:vertAlign w:val="subscript"/>
        </w:rPr>
        <w:t>0</w:t>
      </w:r>
      <w:r w:rsidR="002729E7" w:rsidRPr="00BF4711">
        <w:rPr>
          <w:rFonts w:eastAsiaTheme="minorEastAsia"/>
        </w:rPr>
        <w:t>A values resemble larger</w:t>
      </w:r>
      <w:r w:rsidR="007D1FB1" w:rsidRPr="00BF4711">
        <w:rPr>
          <w:rFonts w:eastAsiaTheme="minorEastAsia"/>
        </w:rPr>
        <w:t xml:space="preserve"> </w:t>
      </w:r>
      <w:r w:rsidR="00B006DB" w:rsidRPr="00BF4711">
        <w:rPr>
          <w:rFonts w:eastAsiaTheme="minorEastAsia"/>
        </w:rPr>
        <w:t xml:space="preserve">(slower diffusive) </w:t>
      </w:r>
      <w:r w:rsidR="00991804" w:rsidRPr="00BF4711">
        <w:rPr>
          <w:rFonts w:eastAsiaTheme="minorEastAsia"/>
        </w:rPr>
        <w:t>solutes</w:t>
      </w:r>
      <w:r w:rsidR="004157D5" w:rsidRPr="00BF4711">
        <w:rPr>
          <w:rFonts w:eastAsiaTheme="minorEastAsia"/>
        </w:rPr>
        <w:t xml:space="preserve"> such as phosphate</w:t>
      </w:r>
      <w:r w:rsidR="0000425B" w:rsidRPr="00BF4711">
        <w:rPr>
          <w:rFonts w:eastAsiaTheme="minorEastAsia"/>
        </w:rPr>
        <w:t xml:space="preserve"> (PO</w:t>
      </w:r>
      <w:r w:rsidR="0000425B" w:rsidRPr="00BF4711">
        <w:rPr>
          <w:rFonts w:eastAsiaTheme="minorEastAsia"/>
          <w:vertAlign w:val="subscript"/>
        </w:rPr>
        <w:t>4</w:t>
      </w:r>
      <w:r w:rsidR="0000425B" w:rsidRPr="00BF4711">
        <w:rPr>
          <w:rFonts w:eastAsiaTheme="minorEastAsia"/>
          <w:vertAlign w:val="superscript"/>
        </w:rPr>
        <w:t>2-</w:t>
      </w:r>
      <w:r w:rsidR="0000425B" w:rsidRPr="00BF4711">
        <w:rPr>
          <w:rFonts w:eastAsiaTheme="minorEastAsia"/>
        </w:rPr>
        <w:t>)</w:t>
      </w:r>
      <w:r w:rsidR="00DC5DF9" w:rsidRPr="00BF4711">
        <w:rPr>
          <w:rFonts w:eastAsiaTheme="minorEastAsia"/>
        </w:rPr>
        <w:t>, mid-range values correspond to solutes like crea</w:t>
      </w:r>
      <w:r w:rsidR="00553F53" w:rsidRPr="00BF4711">
        <w:rPr>
          <w:rFonts w:eastAsiaTheme="minorEastAsia"/>
        </w:rPr>
        <w:t>tinine, and high K</w:t>
      </w:r>
      <w:r w:rsidR="00553F53" w:rsidRPr="00BF4711">
        <w:rPr>
          <w:rFonts w:eastAsiaTheme="minorEastAsia"/>
          <w:vertAlign w:val="subscript"/>
        </w:rPr>
        <w:t>0</w:t>
      </w:r>
      <w:r w:rsidR="00553F53" w:rsidRPr="00BF4711">
        <w:rPr>
          <w:rFonts w:eastAsiaTheme="minorEastAsia"/>
        </w:rPr>
        <w:t>A</w:t>
      </w:r>
      <w:r w:rsidR="00980A07" w:rsidRPr="00BF4711">
        <w:rPr>
          <w:rFonts w:eastAsiaTheme="minorEastAsia"/>
        </w:rPr>
        <w:t xml:space="preserve"> values reflect small (fast diffusing) solutes such as urea. By comparing these</w:t>
      </w:r>
      <w:r w:rsidR="002A6B71" w:rsidRPr="00BF4711">
        <w:rPr>
          <w:rFonts w:eastAsiaTheme="minorEastAsia"/>
        </w:rPr>
        <w:t xml:space="preserve"> three representative cases, the </w:t>
      </w:r>
      <w:r w:rsidR="009B6071" w:rsidRPr="00BF4711">
        <w:rPr>
          <w:rFonts w:eastAsiaTheme="minorEastAsia"/>
        </w:rPr>
        <w:t>f</w:t>
      </w:r>
      <w:r w:rsidR="002A6B71" w:rsidRPr="00BF4711">
        <w:rPr>
          <w:rFonts w:eastAsiaTheme="minorEastAsia"/>
        </w:rPr>
        <w:t>igure highlights how strongly the predicted CO</w:t>
      </w:r>
      <w:r w:rsidR="0098210B" w:rsidRPr="00BF4711">
        <w:rPr>
          <w:rFonts w:eastAsiaTheme="minorEastAsia"/>
        </w:rPr>
        <w:t xml:space="preserve"> and CC gradients depend on the underlying mass-transfer capacity of the system.</w:t>
      </w:r>
      <w:r w:rsidR="00731F14" w:rsidRPr="00BF4711">
        <w:rPr>
          <w:rFonts w:eastAsiaTheme="minorEastAsia"/>
        </w:rPr>
        <w:t xml:space="preserve"> This interpretation is consistent </w:t>
      </w:r>
      <w:r w:rsidR="00456FC5" w:rsidRPr="00BF4711">
        <w:rPr>
          <w:rFonts w:eastAsiaTheme="minorEastAsia"/>
        </w:rPr>
        <w:t>with in vivo</w:t>
      </w:r>
      <w:r w:rsidR="00731F14" w:rsidRPr="00BF4711">
        <w:rPr>
          <w:rFonts w:eastAsiaTheme="minorEastAsia"/>
        </w:rPr>
        <w:t xml:space="preserve"> measurements reported in the HEMO Study (Depner et al., 2004</w:t>
      </w:r>
      <w:r w:rsidR="00B361A2" w:rsidRPr="00BF4711">
        <w:rPr>
          <w:rFonts w:eastAsiaTheme="minorEastAsia"/>
        </w:rPr>
        <w:t xml:space="preserve"> [</w:t>
      </w:r>
      <w:r w:rsidR="00A45B25" w:rsidRPr="00BF4711">
        <w:rPr>
          <w:rFonts w:eastAsiaTheme="minorEastAsia"/>
        </w:rPr>
        <w:t>5</w:t>
      </w:r>
      <w:r w:rsidR="00B361A2" w:rsidRPr="00BF4711">
        <w:rPr>
          <w:rFonts w:eastAsiaTheme="minorEastAsia"/>
        </w:rPr>
        <w:t>]</w:t>
      </w:r>
      <w:r w:rsidR="00731F14" w:rsidRPr="00BF4711">
        <w:rPr>
          <w:rFonts w:eastAsiaTheme="minorEastAsia"/>
        </w:rPr>
        <w:t>).</w:t>
      </w:r>
    </w:p>
    <w:p w14:paraId="5BB20644" w14:textId="1845978E" w:rsidR="002A73E7" w:rsidRDefault="002A73E7" w:rsidP="0026028D">
      <w:pPr>
        <w:pStyle w:val="NormalWeb"/>
        <w:spacing w:before="0" w:beforeAutospacing="0" w:after="0" w:afterAutospacing="0"/>
        <w:contextualSpacing/>
        <w:jc w:val="both"/>
        <w:rPr>
          <w:rFonts w:eastAsiaTheme="minorEastAsia"/>
        </w:rPr>
      </w:pPr>
    </w:p>
    <w:p w14:paraId="4FBE5AC6" w14:textId="1C67DBC6" w:rsidR="00554766" w:rsidRPr="00BF4711" w:rsidRDefault="00554766" w:rsidP="0026028D">
      <w:pPr>
        <w:pStyle w:val="NormalWeb"/>
        <w:spacing w:before="0" w:beforeAutospacing="0" w:after="0" w:afterAutospacing="0"/>
        <w:contextualSpacing/>
        <w:jc w:val="both"/>
        <w:rPr>
          <w:rFonts w:eastAsiaTheme="minorEastAsia"/>
        </w:rPr>
      </w:pPr>
      <w:r w:rsidRPr="00BF4711">
        <w:rPr>
          <w:rFonts w:eastAsiaTheme="minorHAnsi"/>
        </w:rPr>
        <w:t>At low K</w:t>
      </w:r>
      <w:r w:rsidRPr="00BF4711">
        <w:rPr>
          <w:rFonts w:eastAsiaTheme="minorHAnsi"/>
          <w:vertAlign w:val="subscript"/>
        </w:rPr>
        <w:t>0</w:t>
      </w:r>
      <w:r w:rsidRPr="00BF4711">
        <w:rPr>
          <w:rFonts w:eastAsiaTheme="minorHAnsi"/>
        </w:rPr>
        <w:t>A (400 mL/min) (</w:t>
      </w:r>
      <w:r w:rsidRPr="00BF4711">
        <w:rPr>
          <w:rFonts w:eastAsiaTheme="minorHAnsi"/>
          <w:b/>
          <w:bCs/>
          <w:i/>
          <w:iCs/>
        </w:rPr>
        <w:t xml:space="preserve">Figure </w:t>
      </w:r>
      <w:r w:rsidR="007D7A72">
        <w:rPr>
          <w:rFonts w:eastAsiaTheme="minorHAnsi"/>
          <w:b/>
          <w:bCs/>
          <w:i/>
          <w:iCs/>
        </w:rPr>
        <w:t>3</w:t>
      </w:r>
      <w:r w:rsidRPr="00BF4711">
        <w:rPr>
          <w:rFonts w:eastAsiaTheme="minorHAnsi"/>
          <w:b/>
          <w:bCs/>
          <w:i/>
          <w:iCs/>
        </w:rPr>
        <w:t>a</w:t>
      </w:r>
      <w:r w:rsidRPr="00BF4711">
        <w:rPr>
          <w:rFonts w:eastAsiaTheme="minorHAnsi"/>
        </w:rPr>
        <w:t xml:space="preserve">), both CO and CC flows show a slow, gradual decline in </w:t>
      </w:r>
      <m:oMath>
        <m:r>
          <w:rPr>
            <w:rFonts w:ascii="Cambria Math" w:hAnsi="Cambria Math"/>
          </w:rPr>
          <m:t>∆</m:t>
        </m:r>
        <m:d>
          <m:dPr>
            <m:ctrlPr>
              <w:rPr>
                <w:rFonts w:ascii="Cambria Math" w:hAnsi="Cambria Math"/>
                <w:i/>
              </w:rPr>
            </m:ctrlPr>
          </m:dPr>
          <m:e>
            <m:r>
              <w:rPr>
                <w:rFonts w:ascii="Cambria Math" w:hAnsi="Cambria Math"/>
              </w:rPr>
              <m:t>x</m:t>
            </m:r>
          </m:e>
        </m:d>
      </m:oMath>
      <w:r w:rsidRPr="00BF4711">
        <w:rPr>
          <w:rFonts w:eastAsiaTheme="minorEastAsia"/>
        </w:rPr>
        <w:t>. CC maintains a slightly higher gradient, but the difference between the two configurations is small. This behavior is typical of larger or slower-diffusing solutes, where membrane transport is the limiting step and equilibration occurs slowly.</w:t>
      </w:r>
    </w:p>
    <w:p w14:paraId="54AD4C00" w14:textId="77777777" w:rsidR="00554766" w:rsidRPr="00BF4711" w:rsidRDefault="00554766" w:rsidP="0026028D">
      <w:pPr>
        <w:pStyle w:val="NormalWeb"/>
        <w:spacing w:before="0" w:beforeAutospacing="0" w:after="0" w:afterAutospacing="0"/>
        <w:contextualSpacing/>
        <w:jc w:val="both"/>
        <w:rPr>
          <w:rFonts w:eastAsiaTheme="minorEastAsia"/>
        </w:rPr>
      </w:pPr>
    </w:p>
    <w:p w14:paraId="17496F53" w14:textId="22E8FC8D" w:rsidR="00554766" w:rsidRPr="00BF4711" w:rsidRDefault="00554766" w:rsidP="0026028D">
      <w:pPr>
        <w:pStyle w:val="NormalWeb"/>
        <w:spacing w:before="0" w:beforeAutospacing="0" w:after="0" w:afterAutospacing="0"/>
        <w:contextualSpacing/>
        <w:jc w:val="both"/>
        <w:rPr>
          <w:rFonts w:eastAsiaTheme="minorEastAsia"/>
        </w:rPr>
      </w:pPr>
      <w:r w:rsidRPr="00BF4711">
        <w:rPr>
          <w:rFonts w:eastAsiaTheme="minorEastAsia"/>
        </w:rPr>
        <w:t>At moderate K</w:t>
      </w:r>
      <w:r w:rsidRPr="00D30D4E">
        <w:rPr>
          <w:rFonts w:eastAsiaTheme="minorEastAsia"/>
          <w:vertAlign w:val="subscript"/>
        </w:rPr>
        <w:t>0</w:t>
      </w:r>
      <w:r w:rsidRPr="00BF4711">
        <w:rPr>
          <w:rFonts w:eastAsiaTheme="minorEastAsia"/>
        </w:rPr>
        <w:t>A (800 mL/min) (</w:t>
      </w:r>
      <w:r w:rsidRPr="00BF4711">
        <w:rPr>
          <w:rFonts w:eastAsiaTheme="minorEastAsia"/>
          <w:b/>
          <w:bCs/>
          <w:i/>
          <w:iCs/>
        </w:rPr>
        <w:t xml:space="preserve">Figure </w:t>
      </w:r>
      <w:r w:rsidR="007D7A72">
        <w:rPr>
          <w:rFonts w:eastAsiaTheme="minorEastAsia"/>
          <w:b/>
          <w:bCs/>
          <w:i/>
          <w:iCs/>
        </w:rPr>
        <w:t>3</w:t>
      </w:r>
      <w:r w:rsidRPr="00BF4711">
        <w:rPr>
          <w:rFonts w:eastAsiaTheme="minorEastAsia"/>
          <w:b/>
          <w:bCs/>
          <w:i/>
          <w:iCs/>
        </w:rPr>
        <w:t>b</w:t>
      </w:r>
      <w:r w:rsidRPr="00BF4711">
        <w:rPr>
          <w:rFonts w:eastAsiaTheme="minorEastAsia"/>
        </w:rPr>
        <w:t>), the gradients decay more quickly. The CO curve collapses early, reaching near-equilibrium within the first half of the fiber, while CC still preserves a meaningful gradient over a longer distance. This pattern resembles mid-range solutes like creatinine, where the membrane is more effective and the advantage of CC becomes more noticeable.</w:t>
      </w:r>
    </w:p>
    <w:p w14:paraId="08556989" w14:textId="77777777" w:rsidR="00554766" w:rsidRDefault="00554766" w:rsidP="0026028D">
      <w:pPr>
        <w:pStyle w:val="NormalWeb"/>
        <w:spacing w:before="0" w:beforeAutospacing="0" w:after="0" w:afterAutospacing="0"/>
        <w:contextualSpacing/>
        <w:jc w:val="both"/>
        <w:rPr>
          <w:rFonts w:eastAsiaTheme="minorEastAsia"/>
        </w:rPr>
      </w:pPr>
    </w:p>
    <w:p w14:paraId="61148C49" w14:textId="6C3F550C" w:rsidR="001C54E9" w:rsidRPr="00BF4711" w:rsidRDefault="001C54E9" w:rsidP="001C54E9">
      <w:pPr>
        <w:pStyle w:val="NormalWeb"/>
        <w:spacing w:before="0" w:beforeAutospacing="0" w:after="0" w:afterAutospacing="0"/>
        <w:contextualSpacing/>
        <w:jc w:val="both"/>
        <w:rPr>
          <w:rFonts w:eastAsiaTheme="minorEastAsia"/>
        </w:rPr>
      </w:pPr>
      <w:r w:rsidRPr="00BF4711">
        <w:rPr>
          <w:rFonts w:eastAsiaTheme="minorEastAsia"/>
        </w:rPr>
        <w:t>At high K</w:t>
      </w:r>
      <w:r w:rsidRPr="00BF4711">
        <w:rPr>
          <w:rFonts w:eastAsiaTheme="minorEastAsia"/>
          <w:vertAlign w:val="subscript"/>
        </w:rPr>
        <w:t>0</w:t>
      </w:r>
      <w:r w:rsidRPr="00BF4711">
        <w:rPr>
          <w:rFonts w:eastAsiaTheme="minorEastAsia"/>
        </w:rPr>
        <w:t>A (</w:t>
      </w:r>
      <w:r w:rsidRPr="00BF4711">
        <w:rPr>
          <w:rFonts w:eastAsiaTheme="minorEastAsia"/>
          <w:b/>
          <w:bCs/>
          <w:i/>
          <w:iCs/>
        </w:rPr>
        <w:t xml:space="preserve">Figure </w:t>
      </w:r>
      <w:r w:rsidR="007D7A72">
        <w:rPr>
          <w:rFonts w:eastAsiaTheme="minorEastAsia"/>
          <w:b/>
          <w:bCs/>
          <w:i/>
          <w:iCs/>
        </w:rPr>
        <w:t>3</w:t>
      </w:r>
      <w:r w:rsidRPr="00BF4711">
        <w:rPr>
          <w:rFonts w:eastAsiaTheme="minorEastAsia"/>
          <w:b/>
          <w:bCs/>
          <w:i/>
          <w:iCs/>
        </w:rPr>
        <w:t>c</w:t>
      </w:r>
      <w:r w:rsidRPr="00BF4711">
        <w:rPr>
          <w:rFonts w:eastAsiaTheme="minorEastAsia"/>
        </w:rPr>
        <w:t xml:space="preserve">), equilibrium happens rapidly. The CO gradient drops almost immediately near the inlet, leaving little driving force downstream. CC also decays faster than before, but it still maintains a larger gradient across most of the fiber. This behavior mirrors small, fast-diffusing solutes like urea, where the membrane is highly effective and CC flow shows a clear performance advantage. </w:t>
      </w:r>
    </w:p>
    <w:p w14:paraId="7ED589CD" w14:textId="77777777" w:rsidR="001C54E9" w:rsidRPr="00BF4711" w:rsidRDefault="001C54E9" w:rsidP="0026028D">
      <w:pPr>
        <w:pStyle w:val="NormalWeb"/>
        <w:spacing w:before="0" w:beforeAutospacing="0" w:after="0" w:afterAutospacing="0"/>
        <w:contextualSpacing/>
        <w:jc w:val="both"/>
        <w:rPr>
          <w:rFonts w:eastAsiaTheme="minorEastAsia"/>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43" w:type="dxa"/>
          <w:right w:w="43" w:type="dxa"/>
        </w:tblCellMar>
        <w:tblLook w:val="04A0" w:firstRow="1" w:lastRow="0" w:firstColumn="1" w:lastColumn="0" w:noHBand="0" w:noVBand="1"/>
      </w:tblPr>
      <w:tblGrid>
        <w:gridCol w:w="5040"/>
        <w:gridCol w:w="5040"/>
      </w:tblGrid>
      <w:tr w:rsidR="00FB5D17" w:rsidRPr="00BF4711" w14:paraId="5E49E58F" w14:textId="77777777" w:rsidTr="00F70B24">
        <w:tc>
          <w:tcPr>
            <w:tcW w:w="5035" w:type="dxa"/>
          </w:tcPr>
          <w:p w14:paraId="7DF0309B" w14:textId="79528523" w:rsidR="00FB5D17" w:rsidRPr="00BF4711" w:rsidRDefault="00890BE8" w:rsidP="0026028D">
            <w:pPr>
              <w:pStyle w:val="NormalWeb"/>
              <w:spacing w:before="0" w:beforeAutospacing="0" w:after="0" w:afterAutospacing="0"/>
              <w:contextualSpacing/>
              <w:jc w:val="both"/>
              <w:rPr>
                <w:rFonts w:eastAsiaTheme="minorHAnsi"/>
              </w:rPr>
            </w:pPr>
            <w:r w:rsidRPr="00BF4711">
              <w:rPr>
                <w:rFonts w:eastAsiaTheme="minorHAnsi"/>
                <w:noProof/>
              </w:rPr>
              <w:drawing>
                <wp:inline distT="0" distB="0" distL="0" distR="0" wp14:anchorId="6DCA904A" wp14:editId="1EDF01B9">
                  <wp:extent cx="3227832" cy="2569464"/>
                  <wp:effectExtent l="0" t="0" r="0" b="2540"/>
                  <wp:docPr id="32077101" name="Graphic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77101" name="Graphic 32077101"/>
                          <pic:cNvPicPr/>
                        </pic:nvPicPr>
                        <pic:blipFill>
                          <a:blip r:embed="rId11">
                            <a:extLst>
                              <a:ext uri="{96DAC541-7B7A-43D3-8B79-37D633B846F1}">
                                <asvg:svgBlip xmlns:asvg="http://schemas.microsoft.com/office/drawing/2016/SVG/main" r:embed="rId12"/>
                              </a:ext>
                            </a:extLst>
                          </a:blip>
                          <a:stretch>
                            <a:fillRect/>
                          </a:stretch>
                        </pic:blipFill>
                        <pic:spPr>
                          <a:xfrm>
                            <a:off x="0" y="0"/>
                            <a:ext cx="3227832" cy="2569464"/>
                          </a:xfrm>
                          <a:prstGeom prst="rect">
                            <a:avLst/>
                          </a:prstGeom>
                        </pic:spPr>
                      </pic:pic>
                    </a:graphicData>
                  </a:graphic>
                </wp:inline>
              </w:drawing>
            </w:r>
          </w:p>
        </w:tc>
        <w:tc>
          <w:tcPr>
            <w:tcW w:w="5035" w:type="dxa"/>
          </w:tcPr>
          <w:p w14:paraId="0285B3A8" w14:textId="56A01E77" w:rsidR="00FB5D17" w:rsidRPr="00BF4711" w:rsidRDefault="00AF23F4" w:rsidP="0026028D">
            <w:pPr>
              <w:pStyle w:val="NormalWeb"/>
              <w:spacing w:before="0" w:beforeAutospacing="0" w:after="0" w:afterAutospacing="0"/>
              <w:contextualSpacing/>
              <w:jc w:val="both"/>
              <w:rPr>
                <w:rFonts w:eastAsiaTheme="minorHAnsi"/>
              </w:rPr>
            </w:pPr>
            <w:r w:rsidRPr="00BF4711">
              <w:rPr>
                <w:rFonts w:eastAsiaTheme="minorHAnsi"/>
                <w:noProof/>
              </w:rPr>
              <w:drawing>
                <wp:inline distT="0" distB="0" distL="0" distR="0" wp14:anchorId="57BDA0C2" wp14:editId="6C51C94E">
                  <wp:extent cx="3227832" cy="2569464"/>
                  <wp:effectExtent l="0" t="0" r="0" b="2540"/>
                  <wp:docPr id="59473965" name="Graphic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73965" name="Graphic 59473965"/>
                          <pic:cNvPicPr/>
                        </pic:nvPicPr>
                        <pic:blipFill>
                          <a:blip r:embed="rId13">
                            <a:extLst>
                              <a:ext uri="{96DAC541-7B7A-43D3-8B79-37D633B846F1}">
                                <asvg:svgBlip xmlns:asvg="http://schemas.microsoft.com/office/drawing/2016/SVG/main" r:embed="rId14"/>
                              </a:ext>
                            </a:extLst>
                          </a:blip>
                          <a:stretch>
                            <a:fillRect/>
                          </a:stretch>
                        </pic:blipFill>
                        <pic:spPr>
                          <a:xfrm>
                            <a:off x="0" y="0"/>
                            <a:ext cx="3227832" cy="2569464"/>
                          </a:xfrm>
                          <a:prstGeom prst="rect">
                            <a:avLst/>
                          </a:prstGeom>
                        </pic:spPr>
                      </pic:pic>
                    </a:graphicData>
                  </a:graphic>
                </wp:inline>
              </w:drawing>
            </w:r>
          </w:p>
        </w:tc>
      </w:tr>
      <w:tr w:rsidR="00257840" w:rsidRPr="00BF4711" w14:paraId="0054A42B" w14:textId="77777777" w:rsidTr="00F70B24">
        <w:trPr>
          <w:trHeight w:val="3932"/>
        </w:trPr>
        <w:tc>
          <w:tcPr>
            <w:tcW w:w="10070" w:type="dxa"/>
            <w:gridSpan w:val="2"/>
          </w:tcPr>
          <w:p w14:paraId="7E9DA1C9" w14:textId="2978FD18" w:rsidR="00257840" w:rsidRPr="00BF4711" w:rsidRDefault="00257840" w:rsidP="0026028D">
            <w:pPr>
              <w:pStyle w:val="NormalWeb"/>
              <w:spacing w:before="0" w:beforeAutospacing="0" w:after="0" w:afterAutospacing="0"/>
              <w:contextualSpacing/>
              <w:jc w:val="center"/>
              <w:rPr>
                <w:rFonts w:eastAsiaTheme="minorHAnsi"/>
              </w:rPr>
            </w:pPr>
            <w:r w:rsidRPr="00BF4711">
              <w:rPr>
                <w:rFonts w:eastAsiaTheme="minorHAnsi"/>
                <w:noProof/>
              </w:rPr>
              <w:lastRenderedPageBreak/>
              <w:drawing>
                <wp:inline distT="0" distB="0" distL="0" distR="0" wp14:anchorId="21923D97" wp14:editId="1F9A3C50">
                  <wp:extent cx="3227832" cy="2569464"/>
                  <wp:effectExtent l="0" t="0" r="0" b="2540"/>
                  <wp:docPr id="1897750937" name="Graphic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750937" name="Graphic 1897750937"/>
                          <pic:cNvPicPr/>
                        </pic:nvPicPr>
                        <pic:blipFill>
                          <a:blip r:embed="rId15">
                            <a:extLst>
                              <a:ext uri="{96DAC541-7B7A-43D3-8B79-37D633B846F1}">
                                <asvg:svgBlip xmlns:asvg="http://schemas.microsoft.com/office/drawing/2016/SVG/main" r:embed="rId16"/>
                              </a:ext>
                            </a:extLst>
                          </a:blip>
                          <a:stretch>
                            <a:fillRect/>
                          </a:stretch>
                        </pic:blipFill>
                        <pic:spPr>
                          <a:xfrm>
                            <a:off x="0" y="0"/>
                            <a:ext cx="3227832" cy="2569464"/>
                          </a:xfrm>
                          <a:prstGeom prst="rect">
                            <a:avLst/>
                          </a:prstGeom>
                        </pic:spPr>
                      </pic:pic>
                    </a:graphicData>
                  </a:graphic>
                </wp:inline>
              </w:drawing>
            </w:r>
          </w:p>
        </w:tc>
      </w:tr>
      <w:tr w:rsidR="00070F28" w:rsidRPr="00BF4711" w14:paraId="2CBB7E7C" w14:textId="77777777" w:rsidTr="00F70B24">
        <w:trPr>
          <w:trHeight w:val="602"/>
        </w:trPr>
        <w:tc>
          <w:tcPr>
            <w:tcW w:w="10070" w:type="dxa"/>
            <w:gridSpan w:val="2"/>
          </w:tcPr>
          <w:p w14:paraId="644B02E9" w14:textId="33F9D15F" w:rsidR="00070F28" w:rsidRPr="00BF4711" w:rsidRDefault="007169F7" w:rsidP="0026028D">
            <w:pPr>
              <w:pStyle w:val="NormalWeb"/>
              <w:spacing w:before="0" w:beforeAutospacing="0" w:after="0" w:afterAutospacing="0"/>
              <w:contextualSpacing/>
              <w:rPr>
                <w:rFonts w:eastAsiaTheme="minorHAnsi"/>
              </w:rPr>
            </w:pPr>
            <w:r w:rsidRPr="00BF4711">
              <w:rPr>
                <w:rFonts w:eastAsiaTheme="minorHAnsi"/>
                <w:b/>
                <w:bCs/>
                <w:i/>
                <w:iCs/>
              </w:rPr>
              <w:t xml:space="preserve">Figure </w:t>
            </w:r>
            <w:r w:rsidR="007014EF">
              <w:rPr>
                <w:rFonts w:eastAsiaTheme="minorHAnsi"/>
                <w:b/>
                <w:bCs/>
                <w:i/>
                <w:iCs/>
              </w:rPr>
              <w:t>3</w:t>
            </w:r>
            <w:r w:rsidRPr="00BF4711">
              <w:rPr>
                <w:rFonts w:eastAsiaTheme="minorHAnsi"/>
                <w:b/>
                <w:bCs/>
                <w:i/>
                <w:iCs/>
              </w:rPr>
              <w:t>.</w:t>
            </w:r>
            <w:r w:rsidRPr="00BF4711">
              <w:rPr>
                <w:rFonts w:eastAsiaTheme="minorHAnsi"/>
              </w:rPr>
              <w:t xml:space="preserve"> </w:t>
            </w:r>
            <w:r w:rsidR="005304C9" w:rsidRPr="00BF4711">
              <w:rPr>
                <w:rFonts w:eastAsiaTheme="minorHAnsi"/>
              </w:rPr>
              <w:t>S</w:t>
            </w:r>
            <w:r w:rsidR="0058617E" w:rsidRPr="00BF4711">
              <w:rPr>
                <w:rFonts w:eastAsiaTheme="minorHAnsi"/>
              </w:rPr>
              <w:t xml:space="preserve">ensitivity of the box model </w:t>
            </w:r>
            <w:r w:rsidR="00470802" w:rsidRPr="00BF4711">
              <w:rPr>
                <w:rFonts w:eastAsiaTheme="minorHAnsi"/>
              </w:rPr>
              <w:t xml:space="preserve">predicted </w:t>
            </w:r>
            <w:r w:rsidR="00F87166" w:rsidRPr="00BF4711">
              <w:rPr>
                <w:rFonts w:eastAsiaTheme="minorHAnsi"/>
              </w:rPr>
              <w:t xml:space="preserve">spatial concentration profiles </w:t>
            </w:r>
            <w:r w:rsidR="0058617E" w:rsidRPr="00BF4711">
              <w:rPr>
                <w:rFonts w:eastAsiaTheme="minorHAnsi"/>
              </w:rPr>
              <w:t>to changes in mass-transfer capacity K</w:t>
            </w:r>
            <w:r w:rsidR="0058617E" w:rsidRPr="00BF4711">
              <w:rPr>
                <w:rFonts w:eastAsiaTheme="minorHAnsi"/>
                <w:vertAlign w:val="subscript"/>
              </w:rPr>
              <w:t>0</w:t>
            </w:r>
            <w:r w:rsidR="0058617E" w:rsidRPr="00BF4711">
              <w:rPr>
                <w:rFonts w:eastAsiaTheme="minorHAnsi"/>
              </w:rPr>
              <w:t xml:space="preserve">A </w:t>
            </w:r>
            <w:r w:rsidR="00F87166" w:rsidRPr="00BF4711">
              <w:rPr>
                <w:rFonts w:eastAsiaTheme="minorHAnsi"/>
              </w:rPr>
              <w:t xml:space="preserve">during co-current and counter-current </w:t>
            </w:r>
            <w:r w:rsidR="00297AF9" w:rsidRPr="00BF4711">
              <w:rPr>
                <w:rFonts w:eastAsiaTheme="minorHAnsi"/>
              </w:rPr>
              <w:t xml:space="preserve">kidney </w:t>
            </w:r>
            <w:r w:rsidR="00F87166" w:rsidRPr="00BF4711">
              <w:rPr>
                <w:rFonts w:eastAsiaTheme="minorHAnsi"/>
              </w:rPr>
              <w:t>dialysis</w:t>
            </w:r>
            <w:r w:rsidR="00297AF9" w:rsidRPr="00BF4711">
              <w:rPr>
                <w:rFonts w:eastAsiaTheme="minorHAnsi"/>
              </w:rPr>
              <w:t>.</w:t>
            </w:r>
          </w:p>
        </w:tc>
      </w:tr>
    </w:tbl>
    <w:p w14:paraId="1EC4B225" w14:textId="77777777" w:rsidR="00FB5D17" w:rsidRPr="00BF4711" w:rsidRDefault="00FB5D17" w:rsidP="0026028D">
      <w:pPr>
        <w:pStyle w:val="NormalWeb"/>
        <w:spacing w:before="0" w:beforeAutospacing="0" w:after="0" w:afterAutospacing="0"/>
        <w:contextualSpacing/>
        <w:jc w:val="both"/>
        <w:rPr>
          <w:rFonts w:eastAsiaTheme="minorHAnsi"/>
        </w:rPr>
      </w:pPr>
    </w:p>
    <w:p w14:paraId="34C2466B" w14:textId="77777777" w:rsidR="0086415E" w:rsidRPr="00BF4711" w:rsidRDefault="0086415E" w:rsidP="0026028D">
      <w:pPr>
        <w:pStyle w:val="NormalWeb"/>
        <w:spacing w:before="0" w:beforeAutospacing="0" w:after="0" w:afterAutospacing="0"/>
        <w:contextualSpacing/>
        <w:jc w:val="both"/>
        <w:rPr>
          <w:rFonts w:eastAsiaTheme="minorHAnsi"/>
        </w:rPr>
      </w:pPr>
    </w:p>
    <w:p w14:paraId="5C24DC15" w14:textId="64C51D71" w:rsidR="00FA64CC" w:rsidRPr="00A67114" w:rsidRDefault="00CB5ADC" w:rsidP="001C54E9">
      <w:pPr>
        <w:pStyle w:val="NormalWeb"/>
        <w:spacing w:before="0" w:beforeAutospacing="0" w:after="120" w:afterAutospacing="0"/>
        <w:jc w:val="both"/>
        <w:rPr>
          <w:rFonts w:eastAsiaTheme="minorEastAsia"/>
          <w:b/>
          <w:bCs/>
        </w:rPr>
      </w:pPr>
      <w:r w:rsidRPr="00BF4711">
        <w:rPr>
          <w:rFonts w:eastAsiaTheme="minorEastAsia"/>
          <w:b/>
          <w:bCs/>
        </w:rPr>
        <w:t xml:space="preserve">Sensitivity to </w:t>
      </w:r>
      <w:r w:rsidR="00C55AEE" w:rsidRPr="00BF4711">
        <w:rPr>
          <w:rFonts w:eastAsiaTheme="minorEastAsia"/>
          <w:b/>
          <w:bCs/>
        </w:rPr>
        <w:t>Dialysate Flow Rate</w:t>
      </w:r>
      <w:r w:rsidR="00F670C2" w:rsidRPr="00BF4711">
        <w:rPr>
          <w:rFonts w:eastAsiaTheme="minorEastAsia"/>
          <w:b/>
          <w:bCs/>
        </w:rPr>
        <w:t xml:space="preserve"> </w:t>
      </w:r>
      <w:r w:rsidR="005023F0" w:rsidRPr="00BF4711">
        <w:rPr>
          <w:rFonts w:eastAsiaTheme="minorEastAsia"/>
          <w:b/>
          <w:bCs/>
        </w:rPr>
        <w:t>Q</w:t>
      </w:r>
      <w:r w:rsidR="005023F0" w:rsidRPr="00BF4711">
        <w:rPr>
          <w:rFonts w:eastAsiaTheme="minorEastAsia"/>
          <w:b/>
          <w:bCs/>
          <w:vertAlign w:val="subscript"/>
        </w:rPr>
        <w:t>d</w:t>
      </w:r>
      <w:r w:rsidRPr="00BF4711">
        <w:rPr>
          <w:rFonts w:eastAsiaTheme="minorEastAsia"/>
          <w:b/>
          <w:bCs/>
        </w:rPr>
        <w:t>.</w:t>
      </w:r>
    </w:p>
    <w:p w14:paraId="62CEDD6F" w14:textId="1BC2EF70" w:rsidR="00361DE0" w:rsidRPr="00BF4711" w:rsidRDefault="00CB5ADC" w:rsidP="0026028D">
      <w:pPr>
        <w:pStyle w:val="NormalWeb"/>
        <w:spacing w:before="0" w:beforeAutospacing="0" w:after="0" w:afterAutospacing="0"/>
        <w:contextualSpacing/>
        <w:jc w:val="both"/>
        <w:rPr>
          <w:rFonts w:eastAsiaTheme="minorEastAsia"/>
        </w:rPr>
      </w:pPr>
      <w:r w:rsidRPr="00BF4711">
        <w:rPr>
          <w:rFonts w:eastAsiaTheme="minorEastAsia"/>
        </w:rPr>
        <w:t xml:space="preserve">The </w:t>
      </w:r>
      <w:r w:rsidR="00544360" w:rsidRPr="00BF4711">
        <w:rPr>
          <w:rFonts w:eastAsiaTheme="minorEastAsia"/>
        </w:rPr>
        <w:t>influence of dialysate flow rate Q</w:t>
      </w:r>
      <w:r w:rsidR="00544360" w:rsidRPr="00BF4711">
        <w:rPr>
          <w:rFonts w:eastAsiaTheme="minorEastAsia"/>
          <w:vertAlign w:val="subscript"/>
        </w:rPr>
        <w:t>d</w:t>
      </w:r>
      <w:r w:rsidR="003768AF" w:rsidRPr="00BF4711">
        <w:rPr>
          <w:rFonts w:eastAsiaTheme="minorEastAsia"/>
        </w:rPr>
        <w:t xml:space="preserve"> on the axial concentration profiles is shown </w:t>
      </w:r>
      <w:r w:rsidRPr="00BF4711">
        <w:rPr>
          <w:rFonts w:eastAsiaTheme="minorEastAsia"/>
        </w:rPr>
        <w:t xml:space="preserve">in </w:t>
      </w:r>
      <w:r w:rsidRPr="00BF4711">
        <w:rPr>
          <w:rFonts w:eastAsiaTheme="minorEastAsia"/>
          <w:b/>
          <w:bCs/>
        </w:rPr>
        <w:t xml:space="preserve">Figure </w:t>
      </w:r>
      <w:r w:rsidR="00754E70">
        <w:rPr>
          <w:rFonts w:eastAsiaTheme="minorEastAsia"/>
          <w:b/>
          <w:bCs/>
        </w:rPr>
        <w:t>4</w:t>
      </w:r>
      <w:r w:rsidRPr="00BF4711">
        <w:rPr>
          <w:rFonts w:eastAsiaTheme="minorEastAsia"/>
        </w:rPr>
        <w:t xml:space="preserve">. </w:t>
      </w:r>
      <w:r w:rsidR="009F3A56" w:rsidRPr="00BF4711">
        <w:rPr>
          <w:rFonts w:eastAsiaTheme="minorEastAsia"/>
        </w:rPr>
        <w:t>As Q</w:t>
      </w:r>
      <w:r w:rsidR="009F3A56" w:rsidRPr="00BF4711">
        <w:rPr>
          <w:rFonts w:eastAsiaTheme="minorEastAsia"/>
          <w:vertAlign w:val="subscript"/>
        </w:rPr>
        <w:t>d</w:t>
      </w:r>
      <w:r w:rsidR="009F3A56" w:rsidRPr="00BF4711">
        <w:rPr>
          <w:rFonts w:eastAsiaTheme="minorEastAsia"/>
        </w:rPr>
        <w:t xml:space="preserve"> is </w:t>
      </w:r>
      <w:r w:rsidR="003E4E59" w:rsidRPr="00BF4711">
        <w:rPr>
          <w:rFonts w:eastAsiaTheme="minorEastAsia"/>
        </w:rPr>
        <w:t>altered</w:t>
      </w:r>
      <w:r w:rsidR="009F3A56" w:rsidRPr="00BF4711">
        <w:rPr>
          <w:rFonts w:eastAsiaTheme="minorEastAsia"/>
        </w:rPr>
        <w:t>, the model predicts clear changes in how the concentration</w:t>
      </w:r>
      <w:r w:rsidR="00E9256F" w:rsidRPr="00BF4711">
        <w:rPr>
          <w:rFonts w:eastAsiaTheme="minorEastAsia"/>
        </w:rPr>
        <w:t xml:space="preserve"> difference</w:t>
      </w:r>
      <w:r w:rsidR="00E00629" w:rsidRPr="00BF4711">
        <w:rPr>
          <w:rFonts w:eastAsiaTheme="minorEastAsia"/>
        </w:rPr>
        <w:t xml:space="preserve"> </w:t>
      </w:r>
      <m:oMath>
        <m:r>
          <w:rPr>
            <w:rFonts w:ascii="Cambria Math" w:hAnsi="Cambria Math"/>
          </w:rPr>
          <m:t>∆</m:t>
        </m:r>
        <m:d>
          <m:dPr>
            <m:ctrlPr>
              <w:rPr>
                <w:rFonts w:ascii="Cambria Math" w:hAnsi="Cambria Math"/>
                <w:i/>
              </w:rPr>
            </m:ctrlPr>
          </m:dPr>
          <m:e>
            <m:r>
              <w:rPr>
                <w:rFonts w:ascii="Cambria Math" w:hAnsi="Cambria Math"/>
              </w:rPr>
              <m:t>x</m:t>
            </m:r>
          </m:e>
        </m:d>
      </m:oMath>
      <w:r w:rsidR="00E00629" w:rsidRPr="00BF4711">
        <w:rPr>
          <w:rFonts w:eastAsiaTheme="minorEastAsia"/>
        </w:rPr>
        <w:t xml:space="preserve"> develops along the fiber for </w:t>
      </w:r>
      <w:r w:rsidRPr="00BF4711">
        <w:rPr>
          <w:rFonts w:eastAsiaTheme="minorEastAsia"/>
        </w:rPr>
        <w:t xml:space="preserve">both CO and CC </w:t>
      </w:r>
      <w:r w:rsidR="000F4CE1" w:rsidRPr="00BF4711">
        <w:rPr>
          <w:rFonts w:eastAsiaTheme="minorEastAsia"/>
        </w:rPr>
        <w:t>operation</w:t>
      </w:r>
      <w:r w:rsidR="00483017" w:rsidRPr="00BF4711">
        <w:rPr>
          <w:rFonts w:eastAsiaTheme="minorEastAsia"/>
        </w:rPr>
        <w:t>. Higher Q</w:t>
      </w:r>
      <w:r w:rsidR="00483017" w:rsidRPr="00BF4711">
        <w:rPr>
          <w:rFonts w:eastAsiaTheme="minorEastAsia"/>
          <w:vertAlign w:val="subscript"/>
        </w:rPr>
        <w:t>d</w:t>
      </w:r>
      <w:r w:rsidR="00483017" w:rsidRPr="00BF4711">
        <w:rPr>
          <w:rFonts w:eastAsiaTheme="minorEastAsia"/>
        </w:rPr>
        <w:t xml:space="preserve"> supplies </w:t>
      </w:r>
      <w:r w:rsidR="00A87026" w:rsidRPr="00BF4711">
        <w:rPr>
          <w:rFonts w:eastAsiaTheme="minorEastAsia"/>
        </w:rPr>
        <w:t xml:space="preserve">cleaner dialysate more rapidly, limiting solute buildup on the </w:t>
      </w:r>
      <w:r w:rsidR="00027E47" w:rsidRPr="00BF4711">
        <w:rPr>
          <w:rFonts w:eastAsiaTheme="minorEastAsia"/>
        </w:rPr>
        <w:t>dialysate side and helping maintain a stronger driving force for diffusion. Comparing</w:t>
      </w:r>
      <w:r w:rsidR="007F3EF0" w:rsidRPr="00BF4711">
        <w:rPr>
          <w:rFonts w:eastAsiaTheme="minorEastAsia"/>
        </w:rPr>
        <w:t xml:space="preserve"> </w:t>
      </w:r>
      <w:r w:rsidR="00AD5B28" w:rsidRPr="00BF4711">
        <w:rPr>
          <w:rFonts w:eastAsiaTheme="minorEastAsia"/>
        </w:rPr>
        <w:t xml:space="preserve">the predictions at </w:t>
      </w:r>
      <w:r w:rsidR="007F3EF0" w:rsidRPr="00BF4711">
        <w:rPr>
          <w:rFonts w:eastAsiaTheme="minorEastAsia"/>
        </w:rPr>
        <w:t>the high, intermediate, and low Q</w:t>
      </w:r>
      <w:r w:rsidR="007F3EF0" w:rsidRPr="00BF4711">
        <w:rPr>
          <w:rFonts w:eastAsiaTheme="minorEastAsia"/>
          <w:vertAlign w:val="subscript"/>
        </w:rPr>
        <w:t>d</w:t>
      </w:r>
      <w:r w:rsidR="007F3EF0" w:rsidRPr="00BF4711">
        <w:rPr>
          <w:rFonts w:eastAsiaTheme="minorEastAsia"/>
        </w:rPr>
        <w:t xml:space="preserve"> reveals how dialysate flow redistributes the available driving force</w:t>
      </w:r>
      <w:r w:rsidR="00361DE0" w:rsidRPr="00BF4711">
        <w:rPr>
          <w:rFonts w:eastAsiaTheme="minorEastAsia"/>
        </w:rPr>
        <w:t xml:space="preserve"> along the device and how the performance gap between CC and CO shifts with flow rate.</w:t>
      </w:r>
    </w:p>
    <w:p w14:paraId="0A7FD77D" w14:textId="77777777" w:rsidR="00361DE0" w:rsidRPr="00BF4711" w:rsidRDefault="00361DE0" w:rsidP="0026028D">
      <w:pPr>
        <w:pStyle w:val="NormalWeb"/>
        <w:spacing w:before="0" w:beforeAutospacing="0" w:after="0" w:afterAutospacing="0"/>
        <w:contextualSpacing/>
        <w:jc w:val="both"/>
        <w:rPr>
          <w:rFonts w:eastAsiaTheme="minorEastAsia"/>
        </w:rPr>
      </w:pPr>
    </w:p>
    <w:p w14:paraId="74CE7BB1" w14:textId="4BD1687D" w:rsidR="001C238A" w:rsidRPr="00BF4711" w:rsidRDefault="00443240" w:rsidP="0026028D">
      <w:pPr>
        <w:pStyle w:val="NormalWeb"/>
        <w:spacing w:before="0" w:beforeAutospacing="0" w:after="0" w:afterAutospacing="0"/>
        <w:contextualSpacing/>
        <w:jc w:val="both"/>
        <w:rPr>
          <w:rFonts w:eastAsiaTheme="minorEastAsia"/>
        </w:rPr>
      </w:pPr>
      <w:r w:rsidRPr="00BF4711">
        <w:rPr>
          <w:rFonts w:eastAsiaTheme="minorEastAsia"/>
          <w:b/>
          <w:bCs/>
          <w:i/>
          <w:iCs/>
        </w:rPr>
        <w:t>F</w:t>
      </w:r>
      <w:r w:rsidR="003D3D5B" w:rsidRPr="00BF4711">
        <w:rPr>
          <w:rFonts w:eastAsiaTheme="minorEastAsia"/>
          <w:b/>
          <w:bCs/>
          <w:i/>
          <w:iCs/>
        </w:rPr>
        <w:t xml:space="preserve">igures </w:t>
      </w:r>
      <w:r w:rsidR="00754E70">
        <w:rPr>
          <w:rFonts w:eastAsiaTheme="minorEastAsia"/>
          <w:b/>
          <w:bCs/>
          <w:i/>
          <w:iCs/>
        </w:rPr>
        <w:t>4</w:t>
      </w:r>
      <w:r w:rsidR="003D3D5B" w:rsidRPr="00BF4711">
        <w:rPr>
          <w:rFonts w:eastAsiaTheme="minorEastAsia"/>
          <w:b/>
          <w:bCs/>
          <w:i/>
          <w:iCs/>
        </w:rPr>
        <w:t>a-</w:t>
      </w:r>
      <w:r w:rsidR="00754E70">
        <w:rPr>
          <w:rFonts w:eastAsiaTheme="minorEastAsia"/>
          <w:b/>
          <w:bCs/>
          <w:i/>
          <w:iCs/>
        </w:rPr>
        <w:t>4</w:t>
      </w:r>
      <w:r w:rsidR="003D3D5B" w:rsidRPr="00BF4711">
        <w:rPr>
          <w:rFonts w:eastAsiaTheme="minorEastAsia"/>
          <w:b/>
          <w:bCs/>
          <w:i/>
          <w:iCs/>
        </w:rPr>
        <w:t>c</w:t>
      </w:r>
      <w:r w:rsidR="003D3D5B" w:rsidRPr="00BF4711">
        <w:rPr>
          <w:rFonts w:eastAsiaTheme="minorEastAsia"/>
        </w:rPr>
        <w:t xml:space="preserve"> show a clear progression in the axial concentration </w:t>
      </w:r>
      <w:r w:rsidR="00447ABF" w:rsidRPr="00BF4711">
        <w:rPr>
          <w:rFonts w:eastAsiaTheme="minorEastAsia"/>
        </w:rPr>
        <w:t>profiles as the dialysate flow rate is reduced from 1000 to 400 mL/min</w:t>
      </w:r>
      <w:r w:rsidR="002F4442" w:rsidRPr="00BF4711">
        <w:rPr>
          <w:rFonts w:eastAsiaTheme="minorEastAsia"/>
        </w:rPr>
        <w:t>. At the highest flow</w:t>
      </w:r>
      <w:r w:rsidR="000437C7" w:rsidRPr="00BF4711">
        <w:rPr>
          <w:rFonts w:eastAsiaTheme="minorEastAsia"/>
        </w:rPr>
        <w:t xml:space="preserve">, the dialysate remains close to its inlet concentration, causing both CO and CC gradients to fall sharply and leaving CO with very little driving force beyond </w:t>
      </w:r>
      <w:r w:rsidR="00581F71" w:rsidRPr="00BF4711">
        <w:rPr>
          <w:rFonts w:eastAsiaTheme="minorEastAsia"/>
        </w:rPr>
        <w:t xml:space="preserve">the inlet region. As the flow is lowered to 700 mL/min, the decay of </w:t>
      </w:r>
      <m:oMath>
        <m:r>
          <w:rPr>
            <w:rFonts w:ascii="Cambria Math" w:hAnsi="Cambria Math"/>
          </w:rPr>
          <m:t>∆</m:t>
        </m:r>
        <m:d>
          <m:dPr>
            <m:ctrlPr>
              <w:rPr>
                <w:rFonts w:ascii="Cambria Math" w:hAnsi="Cambria Math"/>
                <w:i/>
              </w:rPr>
            </m:ctrlPr>
          </m:dPr>
          <m:e>
            <m:r>
              <w:rPr>
                <w:rFonts w:ascii="Cambria Math" w:hAnsi="Cambria Math"/>
              </w:rPr>
              <m:t>x</m:t>
            </m:r>
          </m:e>
        </m:d>
      </m:oMath>
      <w:r w:rsidR="00862268" w:rsidRPr="00BF4711">
        <w:rPr>
          <w:rFonts w:eastAsiaTheme="minorEastAsia"/>
        </w:rPr>
        <w:t xml:space="preserve"> becomes less abrupt</w:t>
      </w:r>
      <w:r w:rsidR="003857E4" w:rsidRPr="00BF4711">
        <w:rPr>
          <w:rFonts w:eastAsiaTheme="minorEastAsia"/>
        </w:rPr>
        <w:t>, a</w:t>
      </w:r>
      <w:r w:rsidR="00862268" w:rsidRPr="00BF4711">
        <w:rPr>
          <w:rFonts w:eastAsiaTheme="minorEastAsia"/>
        </w:rPr>
        <w:t xml:space="preserve">nd the distinction between CO and CC becomes more evident as CC maintains a usable gradient over a </w:t>
      </w:r>
      <w:r w:rsidR="00496CFA" w:rsidRPr="00BF4711">
        <w:rPr>
          <w:rFonts w:eastAsiaTheme="minorEastAsia"/>
        </w:rPr>
        <w:t>larger</w:t>
      </w:r>
      <w:r w:rsidR="00862268" w:rsidRPr="00BF4711">
        <w:rPr>
          <w:rFonts w:eastAsiaTheme="minorEastAsia"/>
        </w:rPr>
        <w:t xml:space="preserve"> portion of the fiber. At the lowest flow of 400 mL/min</w:t>
      </w:r>
      <w:r w:rsidR="0003617B" w:rsidRPr="00BF4711">
        <w:rPr>
          <w:rFonts w:eastAsiaTheme="minorEastAsia"/>
        </w:rPr>
        <w:t xml:space="preserve">, dialysate-side solute accumulation slows the decline of </w:t>
      </w:r>
      <m:oMath>
        <m:r>
          <w:rPr>
            <w:rFonts w:ascii="Cambria Math" w:hAnsi="Cambria Math"/>
          </w:rPr>
          <m:t>∆</m:t>
        </m:r>
        <m:d>
          <m:dPr>
            <m:ctrlPr>
              <w:rPr>
                <w:rFonts w:ascii="Cambria Math" w:hAnsi="Cambria Math"/>
                <w:i/>
              </w:rPr>
            </m:ctrlPr>
          </m:dPr>
          <m:e>
            <m:r>
              <w:rPr>
                <w:rFonts w:ascii="Cambria Math" w:hAnsi="Cambria Math"/>
              </w:rPr>
              <m:t>x</m:t>
            </m:r>
          </m:e>
        </m:d>
      </m:oMath>
      <w:r w:rsidR="00B57090" w:rsidRPr="00BF4711">
        <w:rPr>
          <w:rFonts w:eastAsiaTheme="minorEastAsia"/>
        </w:rPr>
        <w:t xml:space="preserve">, producing more gradual profiles in both configurations and revealing a regime where dialysate flow increasingly limits transport. Across </w:t>
      </w:r>
      <w:r w:rsidR="001C25D9" w:rsidRPr="00BF4711">
        <w:rPr>
          <w:rFonts w:eastAsiaTheme="minorEastAsia"/>
        </w:rPr>
        <w:t>the three figures</w:t>
      </w:r>
      <w:r w:rsidR="00622A58" w:rsidRPr="00BF4711">
        <w:rPr>
          <w:rFonts w:eastAsiaTheme="minorEastAsia"/>
        </w:rPr>
        <w:t>, CC consistently preserves a higher driving force</w:t>
      </w:r>
      <w:r w:rsidR="001C25D9" w:rsidRPr="00BF4711">
        <w:rPr>
          <w:rFonts w:eastAsiaTheme="minorEastAsia"/>
        </w:rPr>
        <w:t xml:space="preserve"> than CO, and its relative </w:t>
      </w:r>
      <w:r w:rsidR="00A959F4" w:rsidRPr="00BF4711">
        <w:rPr>
          <w:rFonts w:eastAsiaTheme="minorEastAsia"/>
        </w:rPr>
        <w:t>advantage</w:t>
      </w:r>
      <w:r w:rsidR="001C25D9" w:rsidRPr="00BF4711">
        <w:rPr>
          <w:rFonts w:eastAsiaTheme="minorEastAsia"/>
        </w:rPr>
        <w:t xml:space="preserve"> becomes more pronounced as Q</w:t>
      </w:r>
      <w:r w:rsidR="001C25D9" w:rsidRPr="00BF4711">
        <w:rPr>
          <w:rFonts w:eastAsiaTheme="minorEastAsia"/>
          <w:vertAlign w:val="subscript"/>
        </w:rPr>
        <w:t>d</w:t>
      </w:r>
      <w:r w:rsidR="001C25D9" w:rsidRPr="00BF4711">
        <w:rPr>
          <w:rFonts w:eastAsiaTheme="minorEastAsia"/>
        </w:rPr>
        <w:t xml:space="preserve"> decreases.</w:t>
      </w:r>
      <w:r w:rsidR="00622A58" w:rsidRPr="00BF4711">
        <w:rPr>
          <w:rFonts w:eastAsiaTheme="minorEastAsia"/>
        </w:rPr>
        <w:t xml:space="preserve"> </w:t>
      </w:r>
    </w:p>
    <w:p w14:paraId="1164A296" w14:textId="77777777" w:rsidR="00E76ED9" w:rsidRPr="00BF4711" w:rsidRDefault="00E76ED9" w:rsidP="0026028D">
      <w:pPr>
        <w:pStyle w:val="NormalWeb"/>
        <w:spacing w:before="0" w:beforeAutospacing="0" w:after="0" w:afterAutospacing="0"/>
        <w:contextualSpacing/>
        <w:jc w:val="both"/>
        <w:rPr>
          <w:rFonts w:eastAsiaTheme="minorEastAsia"/>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43" w:type="dxa"/>
          <w:right w:w="43" w:type="dxa"/>
        </w:tblCellMar>
        <w:tblLook w:val="04A0" w:firstRow="1" w:lastRow="0" w:firstColumn="1" w:lastColumn="0" w:noHBand="0" w:noVBand="1"/>
      </w:tblPr>
      <w:tblGrid>
        <w:gridCol w:w="5040"/>
        <w:gridCol w:w="5040"/>
      </w:tblGrid>
      <w:tr w:rsidR="00E76ED9" w:rsidRPr="00BF4711" w14:paraId="3ED9CAA8" w14:textId="77777777" w:rsidTr="00F70B24">
        <w:tc>
          <w:tcPr>
            <w:tcW w:w="5035" w:type="dxa"/>
          </w:tcPr>
          <w:p w14:paraId="5CBE0AAA" w14:textId="3B2626C3" w:rsidR="00E76ED9" w:rsidRPr="00BF4711" w:rsidRDefault="00F245DD" w:rsidP="0026028D">
            <w:pPr>
              <w:pStyle w:val="NormalWeb"/>
              <w:spacing w:before="0" w:beforeAutospacing="0" w:after="0" w:afterAutospacing="0"/>
              <w:contextualSpacing/>
              <w:jc w:val="both"/>
              <w:rPr>
                <w:rFonts w:eastAsiaTheme="minorHAnsi"/>
              </w:rPr>
            </w:pPr>
            <w:r w:rsidRPr="00BF4711">
              <w:rPr>
                <w:rFonts w:eastAsiaTheme="minorHAnsi"/>
                <w:noProof/>
              </w:rPr>
              <w:lastRenderedPageBreak/>
              <w:drawing>
                <wp:inline distT="0" distB="0" distL="0" distR="0" wp14:anchorId="41A9E0FB" wp14:editId="0EA8B95A">
                  <wp:extent cx="3227832" cy="2569464"/>
                  <wp:effectExtent l="0" t="0" r="0" b="2540"/>
                  <wp:docPr id="1662527537" name="Graphic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527537" name="Graphic 1662527537"/>
                          <pic:cNvPicPr/>
                        </pic:nvPicPr>
                        <pic:blipFill>
                          <a:blip r:embed="rId17">
                            <a:extLst>
                              <a:ext uri="{96DAC541-7B7A-43D3-8B79-37D633B846F1}">
                                <asvg:svgBlip xmlns:asvg="http://schemas.microsoft.com/office/drawing/2016/SVG/main" r:embed="rId18"/>
                              </a:ext>
                            </a:extLst>
                          </a:blip>
                          <a:stretch>
                            <a:fillRect/>
                          </a:stretch>
                        </pic:blipFill>
                        <pic:spPr>
                          <a:xfrm>
                            <a:off x="0" y="0"/>
                            <a:ext cx="3227832" cy="2569464"/>
                          </a:xfrm>
                          <a:prstGeom prst="rect">
                            <a:avLst/>
                          </a:prstGeom>
                        </pic:spPr>
                      </pic:pic>
                    </a:graphicData>
                  </a:graphic>
                </wp:inline>
              </w:drawing>
            </w:r>
          </w:p>
        </w:tc>
        <w:tc>
          <w:tcPr>
            <w:tcW w:w="5035" w:type="dxa"/>
          </w:tcPr>
          <w:p w14:paraId="01AC021D" w14:textId="79F579F2" w:rsidR="00E76ED9" w:rsidRPr="00BF4711" w:rsidRDefault="00444D7D" w:rsidP="0026028D">
            <w:pPr>
              <w:pStyle w:val="NormalWeb"/>
              <w:spacing w:before="0" w:beforeAutospacing="0" w:after="0" w:afterAutospacing="0"/>
              <w:contextualSpacing/>
              <w:jc w:val="both"/>
              <w:rPr>
                <w:rFonts w:eastAsiaTheme="minorHAnsi"/>
              </w:rPr>
            </w:pPr>
            <w:r w:rsidRPr="00BF4711">
              <w:rPr>
                <w:rFonts w:eastAsiaTheme="minorHAnsi"/>
                <w:noProof/>
              </w:rPr>
              <w:drawing>
                <wp:inline distT="0" distB="0" distL="0" distR="0" wp14:anchorId="5954300D" wp14:editId="79DB714E">
                  <wp:extent cx="3227832" cy="2569464"/>
                  <wp:effectExtent l="0" t="0" r="0" b="2540"/>
                  <wp:docPr id="508509892" name="Graphic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509892" name="Graphic 508509892"/>
                          <pic:cNvPicPr/>
                        </pic:nvPicPr>
                        <pic:blipFill>
                          <a:blip r:embed="rId19">
                            <a:extLst>
                              <a:ext uri="{96DAC541-7B7A-43D3-8B79-37D633B846F1}">
                                <asvg:svgBlip xmlns:asvg="http://schemas.microsoft.com/office/drawing/2016/SVG/main" r:embed="rId20"/>
                              </a:ext>
                            </a:extLst>
                          </a:blip>
                          <a:stretch>
                            <a:fillRect/>
                          </a:stretch>
                        </pic:blipFill>
                        <pic:spPr>
                          <a:xfrm>
                            <a:off x="0" y="0"/>
                            <a:ext cx="3227832" cy="2569464"/>
                          </a:xfrm>
                          <a:prstGeom prst="rect">
                            <a:avLst/>
                          </a:prstGeom>
                        </pic:spPr>
                      </pic:pic>
                    </a:graphicData>
                  </a:graphic>
                </wp:inline>
              </w:drawing>
            </w:r>
          </w:p>
        </w:tc>
      </w:tr>
      <w:tr w:rsidR="00E76ED9" w:rsidRPr="00BF4711" w14:paraId="764BF873" w14:textId="77777777" w:rsidTr="00F70B24">
        <w:tc>
          <w:tcPr>
            <w:tcW w:w="10070" w:type="dxa"/>
            <w:gridSpan w:val="2"/>
          </w:tcPr>
          <w:p w14:paraId="44406ABF" w14:textId="2F96ECD7" w:rsidR="00E76ED9" w:rsidRPr="00BF4711" w:rsidRDefault="00444D7D" w:rsidP="0026028D">
            <w:pPr>
              <w:pStyle w:val="NormalWeb"/>
              <w:spacing w:before="0" w:beforeAutospacing="0" w:after="0" w:afterAutospacing="0"/>
              <w:contextualSpacing/>
              <w:jc w:val="center"/>
              <w:rPr>
                <w:rFonts w:eastAsiaTheme="minorHAnsi"/>
              </w:rPr>
            </w:pPr>
            <w:r w:rsidRPr="00BF4711">
              <w:rPr>
                <w:rFonts w:eastAsiaTheme="minorHAnsi"/>
                <w:noProof/>
              </w:rPr>
              <w:drawing>
                <wp:inline distT="0" distB="0" distL="0" distR="0" wp14:anchorId="4C08AF4C" wp14:editId="7296C5B4">
                  <wp:extent cx="3227832" cy="2569464"/>
                  <wp:effectExtent l="0" t="0" r="0" b="2540"/>
                  <wp:docPr id="1757408215" name="Graphic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408215" name="Graphic 1757408215"/>
                          <pic:cNvPicPr/>
                        </pic:nvPicPr>
                        <pic:blipFill>
                          <a:blip r:embed="rId21">
                            <a:extLst>
                              <a:ext uri="{96DAC541-7B7A-43D3-8B79-37D633B846F1}">
                                <asvg:svgBlip xmlns:asvg="http://schemas.microsoft.com/office/drawing/2016/SVG/main" r:embed="rId22"/>
                              </a:ext>
                            </a:extLst>
                          </a:blip>
                          <a:stretch>
                            <a:fillRect/>
                          </a:stretch>
                        </pic:blipFill>
                        <pic:spPr>
                          <a:xfrm>
                            <a:off x="0" y="0"/>
                            <a:ext cx="3227832" cy="2569464"/>
                          </a:xfrm>
                          <a:prstGeom prst="rect">
                            <a:avLst/>
                          </a:prstGeom>
                        </pic:spPr>
                      </pic:pic>
                    </a:graphicData>
                  </a:graphic>
                </wp:inline>
              </w:drawing>
            </w:r>
          </w:p>
        </w:tc>
      </w:tr>
      <w:tr w:rsidR="00E76ED9" w:rsidRPr="00BF4711" w14:paraId="720F5188" w14:textId="77777777" w:rsidTr="00F70B24">
        <w:tc>
          <w:tcPr>
            <w:tcW w:w="10070" w:type="dxa"/>
            <w:gridSpan w:val="2"/>
          </w:tcPr>
          <w:p w14:paraId="5B875687" w14:textId="4096137B" w:rsidR="00E76ED9" w:rsidRPr="00BF4711" w:rsidRDefault="00E76ED9" w:rsidP="0026028D">
            <w:pPr>
              <w:pStyle w:val="NormalWeb"/>
              <w:spacing w:before="0" w:beforeAutospacing="0" w:after="0" w:afterAutospacing="0"/>
              <w:contextualSpacing/>
              <w:rPr>
                <w:rFonts w:eastAsiaTheme="minorHAnsi"/>
              </w:rPr>
            </w:pPr>
            <w:r w:rsidRPr="00BF4711">
              <w:rPr>
                <w:rFonts w:eastAsiaTheme="minorHAnsi"/>
                <w:b/>
                <w:bCs/>
                <w:i/>
                <w:iCs/>
              </w:rPr>
              <w:t xml:space="preserve">Figure </w:t>
            </w:r>
            <w:r w:rsidR="00086BB0">
              <w:rPr>
                <w:rFonts w:eastAsiaTheme="minorHAnsi"/>
                <w:b/>
                <w:bCs/>
                <w:i/>
                <w:iCs/>
              </w:rPr>
              <w:t>4</w:t>
            </w:r>
            <w:r w:rsidRPr="00BF4711">
              <w:rPr>
                <w:rFonts w:eastAsiaTheme="minorHAnsi"/>
                <w:b/>
                <w:bCs/>
                <w:i/>
                <w:iCs/>
              </w:rPr>
              <w:t>.</w:t>
            </w:r>
            <w:r w:rsidRPr="00BF4711">
              <w:rPr>
                <w:rFonts w:eastAsiaTheme="minorHAnsi"/>
              </w:rPr>
              <w:t xml:space="preserve"> </w:t>
            </w:r>
            <w:r w:rsidR="00386989" w:rsidRPr="00BF4711">
              <w:rPr>
                <w:rFonts w:eastAsiaTheme="minorHAnsi"/>
              </w:rPr>
              <w:t>Influence of dialysate flow rate Q</w:t>
            </w:r>
            <w:r w:rsidR="00386989" w:rsidRPr="00BF4711">
              <w:rPr>
                <w:rFonts w:eastAsiaTheme="minorHAnsi"/>
                <w:vertAlign w:val="subscript"/>
              </w:rPr>
              <w:t>d</w:t>
            </w:r>
            <w:r w:rsidR="008E2A1C" w:rsidRPr="00BF4711">
              <w:rPr>
                <w:rFonts w:eastAsiaTheme="minorHAnsi"/>
              </w:rPr>
              <w:t xml:space="preserve"> on model predicted </w:t>
            </w:r>
            <w:r w:rsidR="00CF3F83" w:rsidRPr="00BF4711">
              <w:rPr>
                <w:rFonts w:eastAsiaTheme="minorHAnsi"/>
              </w:rPr>
              <w:t xml:space="preserve">spatial concentration profile during co-current and counter-current </w:t>
            </w:r>
            <w:r w:rsidR="00297AF9" w:rsidRPr="00BF4711">
              <w:rPr>
                <w:rFonts w:eastAsiaTheme="minorHAnsi"/>
              </w:rPr>
              <w:t xml:space="preserve">kidney </w:t>
            </w:r>
            <w:r w:rsidR="00CF3F83" w:rsidRPr="00BF4711">
              <w:rPr>
                <w:rFonts w:eastAsiaTheme="minorHAnsi"/>
              </w:rPr>
              <w:t>dialysis.</w:t>
            </w:r>
          </w:p>
        </w:tc>
      </w:tr>
    </w:tbl>
    <w:p w14:paraId="50B7BC1A" w14:textId="77777777" w:rsidR="00E76ED9" w:rsidRPr="00BF4711" w:rsidRDefault="00E76ED9" w:rsidP="0026028D">
      <w:pPr>
        <w:pStyle w:val="NormalWeb"/>
        <w:spacing w:before="0" w:beforeAutospacing="0" w:after="0" w:afterAutospacing="0"/>
        <w:contextualSpacing/>
        <w:jc w:val="both"/>
        <w:rPr>
          <w:rFonts w:eastAsiaTheme="minorHAnsi"/>
        </w:rPr>
      </w:pPr>
    </w:p>
    <w:p w14:paraId="6C79A2BA" w14:textId="3A2E6DA4" w:rsidR="00E76ED9" w:rsidRPr="00BF4711" w:rsidRDefault="00B06542" w:rsidP="0026028D">
      <w:pPr>
        <w:pStyle w:val="NormalWeb"/>
        <w:spacing w:before="0" w:beforeAutospacing="0" w:after="0" w:afterAutospacing="0"/>
        <w:contextualSpacing/>
        <w:jc w:val="both"/>
        <w:rPr>
          <w:rFonts w:eastAsiaTheme="minorHAnsi"/>
        </w:rPr>
      </w:pPr>
      <w:r w:rsidRPr="00BF4711">
        <w:rPr>
          <w:rFonts w:eastAsiaTheme="minorHAnsi"/>
        </w:rPr>
        <w:t xml:space="preserve">In this </w:t>
      </w:r>
      <w:r w:rsidR="002A4D8C" w:rsidRPr="00BF4711">
        <w:rPr>
          <w:rFonts w:eastAsiaTheme="minorHAnsi"/>
        </w:rPr>
        <w:t>model</w:t>
      </w:r>
      <w:r w:rsidRPr="00BF4711">
        <w:rPr>
          <w:rFonts w:eastAsiaTheme="minorHAnsi"/>
        </w:rPr>
        <w:t xml:space="preserve">, </w:t>
      </w:r>
      <w:r w:rsidR="009C2081" w:rsidRPr="00BF4711">
        <w:rPr>
          <w:rFonts w:eastAsiaTheme="minorHAnsi"/>
        </w:rPr>
        <w:t>K</w:t>
      </w:r>
      <w:r w:rsidR="009C2081" w:rsidRPr="00BF4711">
        <w:rPr>
          <w:rFonts w:eastAsiaTheme="minorHAnsi"/>
          <w:vertAlign w:val="subscript"/>
        </w:rPr>
        <w:t>0</w:t>
      </w:r>
      <w:r w:rsidR="009C2081" w:rsidRPr="00BF4711">
        <w:rPr>
          <w:rFonts w:eastAsiaTheme="minorHAnsi"/>
        </w:rPr>
        <w:t>A is held constant</w:t>
      </w:r>
      <w:r w:rsidR="00E00BFD" w:rsidRPr="00BF4711">
        <w:rPr>
          <w:rFonts w:eastAsiaTheme="minorHAnsi"/>
        </w:rPr>
        <w:t xml:space="preserve"> while we examine how changes in dialysate flow rate</w:t>
      </w:r>
      <w:r w:rsidR="006D0DC2" w:rsidRPr="00BF4711">
        <w:rPr>
          <w:rFonts w:eastAsiaTheme="minorHAnsi"/>
        </w:rPr>
        <w:t xml:space="preserve"> Q</w:t>
      </w:r>
      <w:r w:rsidR="006D0DC2" w:rsidRPr="00C7141F">
        <w:rPr>
          <w:rFonts w:eastAsiaTheme="minorHAnsi"/>
          <w:vertAlign w:val="subscript"/>
        </w:rPr>
        <w:t>d</w:t>
      </w:r>
      <w:r w:rsidR="006D0DC2" w:rsidRPr="00BF4711">
        <w:rPr>
          <w:rFonts w:eastAsiaTheme="minorHAnsi"/>
        </w:rPr>
        <w:t xml:space="preserve"> reshape the axial concentration difference</w:t>
      </w:r>
      <w:r w:rsidR="00A66990" w:rsidRPr="00BF4711">
        <w:rPr>
          <w:rFonts w:eastAsiaTheme="minorHAnsi"/>
        </w:rPr>
        <w:t xml:space="preserve"> </w:t>
      </w:r>
      <m:oMath>
        <m:r>
          <w:rPr>
            <w:rFonts w:ascii="Cambria Math" w:hAnsi="Cambria Math"/>
          </w:rPr>
          <m:t>∆</m:t>
        </m:r>
        <m:d>
          <m:dPr>
            <m:ctrlPr>
              <w:rPr>
                <w:rFonts w:ascii="Cambria Math" w:hAnsi="Cambria Math"/>
                <w:i/>
              </w:rPr>
            </m:ctrlPr>
          </m:dPr>
          <m:e>
            <m:r>
              <w:rPr>
                <w:rFonts w:ascii="Cambria Math" w:hAnsi="Cambria Math"/>
              </w:rPr>
              <m:t>x</m:t>
            </m:r>
          </m:e>
        </m:d>
      </m:oMath>
      <w:r w:rsidR="00A66990" w:rsidRPr="00BF4711">
        <w:rPr>
          <w:rFonts w:eastAsiaTheme="minorEastAsia"/>
        </w:rPr>
        <w:t xml:space="preserve"> for CO and CC</w:t>
      </w:r>
      <w:r w:rsidR="00B946C3" w:rsidRPr="00BF4711">
        <w:rPr>
          <w:rFonts w:eastAsiaTheme="minorEastAsia"/>
        </w:rPr>
        <w:t xml:space="preserve"> configurations. This isolates the geometric and convective effects of Q</w:t>
      </w:r>
      <w:r w:rsidR="00B946C3" w:rsidRPr="00A53F3C">
        <w:rPr>
          <w:rFonts w:eastAsiaTheme="minorEastAsia"/>
          <w:vertAlign w:val="subscript"/>
        </w:rPr>
        <w:t>d</w:t>
      </w:r>
      <w:r w:rsidR="00B946C3" w:rsidRPr="00BF4711">
        <w:rPr>
          <w:rFonts w:eastAsiaTheme="minorEastAsia"/>
        </w:rPr>
        <w:t xml:space="preserve"> on the transmembrane driving force for the solute transport</w:t>
      </w:r>
      <w:r w:rsidR="00F66AA8" w:rsidRPr="00BF4711">
        <w:rPr>
          <w:rFonts w:eastAsiaTheme="minorEastAsia"/>
        </w:rPr>
        <w:t>. In clinical dialyzers, however, the effective mass-transfer area coefficient K</w:t>
      </w:r>
      <w:r w:rsidR="00F66AA8" w:rsidRPr="00A53F3C">
        <w:rPr>
          <w:rFonts w:eastAsiaTheme="minorEastAsia"/>
          <w:vertAlign w:val="subscript"/>
        </w:rPr>
        <w:t>0</w:t>
      </w:r>
      <w:r w:rsidR="00F66AA8" w:rsidRPr="00BF4711">
        <w:rPr>
          <w:rFonts w:eastAsiaTheme="minorEastAsia"/>
        </w:rPr>
        <w:t>A</w:t>
      </w:r>
      <w:r w:rsidR="0020711D" w:rsidRPr="00BF4711">
        <w:rPr>
          <w:rFonts w:eastAsiaTheme="minorEastAsia"/>
        </w:rPr>
        <w:t xml:space="preserve"> can itself increase with dialysate flow, particularly for small solutes such as urea</w:t>
      </w:r>
      <w:r w:rsidR="00E14B65" w:rsidRPr="00BF4711">
        <w:rPr>
          <w:rFonts w:eastAsiaTheme="minorEastAsia"/>
        </w:rPr>
        <w:t>, so the present simulations likely underestimate the full impact of higher Q</w:t>
      </w:r>
      <w:r w:rsidR="00E14B65" w:rsidRPr="00936FBB">
        <w:rPr>
          <w:rFonts w:eastAsiaTheme="minorEastAsia"/>
          <w:vertAlign w:val="subscript"/>
        </w:rPr>
        <w:t>d</w:t>
      </w:r>
      <w:r w:rsidR="00E14B65" w:rsidRPr="00BF4711">
        <w:rPr>
          <w:rFonts w:eastAsiaTheme="minorEastAsia"/>
        </w:rPr>
        <w:t xml:space="preserve"> on solute removal (</w:t>
      </w:r>
      <w:r w:rsidR="006C4C66" w:rsidRPr="00BF4711">
        <w:rPr>
          <w:rFonts w:eastAsiaTheme="minorEastAsia"/>
        </w:rPr>
        <w:t>Leypoldt et al., HEMO Study [6]).</w:t>
      </w:r>
    </w:p>
    <w:p w14:paraId="701CDF83" w14:textId="77777777" w:rsidR="00E76ED9" w:rsidRDefault="00E76ED9" w:rsidP="0026028D">
      <w:pPr>
        <w:pStyle w:val="NormalWeb"/>
        <w:spacing w:before="0" w:beforeAutospacing="0" w:after="0" w:afterAutospacing="0"/>
        <w:contextualSpacing/>
        <w:jc w:val="both"/>
        <w:rPr>
          <w:rFonts w:eastAsiaTheme="minorHAnsi"/>
        </w:rPr>
      </w:pPr>
    </w:p>
    <w:p w14:paraId="2A9FF928" w14:textId="480BE3C9" w:rsidR="00FA64CC" w:rsidRPr="00FB5943" w:rsidRDefault="00850576" w:rsidP="005B6D0A">
      <w:pPr>
        <w:pStyle w:val="NormalWeb"/>
        <w:spacing w:before="0" w:beforeAutospacing="0" w:after="120" w:afterAutospacing="0"/>
        <w:jc w:val="both"/>
        <w:rPr>
          <w:rFonts w:eastAsiaTheme="minorEastAsia"/>
          <w:b/>
          <w:bCs/>
        </w:rPr>
      </w:pPr>
      <w:r w:rsidRPr="00BF4711">
        <w:rPr>
          <w:rFonts w:eastAsiaTheme="minorEastAsia"/>
          <w:b/>
          <w:bCs/>
        </w:rPr>
        <w:t>Temporal Concentration C(t)</w:t>
      </w:r>
      <w:r w:rsidR="005A0029" w:rsidRPr="00BF4711">
        <w:rPr>
          <w:rFonts w:eastAsiaTheme="minorEastAsia"/>
          <w:b/>
          <w:bCs/>
        </w:rPr>
        <w:t>.</w:t>
      </w:r>
    </w:p>
    <w:p w14:paraId="1F59CEC0" w14:textId="2B5B0FD6" w:rsidR="003A2AB4" w:rsidRPr="00BF4711" w:rsidRDefault="00C94971" w:rsidP="0026028D">
      <w:pPr>
        <w:pStyle w:val="NormalWeb"/>
        <w:spacing w:before="0" w:beforeAutospacing="0" w:after="0" w:afterAutospacing="0"/>
        <w:contextualSpacing/>
        <w:jc w:val="both"/>
        <w:rPr>
          <w:rFonts w:eastAsiaTheme="minorEastAsia"/>
        </w:rPr>
      </w:pPr>
      <w:r w:rsidRPr="00BF4711">
        <w:rPr>
          <w:rFonts w:eastAsiaTheme="minorEastAsia"/>
          <w:b/>
          <w:bCs/>
          <w:i/>
          <w:iCs/>
        </w:rPr>
        <w:t xml:space="preserve">Figure </w:t>
      </w:r>
      <w:r w:rsidR="00936FBB">
        <w:rPr>
          <w:rFonts w:eastAsiaTheme="minorEastAsia"/>
          <w:b/>
          <w:bCs/>
          <w:i/>
          <w:iCs/>
        </w:rPr>
        <w:t>5</w:t>
      </w:r>
      <w:r w:rsidRPr="00BF4711">
        <w:rPr>
          <w:rFonts w:eastAsiaTheme="minorEastAsia"/>
        </w:rPr>
        <w:t xml:space="preserve"> shows the model-predicted time course of the normalized solute concentration</w:t>
      </w:r>
      <w:r w:rsidR="003A2AB4" w:rsidRPr="00BF4711">
        <w:rPr>
          <w:rFonts w:eastAsiaTheme="minorEastAsia"/>
        </w:rPr>
        <w:t xml:space="preserve"> in the patient’s blood compartment, </w:t>
      </w:r>
      <m:oMath>
        <m:r>
          <w:rPr>
            <w:rFonts w:ascii="Cambria Math" w:hAnsi="Cambria Math"/>
          </w:rPr>
          <m:t>C</m:t>
        </m:r>
        <m:d>
          <m:dPr>
            <m:ctrlPr>
              <w:rPr>
                <w:rFonts w:ascii="Cambria Math" w:hAnsi="Cambria Math"/>
                <w:i/>
              </w:rPr>
            </m:ctrlPr>
          </m:dPr>
          <m:e>
            <m:r>
              <w:rPr>
                <w:rFonts w:ascii="Cambria Math" w:hAnsi="Cambria Math"/>
              </w:rPr>
              <m:t>t</m:t>
            </m:r>
          </m:e>
        </m:d>
      </m:oMath>
      <w:r w:rsidR="0058205F" w:rsidRPr="00BF4711">
        <w:rPr>
          <w:rFonts w:eastAsiaTheme="minorEastAsia"/>
        </w:rPr>
        <w:t>,</w:t>
      </w:r>
      <w:r w:rsidR="002F7605" w:rsidRPr="00BF4711">
        <w:rPr>
          <w:rFonts w:eastAsiaTheme="minorEastAsia"/>
        </w:rPr>
        <w:t xml:space="preserve"> during dialysis for CO and CC flow. </w:t>
      </w:r>
      <w:r w:rsidR="00F5542B" w:rsidRPr="00BF4711">
        <w:rPr>
          <w:rFonts w:eastAsiaTheme="minorEastAsia"/>
        </w:rPr>
        <w:t>Because a</w:t>
      </w:r>
      <w:r w:rsidR="00414F9A" w:rsidRPr="00BF4711">
        <w:rPr>
          <w:rFonts w:eastAsiaTheme="minorEastAsia"/>
        </w:rPr>
        <w:t>t</w:t>
      </w:r>
      <w:r w:rsidR="002F7605" w:rsidRPr="00BF4711">
        <w:rPr>
          <w:rFonts w:eastAsiaTheme="minorEastAsia"/>
        </w:rPr>
        <w:t xml:space="preserve"> </w:t>
      </w:r>
      <m:oMath>
        <m:r>
          <w:rPr>
            <w:rFonts w:ascii="Cambria Math" w:hAnsi="Cambria Math"/>
          </w:rPr>
          <m:t>C</m:t>
        </m:r>
        <m:d>
          <m:dPr>
            <m:ctrlPr>
              <w:rPr>
                <w:rFonts w:ascii="Cambria Math" w:hAnsi="Cambria Math"/>
                <w:i/>
              </w:rPr>
            </m:ctrlPr>
          </m:dPr>
          <m:e>
            <m:r>
              <w:rPr>
                <w:rFonts w:ascii="Cambria Math" w:hAnsi="Cambria Math"/>
              </w:rPr>
              <m:t>0</m:t>
            </m:r>
          </m:e>
        </m:d>
        <m:r>
          <w:rPr>
            <w:rFonts w:ascii="Cambria Math" w:eastAsiaTheme="minorEastAsia" w:hAnsi="Cambria Math"/>
          </w:rPr>
          <m:t>=1</m:t>
        </m:r>
      </m:oMath>
      <w:r w:rsidR="0058415C" w:rsidRPr="00BF4711">
        <w:rPr>
          <w:rFonts w:eastAsiaTheme="minorEastAsia"/>
        </w:rPr>
        <w:t xml:space="preserve"> </w:t>
      </w:r>
      <w:r w:rsidR="009B489E" w:rsidRPr="00BF4711">
        <w:rPr>
          <w:rFonts w:eastAsiaTheme="minorEastAsia"/>
        </w:rPr>
        <w:t xml:space="preserve">the curves represent the fraction of the initial solute load remaining in the </w:t>
      </w:r>
      <w:r w:rsidR="00FE3B4E" w:rsidRPr="00BF4711">
        <w:rPr>
          <w:rFonts w:eastAsiaTheme="minorEastAsia"/>
        </w:rPr>
        <w:t>body</w:t>
      </w:r>
      <w:r w:rsidR="0096152A" w:rsidRPr="00BF4711">
        <w:rPr>
          <w:rFonts w:eastAsiaTheme="minorEastAsia"/>
        </w:rPr>
        <w:t xml:space="preserve"> as</w:t>
      </w:r>
      <w:r w:rsidR="00B63A35" w:rsidRPr="00BF4711">
        <w:rPr>
          <w:rFonts w:eastAsiaTheme="minorEastAsia"/>
        </w:rPr>
        <w:t xml:space="preserve"> treatment progresses, consistent with standard single-pool</w:t>
      </w:r>
      <w:r w:rsidR="004B1268" w:rsidRPr="00BF4711">
        <w:rPr>
          <w:rFonts w:eastAsiaTheme="minorEastAsia"/>
        </w:rPr>
        <w:t xml:space="preserve"> mass-balance formulations used in dialysis kinetics</w:t>
      </w:r>
      <w:r w:rsidR="00FE3B4E" w:rsidRPr="00BF4711">
        <w:rPr>
          <w:rFonts w:eastAsiaTheme="minorEastAsia"/>
        </w:rPr>
        <w:t>.</w:t>
      </w:r>
      <w:r w:rsidR="008C0122" w:rsidRPr="00BF4711">
        <w:rPr>
          <w:rFonts w:eastAsiaTheme="minorEastAsia"/>
        </w:rPr>
        <w:t xml:space="preserve"> </w:t>
      </w:r>
      <w:r w:rsidR="00874651" w:rsidRPr="00BF4711">
        <w:rPr>
          <w:rFonts w:eastAsiaTheme="minorEastAsia"/>
        </w:rPr>
        <w:t>B</w:t>
      </w:r>
      <w:r w:rsidR="008C0122" w:rsidRPr="00BF4711">
        <w:rPr>
          <w:rFonts w:eastAsiaTheme="minorEastAsia"/>
        </w:rPr>
        <w:t>oth configurations exhibit a</w:t>
      </w:r>
      <w:r w:rsidR="0058415C" w:rsidRPr="00BF4711">
        <w:rPr>
          <w:rFonts w:eastAsiaTheme="minorEastAsia"/>
        </w:rPr>
        <w:t xml:space="preserve"> </w:t>
      </w:r>
      <w:r w:rsidR="008C0122" w:rsidRPr="00BF4711">
        <w:rPr>
          <w:rFonts w:eastAsiaTheme="minorEastAsia"/>
        </w:rPr>
        <w:t>monotonic</w:t>
      </w:r>
      <w:r w:rsidR="0058415C" w:rsidRPr="00BF4711">
        <w:rPr>
          <w:rFonts w:eastAsiaTheme="minorEastAsia"/>
        </w:rPr>
        <w:t xml:space="preserve"> </w:t>
      </w:r>
      <w:r w:rsidR="00BC18AC" w:rsidRPr="00BF4711">
        <w:rPr>
          <w:rFonts w:eastAsiaTheme="minorEastAsia"/>
        </w:rPr>
        <w:t xml:space="preserve">decline in </w:t>
      </w:r>
      <m:oMath>
        <m:r>
          <w:rPr>
            <w:rFonts w:ascii="Cambria Math" w:hAnsi="Cambria Math"/>
          </w:rPr>
          <m:t>C</m:t>
        </m:r>
        <m:d>
          <m:dPr>
            <m:ctrlPr>
              <w:rPr>
                <w:rFonts w:ascii="Cambria Math" w:hAnsi="Cambria Math"/>
                <w:i/>
              </w:rPr>
            </m:ctrlPr>
          </m:dPr>
          <m:e>
            <m:r>
              <w:rPr>
                <w:rFonts w:ascii="Cambria Math" w:hAnsi="Cambria Math"/>
              </w:rPr>
              <m:t>t</m:t>
            </m:r>
          </m:e>
        </m:d>
      </m:oMath>
      <w:r w:rsidR="0058205F" w:rsidRPr="00BF4711">
        <w:rPr>
          <w:rFonts w:eastAsiaTheme="minorEastAsia"/>
        </w:rPr>
        <w:t>, reflecting</w:t>
      </w:r>
      <w:r w:rsidR="0091368F" w:rsidRPr="00BF4711">
        <w:rPr>
          <w:rFonts w:eastAsiaTheme="minorEastAsia"/>
        </w:rPr>
        <w:t xml:space="preserve"> net solute removal driven by the transmembrane concentration difference </w:t>
      </w:r>
      <m:oMath>
        <m:r>
          <w:rPr>
            <w:rFonts w:ascii="Cambria Math" w:hAnsi="Cambria Math"/>
          </w:rPr>
          <m:t>∆</m:t>
        </m:r>
        <m:d>
          <m:dPr>
            <m:ctrlPr>
              <w:rPr>
                <w:rFonts w:ascii="Cambria Math" w:hAnsi="Cambria Math"/>
                <w:i/>
              </w:rPr>
            </m:ctrlPr>
          </m:dPr>
          <m:e>
            <m:r>
              <w:rPr>
                <w:rFonts w:ascii="Cambria Math" w:hAnsi="Cambria Math"/>
              </w:rPr>
              <m:t>x</m:t>
            </m:r>
          </m:e>
        </m:d>
      </m:oMath>
      <w:r w:rsidR="00FC108B" w:rsidRPr="00BF4711">
        <w:rPr>
          <w:rFonts w:eastAsiaTheme="minorEastAsia"/>
        </w:rPr>
        <w:t xml:space="preserve"> established within the dialyzer</w:t>
      </w:r>
      <w:r w:rsidR="00FA0C13" w:rsidRPr="00BF4711">
        <w:rPr>
          <w:rFonts w:eastAsiaTheme="minorEastAsia"/>
        </w:rPr>
        <w:t xml:space="preserve"> (Sargent et al. Biophysics of Dialysis [7])</w:t>
      </w:r>
      <w:r w:rsidR="00FC108B" w:rsidRPr="00BF4711">
        <w:rPr>
          <w:rFonts w:eastAsiaTheme="minorEastAsia"/>
        </w:rPr>
        <w:t>.</w:t>
      </w:r>
    </w:p>
    <w:p w14:paraId="440ACE37" w14:textId="77777777" w:rsidR="00741A95" w:rsidRPr="00BF4711" w:rsidRDefault="00741A95" w:rsidP="0026028D">
      <w:pPr>
        <w:pStyle w:val="NormalWeb"/>
        <w:spacing w:before="0" w:beforeAutospacing="0" w:after="0" w:afterAutospacing="0"/>
        <w:contextualSpacing/>
        <w:jc w:val="both"/>
        <w:rPr>
          <w:rFonts w:eastAsiaTheme="minorHAnsi"/>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43" w:type="dxa"/>
          <w:right w:w="43" w:type="dxa"/>
        </w:tblCellMar>
        <w:tblLook w:val="04A0" w:firstRow="1" w:lastRow="0" w:firstColumn="1" w:lastColumn="0" w:noHBand="0" w:noVBand="1"/>
      </w:tblPr>
      <w:tblGrid>
        <w:gridCol w:w="10070"/>
      </w:tblGrid>
      <w:tr w:rsidR="006F4D06" w:rsidRPr="00BF4711" w14:paraId="3667B2A8" w14:textId="77777777" w:rsidTr="00F70B24">
        <w:trPr>
          <w:trHeight w:val="3392"/>
        </w:trPr>
        <w:tc>
          <w:tcPr>
            <w:tcW w:w="10070" w:type="dxa"/>
          </w:tcPr>
          <w:p w14:paraId="2BA36508" w14:textId="1F55A5EF" w:rsidR="006F4D06" w:rsidRPr="00BF4711" w:rsidRDefault="00091495" w:rsidP="0026028D">
            <w:pPr>
              <w:pStyle w:val="NormalWeb"/>
              <w:spacing w:before="0" w:beforeAutospacing="0" w:after="0" w:afterAutospacing="0"/>
              <w:contextualSpacing/>
              <w:jc w:val="center"/>
              <w:rPr>
                <w:rFonts w:eastAsiaTheme="minorHAnsi"/>
              </w:rPr>
            </w:pPr>
            <w:r w:rsidRPr="00BF4711">
              <w:rPr>
                <w:rFonts w:eastAsiaTheme="minorHAnsi"/>
                <w:noProof/>
              </w:rPr>
              <w:drawing>
                <wp:inline distT="0" distB="0" distL="0" distR="0" wp14:anchorId="33CB7C1F" wp14:editId="4362308E">
                  <wp:extent cx="3495675" cy="2343150"/>
                  <wp:effectExtent l="0" t="0" r="9525" b="0"/>
                  <wp:docPr id="1065795322" name="Graphic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795322" name="Graphic 1065795322"/>
                          <pic:cNvPicPr/>
                        </pic:nvPicPr>
                        <pic:blipFill>
                          <a:blip r:embed="rId23">
                            <a:extLst>
                              <a:ext uri="{96DAC541-7B7A-43D3-8B79-37D633B846F1}">
                                <asvg:svgBlip xmlns:asvg="http://schemas.microsoft.com/office/drawing/2016/SVG/main" r:embed="rId24"/>
                              </a:ext>
                            </a:extLst>
                          </a:blip>
                          <a:stretch>
                            <a:fillRect/>
                          </a:stretch>
                        </pic:blipFill>
                        <pic:spPr>
                          <a:xfrm>
                            <a:off x="0" y="0"/>
                            <a:ext cx="3495675" cy="2343150"/>
                          </a:xfrm>
                          <a:prstGeom prst="rect">
                            <a:avLst/>
                          </a:prstGeom>
                        </pic:spPr>
                      </pic:pic>
                    </a:graphicData>
                  </a:graphic>
                </wp:inline>
              </w:drawing>
            </w:r>
          </w:p>
        </w:tc>
      </w:tr>
      <w:tr w:rsidR="00741A95" w:rsidRPr="00BF4711" w14:paraId="302A5306" w14:textId="77777777" w:rsidTr="00F70B24">
        <w:tc>
          <w:tcPr>
            <w:tcW w:w="10070" w:type="dxa"/>
          </w:tcPr>
          <w:p w14:paraId="433DAD33" w14:textId="1B5866C2" w:rsidR="00741A95" w:rsidRPr="00BF4711" w:rsidRDefault="00741A95" w:rsidP="0026028D">
            <w:pPr>
              <w:pStyle w:val="NormalWeb"/>
              <w:spacing w:before="0" w:beforeAutospacing="0" w:after="0" w:afterAutospacing="0"/>
              <w:contextualSpacing/>
              <w:rPr>
                <w:rFonts w:eastAsiaTheme="minorHAnsi"/>
              </w:rPr>
            </w:pPr>
            <w:r w:rsidRPr="00BF4711">
              <w:rPr>
                <w:rFonts w:eastAsiaTheme="minorHAnsi"/>
                <w:b/>
                <w:bCs/>
                <w:i/>
                <w:iCs/>
              </w:rPr>
              <w:t xml:space="preserve">Figure </w:t>
            </w:r>
            <w:r w:rsidR="00936FBB">
              <w:rPr>
                <w:rFonts w:eastAsiaTheme="minorHAnsi"/>
                <w:b/>
                <w:bCs/>
                <w:i/>
                <w:iCs/>
              </w:rPr>
              <w:t>5</w:t>
            </w:r>
            <w:r w:rsidRPr="00BF4711">
              <w:rPr>
                <w:rFonts w:eastAsiaTheme="minorHAnsi"/>
                <w:b/>
                <w:bCs/>
                <w:i/>
                <w:iCs/>
              </w:rPr>
              <w:t>.</w:t>
            </w:r>
            <w:r w:rsidRPr="00BF4711">
              <w:rPr>
                <w:rFonts w:eastAsiaTheme="minorHAnsi"/>
              </w:rPr>
              <w:t xml:space="preserve"> </w:t>
            </w:r>
            <w:r w:rsidR="00260A4D" w:rsidRPr="00BF4711">
              <w:rPr>
                <w:rFonts w:eastAsiaTheme="minorHAnsi"/>
              </w:rPr>
              <w:t xml:space="preserve">Model </w:t>
            </w:r>
            <w:r w:rsidR="001A67CD" w:rsidRPr="00BF4711">
              <w:rPr>
                <w:rFonts w:eastAsiaTheme="minorHAnsi"/>
              </w:rPr>
              <w:t>p</w:t>
            </w:r>
            <w:r w:rsidR="00260A4D" w:rsidRPr="00BF4711">
              <w:rPr>
                <w:rFonts w:eastAsiaTheme="minorHAnsi"/>
              </w:rPr>
              <w:t xml:space="preserve">redicted </w:t>
            </w:r>
            <w:r w:rsidR="001A67CD" w:rsidRPr="00BF4711">
              <w:rPr>
                <w:rFonts w:eastAsiaTheme="minorHAnsi"/>
              </w:rPr>
              <w:t>t</w:t>
            </w:r>
            <w:r w:rsidR="005B3741" w:rsidRPr="00BF4711">
              <w:rPr>
                <w:rFonts w:eastAsiaTheme="minorHAnsi"/>
              </w:rPr>
              <w:t>empo</w:t>
            </w:r>
            <w:r w:rsidR="00260A4D" w:rsidRPr="00BF4711">
              <w:rPr>
                <w:rFonts w:eastAsiaTheme="minorHAnsi"/>
              </w:rPr>
              <w:t xml:space="preserve">ral </w:t>
            </w:r>
            <w:r w:rsidR="001A67CD" w:rsidRPr="00BF4711">
              <w:rPr>
                <w:rFonts w:eastAsiaTheme="minorHAnsi"/>
              </w:rPr>
              <w:t>c</w:t>
            </w:r>
            <w:r w:rsidR="00260A4D" w:rsidRPr="00BF4711">
              <w:rPr>
                <w:rFonts w:eastAsiaTheme="minorHAnsi"/>
              </w:rPr>
              <w:t xml:space="preserve">oncentration profile </w:t>
            </w:r>
            <w:r w:rsidR="001A67CD" w:rsidRPr="00BF4711">
              <w:rPr>
                <w:rFonts w:eastAsiaTheme="minorHAnsi"/>
              </w:rPr>
              <w:t xml:space="preserve">during </w:t>
            </w:r>
            <w:r w:rsidR="00592B71" w:rsidRPr="00BF4711">
              <w:rPr>
                <w:rFonts w:eastAsiaTheme="minorHAnsi"/>
              </w:rPr>
              <w:t>co-current and counter-current</w:t>
            </w:r>
            <w:r w:rsidR="007332D4" w:rsidRPr="00BF4711">
              <w:rPr>
                <w:rFonts w:eastAsiaTheme="minorHAnsi"/>
              </w:rPr>
              <w:t xml:space="preserve"> </w:t>
            </w:r>
            <w:r w:rsidR="00297AF9" w:rsidRPr="00BF4711">
              <w:rPr>
                <w:rFonts w:eastAsiaTheme="minorHAnsi"/>
              </w:rPr>
              <w:t xml:space="preserve">kidney </w:t>
            </w:r>
            <w:r w:rsidR="007332D4" w:rsidRPr="00BF4711">
              <w:rPr>
                <w:rFonts w:eastAsiaTheme="minorHAnsi"/>
              </w:rPr>
              <w:t>dialysis.</w:t>
            </w:r>
          </w:p>
        </w:tc>
      </w:tr>
    </w:tbl>
    <w:p w14:paraId="62F1F42C" w14:textId="77777777" w:rsidR="00DC234B" w:rsidRPr="00BF4711" w:rsidRDefault="00DC234B" w:rsidP="0026028D">
      <w:pPr>
        <w:pStyle w:val="NormalWeb"/>
        <w:spacing w:before="0" w:beforeAutospacing="0" w:after="0" w:afterAutospacing="0"/>
        <w:contextualSpacing/>
        <w:jc w:val="both"/>
        <w:rPr>
          <w:rFonts w:eastAsiaTheme="minorHAnsi"/>
        </w:rPr>
      </w:pPr>
    </w:p>
    <w:p w14:paraId="5298B58E" w14:textId="77777777" w:rsidR="0007029B" w:rsidRPr="00BF4711" w:rsidRDefault="00D73E36" w:rsidP="0026028D">
      <w:pPr>
        <w:pStyle w:val="NormalWeb"/>
        <w:spacing w:before="0" w:beforeAutospacing="0" w:after="0" w:afterAutospacing="0"/>
        <w:contextualSpacing/>
        <w:jc w:val="both"/>
        <w:rPr>
          <w:rFonts w:eastAsiaTheme="minorEastAsia"/>
        </w:rPr>
      </w:pPr>
      <w:r w:rsidRPr="00BF4711">
        <w:rPr>
          <w:rFonts w:eastAsiaTheme="minorEastAsia"/>
        </w:rPr>
        <w:t xml:space="preserve">The two curves diverge because the flow configuration determines how effectively the dialyzer maintains a driving force for diffusion. In the CC arrangement, the blood is continually exposed to dialysate that is closer to its inlet concentration, preserving a larger </w:t>
      </w:r>
      <m:oMath>
        <m:r>
          <w:rPr>
            <w:rFonts w:ascii="Cambria Math" w:hAnsi="Cambria Math"/>
          </w:rPr>
          <m:t>∆</m:t>
        </m:r>
        <m:d>
          <m:dPr>
            <m:ctrlPr>
              <w:rPr>
                <w:rFonts w:ascii="Cambria Math" w:hAnsi="Cambria Math"/>
                <w:i/>
              </w:rPr>
            </m:ctrlPr>
          </m:dPr>
          <m:e>
            <m:r>
              <w:rPr>
                <w:rFonts w:ascii="Cambria Math" w:hAnsi="Cambria Math"/>
              </w:rPr>
              <m:t>x</m:t>
            </m:r>
          </m:e>
        </m:d>
      </m:oMath>
      <w:r w:rsidRPr="00BF4711">
        <w:rPr>
          <w:rFonts w:eastAsiaTheme="minorEastAsia"/>
        </w:rPr>
        <w:t xml:space="preserve"> along the entire fiber. This sustained gradient produces a higher effective clearance at each moment in time, causing the CC curve to fall more rapidly and remains consistently below the CO curve. In contrast, the CO configuration experiences early equilibration between blood and dialysate, leading to a faster collapse of the driving force and a correspondingly slower decline in </w:t>
      </w:r>
      <m:oMath>
        <m:r>
          <w:rPr>
            <w:rFonts w:ascii="Cambria Math" w:hAnsi="Cambria Math"/>
          </w:rPr>
          <m:t>∆</m:t>
        </m:r>
        <m:d>
          <m:dPr>
            <m:ctrlPr>
              <w:rPr>
                <w:rFonts w:ascii="Cambria Math" w:hAnsi="Cambria Math"/>
                <w:i/>
              </w:rPr>
            </m:ctrlPr>
          </m:dPr>
          <m:e>
            <m:r>
              <w:rPr>
                <w:rFonts w:ascii="Cambria Math" w:hAnsi="Cambria Math"/>
              </w:rPr>
              <m:t>x</m:t>
            </m:r>
          </m:e>
        </m:d>
      </m:oMath>
      <w:r w:rsidR="001E734D" w:rsidRPr="00BF4711">
        <w:rPr>
          <w:rFonts w:eastAsiaTheme="minorEastAsia"/>
        </w:rPr>
        <w:t xml:space="preserve">, a behavior </w:t>
      </w:r>
      <w:r w:rsidR="0038506A" w:rsidRPr="00BF4711">
        <w:rPr>
          <w:rFonts w:eastAsiaTheme="minorEastAsia"/>
        </w:rPr>
        <w:t>long recognized in CC vs. CO mass-transfer</w:t>
      </w:r>
      <w:r w:rsidR="00B432E3" w:rsidRPr="00BF4711">
        <w:rPr>
          <w:rFonts w:eastAsiaTheme="minorEastAsia"/>
        </w:rPr>
        <w:t xml:space="preserve"> comparisons in hemodialysis [7]</w:t>
      </w:r>
      <w:r w:rsidRPr="00BF4711">
        <w:rPr>
          <w:rFonts w:eastAsiaTheme="minorEastAsia"/>
        </w:rPr>
        <w:t>.</w:t>
      </w:r>
    </w:p>
    <w:p w14:paraId="2DBEB56E" w14:textId="77777777" w:rsidR="0007029B" w:rsidRPr="00BF4711" w:rsidRDefault="0007029B" w:rsidP="0026028D">
      <w:pPr>
        <w:pStyle w:val="NormalWeb"/>
        <w:spacing w:before="0" w:beforeAutospacing="0" w:after="0" w:afterAutospacing="0"/>
        <w:contextualSpacing/>
        <w:jc w:val="both"/>
        <w:rPr>
          <w:rFonts w:eastAsiaTheme="minorEastAsia"/>
        </w:rPr>
      </w:pPr>
    </w:p>
    <w:p w14:paraId="1C0EFD57" w14:textId="61F38648" w:rsidR="00815D44" w:rsidRPr="00BF4711" w:rsidRDefault="00042510" w:rsidP="005B6D0A">
      <w:pPr>
        <w:pStyle w:val="NormalWeb"/>
        <w:spacing w:before="0" w:beforeAutospacing="0" w:after="120" w:afterAutospacing="0"/>
        <w:jc w:val="both"/>
        <w:rPr>
          <w:rFonts w:eastAsiaTheme="minorEastAsia"/>
          <w:b/>
          <w:bCs/>
        </w:rPr>
      </w:pPr>
      <w:r w:rsidRPr="00BF4711">
        <w:rPr>
          <w:rFonts w:eastAsiaTheme="minorEastAsia"/>
          <w:b/>
          <w:bCs/>
        </w:rPr>
        <w:t>Comparison with</w:t>
      </w:r>
      <w:r w:rsidR="00052EA5" w:rsidRPr="00BF4711">
        <w:rPr>
          <w:rFonts w:eastAsiaTheme="minorEastAsia"/>
          <w:b/>
          <w:bCs/>
        </w:rPr>
        <w:t xml:space="preserve"> Experimental Results</w:t>
      </w:r>
      <w:r w:rsidR="00815D44" w:rsidRPr="00BF4711">
        <w:rPr>
          <w:rFonts w:eastAsiaTheme="minorEastAsia"/>
          <w:b/>
          <w:bCs/>
        </w:rPr>
        <w:t>.</w:t>
      </w:r>
    </w:p>
    <w:p w14:paraId="6D184F39" w14:textId="26D91A1F" w:rsidR="008975FE" w:rsidRPr="00BF4711" w:rsidRDefault="007453AB" w:rsidP="0026028D">
      <w:pPr>
        <w:pStyle w:val="NormalWeb"/>
        <w:spacing w:before="0" w:beforeAutospacing="0" w:after="0" w:afterAutospacing="0"/>
        <w:contextualSpacing/>
        <w:jc w:val="both"/>
        <w:rPr>
          <w:rFonts w:eastAsiaTheme="minorEastAsia"/>
        </w:rPr>
      </w:pPr>
      <w:r w:rsidRPr="00BF4711">
        <w:rPr>
          <w:rFonts w:eastAsiaTheme="minorEastAsia"/>
        </w:rPr>
        <w:t>The experimental results</w:t>
      </w:r>
      <w:r w:rsidR="004B5A56" w:rsidRPr="00BF4711">
        <w:rPr>
          <w:rFonts w:eastAsiaTheme="minorEastAsia"/>
        </w:rPr>
        <w:t xml:space="preserve"> (El</w:t>
      </w:r>
      <w:r w:rsidR="00935F6C" w:rsidRPr="00BF4711">
        <w:rPr>
          <w:rFonts w:eastAsiaTheme="minorEastAsia"/>
        </w:rPr>
        <w:t>oot, 2005 [</w:t>
      </w:r>
      <w:r w:rsidR="008975FE" w:rsidRPr="00BF4711">
        <w:rPr>
          <w:rFonts w:eastAsiaTheme="minorEastAsia"/>
        </w:rPr>
        <w:t>8</w:t>
      </w:r>
      <w:r w:rsidR="00935F6C" w:rsidRPr="00BF4711">
        <w:rPr>
          <w:rFonts w:eastAsiaTheme="minorEastAsia"/>
        </w:rPr>
        <w:t>]</w:t>
      </w:r>
      <w:r w:rsidR="008975FE" w:rsidRPr="00BF4711">
        <w:rPr>
          <w:rFonts w:eastAsiaTheme="minorEastAsia"/>
        </w:rPr>
        <w:t xml:space="preserve">) </w:t>
      </w:r>
      <w:r w:rsidR="00F97943" w:rsidRPr="00BF4711">
        <w:rPr>
          <w:rFonts w:eastAsiaTheme="minorEastAsia"/>
        </w:rPr>
        <w:t xml:space="preserve">show that </w:t>
      </w:r>
      <w:r w:rsidR="00CC0FBC" w:rsidRPr="00BF4711">
        <w:rPr>
          <w:rFonts w:eastAsiaTheme="minorEastAsia"/>
        </w:rPr>
        <w:t>CC operation provides a consistent and meaningful improvement in solute-removal</w:t>
      </w:r>
      <w:r w:rsidR="002C004E" w:rsidRPr="00BF4711">
        <w:rPr>
          <w:rFonts w:eastAsiaTheme="minorEastAsia"/>
        </w:rPr>
        <w:t xml:space="preserve"> efficiency. For the low-molecular-weight solute LMW-AB</w:t>
      </w:r>
      <w:r w:rsidR="003D7673" w:rsidRPr="00BF4711">
        <w:rPr>
          <w:rFonts w:eastAsiaTheme="minorEastAsia"/>
        </w:rPr>
        <w:t xml:space="preserve">, clearance increases from </w:t>
      </w:r>
      <w:r w:rsidR="00391346" w:rsidRPr="00BF4711">
        <w:rPr>
          <w:rFonts w:eastAsiaTheme="minorEastAsia"/>
        </w:rPr>
        <w:t>184 mL/min in C</w:t>
      </w:r>
      <w:r w:rsidR="00273672" w:rsidRPr="00BF4711">
        <w:rPr>
          <w:rFonts w:eastAsiaTheme="minorEastAsia"/>
        </w:rPr>
        <w:t>O</w:t>
      </w:r>
      <w:r w:rsidR="00391346" w:rsidRPr="00BF4711">
        <w:rPr>
          <w:rFonts w:eastAsiaTheme="minorEastAsia"/>
        </w:rPr>
        <w:t xml:space="preserve"> flow to 215 mL/min in CC, corresponding to a 17% increase.</w:t>
      </w:r>
      <w:r w:rsidR="00707117" w:rsidRPr="00BF4711">
        <w:rPr>
          <w:rFonts w:eastAsiaTheme="minorEastAsia"/>
        </w:rPr>
        <w:t xml:space="preserve"> For the mid-molecular-weight Na</w:t>
      </w:r>
      <w:r w:rsidR="00707117" w:rsidRPr="00BF4711">
        <w:rPr>
          <w:rFonts w:eastAsiaTheme="minorEastAsia"/>
          <w:vertAlign w:val="subscript"/>
        </w:rPr>
        <w:t>3</w:t>
      </w:r>
      <w:r w:rsidR="00707117" w:rsidRPr="00BF4711">
        <w:rPr>
          <w:rFonts w:eastAsiaTheme="minorEastAsia"/>
        </w:rPr>
        <w:t>PO</w:t>
      </w:r>
      <w:r w:rsidR="00707117" w:rsidRPr="00BF4711">
        <w:rPr>
          <w:rFonts w:eastAsiaTheme="minorEastAsia"/>
          <w:vertAlign w:val="subscript"/>
        </w:rPr>
        <w:t>4</w:t>
      </w:r>
      <w:r w:rsidR="00707117" w:rsidRPr="00BF4711">
        <w:rPr>
          <w:rFonts w:eastAsiaTheme="minorEastAsia"/>
        </w:rPr>
        <w:t>, clearance rises from 145</w:t>
      </w:r>
      <w:r w:rsidR="008D3200" w:rsidRPr="00BF4711">
        <w:rPr>
          <w:rFonts w:eastAsiaTheme="minorEastAsia"/>
        </w:rPr>
        <w:t xml:space="preserve"> mL/min to 176 mL/min, representing a 21% improvement.</w:t>
      </w:r>
      <w:r w:rsidR="008D4C96" w:rsidRPr="00BF4711">
        <w:rPr>
          <w:rFonts w:eastAsiaTheme="minorEastAsia"/>
        </w:rPr>
        <w:t xml:space="preserve"> These experimenta</w:t>
      </w:r>
      <w:r w:rsidR="00651E69" w:rsidRPr="00BF4711">
        <w:rPr>
          <w:rFonts w:eastAsiaTheme="minorEastAsia"/>
        </w:rPr>
        <w:t xml:space="preserve">lly observed gains align with </w:t>
      </w:r>
      <w:r w:rsidR="007140D7" w:rsidRPr="00BF4711">
        <w:rPr>
          <w:rFonts w:eastAsiaTheme="minorEastAsia"/>
        </w:rPr>
        <w:t>our model’s predicted enhancement of 30%</w:t>
      </w:r>
      <w:r w:rsidR="00E14479" w:rsidRPr="00BF4711">
        <w:rPr>
          <w:rFonts w:eastAsiaTheme="minorEastAsia"/>
        </w:rPr>
        <w:t>. The modest</w:t>
      </w:r>
      <w:r w:rsidR="00873B8A" w:rsidRPr="00BF4711">
        <w:rPr>
          <w:rFonts w:eastAsiaTheme="minorEastAsia"/>
        </w:rPr>
        <w:t xml:space="preserve"> difference between theoretical and experimental </w:t>
      </w:r>
      <w:r w:rsidR="00425F28" w:rsidRPr="00BF4711">
        <w:rPr>
          <w:rFonts w:eastAsiaTheme="minorEastAsia"/>
        </w:rPr>
        <w:t>results is expected, given real-world factors such as non-uniform</w:t>
      </w:r>
      <w:r w:rsidR="00EE385F" w:rsidRPr="00BF4711">
        <w:rPr>
          <w:rFonts w:eastAsiaTheme="minorEastAsia"/>
        </w:rPr>
        <w:t xml:space="preserve"> mixing, membrane heterogeneity and axial dispersion.</w:t>
      </w:r>
      <w:r w:rsidR="00AE473C" w:rsidRPr="00BF4711">
        <w:rPr>
          <w:rFonts w:eastAsiaTheme="minorEastAsia"/>
        </w:rPr>
        <w:t xml:space="preserve"> Importantly, the experimental trends confirm the</w:t>
      </w:r>
      <w:r w:rsidR="00266CB5" w:rsidRPr="00BF4711">
        <w:rPr>
          <w:rFonts w:eastAsiaTheme="minorEastAsia"/>
        </w:rPr>
        <w:t xml:space="preserve"> model’s mechanistic prediction</w:t>
      </w:r>
      <w:r w:rsidR="00C428EC" w:rsidRPr="00BF4711">
        <w:rPr>
          <w:rFonts w:eastAsiaTheme="minorEastAsia"/>
        </w:rPr>
        <w:t xml:space="preserve"> that </w:t>
      </w:r>
      <w:r w:rsidR="00D76FD3" w:rsidRPr="00BF4711">
        <w:rPr>
          <w:rFonts w:eastAsiaTheme="minorEastAsia"/>
        </w:rPr>
        <w:t xml:space="preserve">CC </w:t>
      </w:r>
      <w:r w:rsidR="00685956" w:rsidRPr="00BF4711">
        <w:rPr>
          <w:rFonts w:eastAsiaTheme="minorEastAsia"/>
        </w:rPr>
        <w:t xml:space="preserve">operation </w:t>
      </w:r>
      <w:r w:rsidR="007B12DD" w:rsidRPr="00BF4711">
        <w:rPr>
          <w:rFonts w:eastAsiaTheme="minorEastAsia"/>
        </w:rPr>
        <w:t xml:space="preserve">sustains a larger effective concentration gradient </w:t>
      </w:r>
      <w:r w:rsidR="00D33AAA" w:rsidRPr="00BF4711">
        <w:rPr>
          <w:rFonts w:eastAsiaTheme="minorEastAsia"/>
        </w:rPr>
        <w:t>than</w:t>
      </w:r>
      <w:r w:rsidR="006D2663" w:rsidRPr="00BF4711">
        <w:rPr>
          <w:rFonts w:eastAsiaTheme="minorEastAsia"/>
        </w:rPr>
        <w:t xml:space="preserve"> CO</w:t>
      </w:r>
      <w:r w:rsidR="00D33AAA" w:rsidRPr="00BF4711">
        <w:rPr>
          <w:rFonts w:eastAsiaTheme="minorEastAsia"/>
        </w:rPr>
        <w:t xml:space="preserve">, thereby enabling superior solute-removal </w:t>
      </w:r>
      <w:r w:rsidR="001957EC" w:rsidRPr="00BF4711">
        <w:rPr>
          <w:rFonts w:eastAsiaTheme="minorEastAsia"/>
        </w:rPr>
        <w:t>performance.</w:t>
      </w:r>
    </w:p>
    <w:p w14:paraId="0D3013BC" w14:textId="77777777" w:rsidR="00815D44" w:rsidRDefault="00815D44" w:rsidP="0026028D">
      <w:pPr>
        <w:pStyle w:val="NormalWeb"/>
        <w:spacing w:before="0" w:beforeAutospacing="0" w:after="0" w:afterAutospacing="0"/>
        <w:contextualSpacing/>
        <w:jc w:val="both"/>
        <w:rPr>
          <w:rFonts w:eastAsiaTheme="minorEastAsia"/>
        </w:rPr>
      </w:pPr>
    </w:p>
    <w:p w14:paraId="6B326F17" w14:textId="77777777" w:rsidR="00A638F0" w:rsidRPr="00BF4711" w:rsidRDefault="00A638F0" w:rsidP="0026028D">
      <w:pPr>
        <w:pStyle w:val="NormalWeb"/>
        <w:spacing w:before="0" w:beforeAutospacing="0" w:after="0" w:afterAutospacing="0"/>
        <w:contextualSpacing/>
        <w:jc w:val="both"/>
        <w:rPr>
          <w:rFonts w:eastAsiaTheme="minorEastAsia"/>
        </w:rPr>
      </w:pPr>
    </w:p>
    <w:p w14:paraId="15A2A957" w14:textId="23592FCF" w:rsidR="00DA461C" w:rsidRPr="00BF4711" w:rsidRDefault="007E578E" w:rsidP="0026028D">
      <w:pPr>
        <w:pStyle w:val="ListParagraph"/>
        <w:numPr>
          <w:ilvl w:val="0"/>
          <w:numId w:val="1"/>
        </w:numPr>
        <w:ind w:left="360"/>
        <w:rPr>
          <w:b/>
        </w:rPr>
      </w:pPr>
      <w:r w:rsidRPr="00BF4711">
        <w:rPr>
          <w:b/>
        </w:rPr>
        <w:t>Conclusions</w:t>
      </w:r>
    </w:p>
    <w:p w14:paraId="7978ACD4" w14:textId="77777777" w:rsidR="00AE0934" w:rsidRPr="00BF4711" w:rsidRDefault="00AE0934" w:rsidP="0026028D">
      <w:pPr>
        <w:pStyle w:val="NormalWeb"/>
        <w:spacing w:before="0" w:beforeAutospacing="0" w:after="0" w:afterAutospacing="0"/>
        <w:contextualSpacing/>
        <w:jc w:val="both"/>
        <w:rPr>
          <w:rFonts w:eastAsiaTheme="minorHAnsi"/>
        </w:rPr>
      </w:pPr>
    </w:p>
    <w:p w14:paraId="571682BE" w14:textId="1D665286" w:rsidR="007E578E" w:rsidRPr="00BF4711" w:rsidRDefault="00FE4E91" w:rsidP="0026028D">
      <w:pPr>
        <w:pStyle w:val="NormalWeb"/>
        <w:spacing w:before="0" w:beforeAutospacing="0" w:after="0" w:afterAutospacing="0"/>
        <w:contextualSpacing/>
        <w:jc w:val="both"/>
        <w:rPr>
          <w:rFonts w:eastAsiaTheme="minorHAnsi"/>
        </w:rPr>
      </w:pPr>
      <w:r w:rsidRPr="00BF4711">
        <w:rPr>
          <w:rFonts w:eastAsiaTheme="minorHAnsi"/>
        </w:rPr>
        <w:t xml:space="preserve">In this work we describe </w:t>
      </w:r>
      <w:r w:rsidR="00E13C39" w:rsidRPr="00BF4711">
        <w:rPr>
          <w:rFonts w:eastAsiaTheme="minorHAnsi"/>
        </w:rPr>
        <w:t>a lumped two compartment bo</w:t>
      </w:r>
      <w:r w:rsidR="009D53D3" w:rsidRPr="00BF4711">
        <w:rPr>
          <w:rFonts w:eastAsiaTheme="minorHAnsi"/>
        </w:rPr>
        <w:t>x</w:t>
      </w:r>
      <w:r w:rsidR="00E13C39" w:rsidRPr="00BF4711">
        <w:rPr>
          <w:rFonts w:eastAsiaTheme="minorHAnsi"/>
        </w:rPr>
        <w:t xml:space="preserve"> model </w:t>
      </w:r>
      <w:r w:rsidR="009D53D3" w:rsidRPr="00BF4711">
        <w:rPr>
          <w:rFonts w:eastAsiaTheme="minorHAnsi"/>
        </w:rPr>
        <w:t xml:space="preserve">for kidney dialysis and compare the </w:t>
      </w:r>
      <w:r w:rsidR="0028448D" w:rsidRPr="00BF4711">
        <w:rPr>
          <w:rFonts w:eastAsiaTheme="minorHAnsi"/>
        </w:rPr>
        <w:t xml:space="preserve">performance efficiency of co- and counter-current flow. </w:t>
      </w:r>
      <w:r w:rsidR="00374A52" w:rsidRPr="00BF4711">
        <w:rPr>
          <w:rFonts w:eastAsiaTheme="minorHAnsi"/>
        </w:rPr>
        <w:t xml:space="preserve">We propose </w:t>
      </w:r>
      <w:r w:rsidR="00E002A0" w:rsidRPr="00BF4711">
        <w:rPr>
          <w:rFonts w:eastAsiaTheme="minorHAnsi"/>
        </w:rPr>
        <w:t xml:space="preserve">mathematical </w:t>
      </w:r>
      <w:r w:rsidR="009A3D36" w:rsidRPr="00BF4711">
        <w:rPr>
          <w:rFonts w:eastAsiaTheme="minorHAnsi"/>
        </w:rPr>
        <w:t>ODEs</w:t>
      </w:r>
      <w:r w:rsidR="00300D22" w:rsidRPr="00BF4711">
        <w:rPr>
          <w:rFonts w:eastAsiaTheme="minorHAnsi"/>
        </w:rPr>
        <w:t xml:space="preserve"> </w:t>
      </w:r>
      <w:r w:rsidR="00AA5685" w:rsidRPr="00BF4711">
        <w:rPr>
          <w:rFonts w:eastAsiaTheme="minorHAnsi"/>
        </w:rPr>
        <w:t xml:space="preserve">for </w:t>
      </w:r>
      <w:r w:rsidR="008170BD" w:rsidRPr="00BF4711">
        <w:rPr>
          <w:rFonts w:eastAsiaTheme="minorHAnsi"/>
        </w:rPr>
        <w:t xml:space="preserve">both </w:t>
      </w:r>
      <w:r w:rsidR="00AA5685" w:rsidRPr="00BF4711">
        <w:rPr>
          <w:rFonts w:eastAsiaTheme="minorHAnsi"/>
        </w:rPr>
        <w:t>s</w:t>
      </w:r>
      <w:r w:rsidR="006F02AC" w:rsidRPr="00BF4711">
        <w:rPr>
          <w:rFonts w:eastAsiaTheme="minorHAnsi"/>
        </w:rPr>
        <w:t xml:space="preserve">patial </w:t>
      </w:r>
      <w:r w:rsidR="00814891" w:rsidRPr="00BF4711">
        <w:rPr>
          <w:rFonts w:eastAsiaTheme="minorHAnsi"/>
        </w:rPr>
        <w:t xml:space="preserve">and temporal </w:t>
      </w:r>
      <w:r w:rsidR="00B52173" w:rsidRPr="00BF4711">
        <w:rPr>
          <w:rFonts w:eastAsiaTheme="minorHAnsi"/>
        </w:rPr>
        <w:t xml:space="preserve">models and solve them analytically. </w:t>
      </w:r>
      <w:r w:rsidR="000D25A3" w:rsidRPr="00BF4711">
        <w:rPr>
          <w:rFonts w:eastAsiaTheme="minorHAnsi"/>
        </w:rPr>
        <w:t>Simulation</w:t>
      </w:r>
      <w:r w:rsidR="004512CD" w:rsidRPr="00BF4711">
        <w:rPr>
          <w:rFonts w:eastAsiaTheme="minorHAnsi"/>
        </w:rPr>
        <w:t xml:space="preserve">s </w:t>
      </w:r>
      <w:r w:rsidR="009F768E" w:rsidRPr="00BF4711">
        <w:rPr>
          <w:rFonts w:eastAsiaTheme="minorHAnsi"/>
        </w:rPr>
        <w:t xml:space="preserve">are conducted </w:t>
      </w:r>
      <w:r w:rsidR="00364BB7" w:rsidRPr="00BF4711">
        <w:rPr>
          <w:rFonts w:eastAsiaTheme="minorHAnsi"/>
        </w:rPr>
        <w:t xml:space="preserve">using parameter values </w:t>
      </w:r>
      <w:r w:rsidR="00CB0EC3" w:rsidRPr="00BF4711">
        <w:rPr>
          <w:rFonts w:eastAsiaTheme="minorHAnsi"/>
        </w:rPr>
        <w:t>chosen to fall within the physiological range of clinical hemodialysis.</w:t>
      </w:r>
    </w:p>
    <w:p w14:paraId="3DEFDC2E" w14:textId="77777777" w:rsidR="00BE6153" w:rsidRPr="00BF4711" w:rsidRDefault="00BE6153" w:rsidP="0026028D">
      <w:pPr>
        <w:pStyle w:val="NormalWeb"/>
        <w:spacing w:before="0" w:beforeAutospacing="0" w:after="0" w:afterAutospacing="0"/>
        <w:contextualSpacing/>
        <w:jc w:val="both"/>
        <w:rPr>
          <w:rFonts w:eastAsiaTheme="minorHAnsi"/>
        </w:rPr>
      </w:pPr>
    </w:p>
    <w:p w14:paraId="38BAC67C" w14:textId="30F52C61" w:rsidR="00BE6153" w:rsidRPr="00BF4711" w:rsidRDefault="009C1D82" w:rsidP="0026028D">
      <w:pPr>
        <w:pStyle w:val="NormalWeb"/>
        <w:spacing w:before="0" w:beforeAutospacing="0" w:after="0" w:afterAutospacing="0"/>
        <w:contextualSpacing/>
        <w:jc w:val="both"/>
        <w:rPr>
          <w:rFonts w:eastAsiaTheme="minorHAnsi"/>
        </w:rPr>
      </w:pPr>
      <w:r w:rsidRPr="00BF4711">
        <w:rPr>
          <w:rFonts w:eastAsiaTheme="minorHAnsi"/>
        </w:rPr>
        <w:lastRenderedPageBreak/>
        <w:t>The combined spatial-temporal analysis reveals a coherent mechanistic pi</w:t>
      </w:r>
      <w:r w:rsidR="00D94295" w:rsidRPr="00BF4711">
        <w:rPr>
          <w:rFonts w:eastAsiaTheme="minorHAnsi"/>
        </w:rPr>
        <w:t xml:space="preserve">cture: </w:t>
      </w:r>
      <w:r w:rsidR="00E67815" w:rsidRPr="00BF4711">
        <w:rPr>
          <w:rFonts w:eastAsiaTheme="minorHAnsi"/>
        </w:rPr>
        <w:t>counter-current</w:t>
      </w:r>
      <w:r w:rsidR="008E3FF3" w:rsidRPr="00BF4711">
        <w:rPr>
          <w:rFonts w:eastAsiaTheme="minorHAnsi"/>
        </w:rPr>
        <w:t xml:space="preserve"> operation consistently sustains a larger</w:t>
      </w:r>
      <w:r w:rsidR="00873BE6" w:rsidRPr="00BF4711">
        <w:rPr>
          <w:rFonts w:eastAsiaTheme="minorHAnsi"/>
        </w:rPr>
        <w:t xml:space="preserve"> and more uniformly distributed concentration gradient across the dialyzer</w:t>
      </w:r>
      <w:r w:rsidR="002B2E7C" w:rsidRPr="00BF4711">
        <w:rPr>
          <w:rFonts w:eastAsiaTheme="minorHAnsi"/>
        </w:rPr>
        <w:t>, whereas co-current flow rapidly approaches local equilibrium and loses driving</w:t>
      </w:r>
      <w:r w:rsidR="00D80DC8" w:rsidRPr="00BF4711">
        <w:rPr>
          <w:rFonts w:eastAsiaTheme="minorHAnsi"/>
        </w:rPr>
        <w:t xml:space="preserve"> force early in the device. This </w:t>
      </w:r>
      <w:r w:rsidR="000D4251" w:rsidRPr="00BF4711">
        <w:rPr>
          <w:rFonts w:eastAsiaTheme="minorHAnsi"/>
        </w:rPr>
        <w:t>difference</w:t>
      </w:r>
      <w:r w:rsidR="00325DA2" w:rsidRPr="00BF4711">
        <w:rPr>
          <w:rFonts w:eastAsiaTheme="minorHAnsi"/>
        </w:rPr>
        <w:t xml:space="preserve"> in gradient explains the higher solute-removal efficiency</w:t>
      </w:r>
      <w:r w:rsidR="00DA66ED" w:rsidRPr="00BF4711">
        <w:rPr>
          <w:rFonts w:eastAsiaTheme="minorHAnsi"/>
        </w:rPr>
        <w:t xml:space="preserve"> </w:t>
      </w:r>
      <w:r w:rsidR="00323E76" w:rsidRPr="00BF4711">
        <w:rPr>
          <w:rFonts w:eastAsiaTheme="minorHAnsi"/>
        </w:rPr>
        <w:t>observed in counter-current systems. The temporal patient model further shows that this sustained gradient translates into lower</w:t>
      </w:r>
      <w:r w:rsidR="002D428A" w:rsidRPr="00BF4711">
        <w:rPr>
          <w:rFonts w:eastAsiaTheme="minorHAnsi"/>
        </w:rPr>
        <w:t xml:space="preserve"> systemic solute concentrations over the course of </w:t>
      </w:r>
      <w:r w:rsidR="002C682C" w:rsidRPr="00BF4711">
        <w:rPr>
          <w:rFonts w:eastAsiaTheme="minorHAnsi"/>
        </w:rPr>
        <w:t>treatment</w:t>
      </w:r>
      <w:r w:rsidR="00C86A74" w:rsidRPr="00BF4711">
        <w:rPr>
          <w:rFonts w:eastAsiaTheme="minorHAnsi"/>
        </w:rPr>
        <w:t>.</w:t>
      </w:r>
    </w:p>
    <w:p w14:paraId="4B262EA2" w14:textId="77777777" w:rsidR="00C86A74" w:rsidRPr="00BF4711" w:rsidRDefault="00C86A74" w:rsidP="0026028D">
      <w:pPr>
        <w:pStyle w:val="NormalWeb"/>
        <w:spacing w:before="0" w:beforeAutospacing="0" w:after="0" w:afterAutospacing="0"/>
        <w:contextualSpacing/>
        <w:jc w:val="both"/>
        <w:rPr>
          <w:rFonts w:eastAsiaTheme="minorHAnsi"/>
        </w:rPr>
      </w:pPr>
    </w:p>
    <w:p w14:paraId="00AF8F4F" w14:textId="681A9C2E" w:rsidR="00C86A74" w:rsidRPr="00BF4711" w:rsidRDefault="00C86A74" w:rsidP="0026028D">
      <w:pPr>
        <w:pStyle w:val="NormalWeb"/>
        <w:spacing w:before="0" w:beforeAutospacing="0" w:after="0" w:afterAutospacing="0"/>
        <w:contextualSpacing/>
        <w:jc w:val="both"/>
        <w:rPr>
          <w:rFonts w:eastAsiaTheme="minorHAnsi"/>
        </w:rPr>
      </w:pPr>
      <w:r w:rsidRPr="00BF4711">
        <w:rPr>
          <w:rFonts w:eastAsiaTheme="minorHAnsi"/>
        </w:rPr>
        <w:t>Sensitivity studies</w:t>
      </w:r>
      <w:r w:rsidR="00AC47CC" w:rsidRPr="00BF4711">
        <w:rPr>
          <w:rFonts w:eastAsiaTheme="minorHAnsi"/>
        </w:rPr>
        <w:t xml:space="preserve"> highlight the dominant influence of the mass-transfer area coefficient K</w:t>
      </w:r>
      <w:r w:rsidR="00AC47CC" w:rsidRPr="008C26AD">
        <w:rPr>
          <w:rFonts w:eastAsiaTheme="minorHAnsi"/>
          <w:vertAlign w:val="subscript"/>
        </w:rPr>
        <w:t>0</w:t>
      </w:r>
      <w:r w:rsidR="00AC47CC" w:rsidRPr="00BF4711">
        <w:rPr>
          <w:rFonts w:eastAsiaTheme="minorHAnsi"/>
        </w:rPr>
        <w:t>A</w:t>
      </w:r>
      <w:r w:rsidR="001732CF" w:rsidRPr="00BF4711">
        <w:rPr>
          <w:rFonts w:eastAsiaTheme="minorHAnsi"/>
        </w:rPr>
        <w:t xml:space="preserve">, which governs the steepness of axial gradients and amplifies the performance gap between </w:t>
      </w:r>
      <w:r w:rsidR="00931038" w:rsidRPr="00BF4711">
        <w:rPr>
          <w:rFonts w:eastAsiaTheme="minorHAnsi"/>
        </w:rPr>
        <w:t>the flow configurations</w:t>
      </w:r>
      <w:r w:rsidR="00722825" w:rsidRPr="00BF4711">
        <w:rPr>
          <w:rFonts w:eastAsiaTheme="minorHAnsi"/>
        </w:rPr>
        <w:t>. Variation in dialysate flow rate Q</w:t>
      </w:r>
      <w:r w:rsidR="00722825" w:rsidRPr="008C26AD">
        <w:rPr>
          <w:rFonts w:eastAsiaTheme="minorHAnsi"/>
          <w:vertAlign w:val="subscript"/>
        </w:rPr>
        <w:t>d</w:t>
      </w:r>
      <w:r w:rsidR="00722825" w:rsidRPr="00BF4711">
        <w:rPr>
          <w:rFonts w:eastAsiaTheme="minorHAnsi"/>
        </w:rPr>
        <w:t xml:space="preserve"> produces complementary effects by redistributing the available</w:t>
      </w:r>
      <w:r w:rsidR="00394FBA" w:rsidRPr="00BF4711">
        <w:rPr>
          <w:rFonts w:eastAsiaTheme="minorHAnsi"/>
        </w:rPr>
        <w:t xml:space="preserve"> driving force and shifting the system between membrane-limited and dialysate-limited </w:t>
      </w:r>
      <w:r w:rsidR="0033725D" w:rsidRPr="00BF4711">
        <w:rPr>
          <w:rFonts w:eastAsiaTheme="minorHAnsi"/>
        </w:rPr>
        <w:t>re</w:t>
      </w:r>
      <w:r w:rsidR="00394FBA" w:rsidRPr="00BF4711">
        <w:rPr>
          <w:rFonts w:eastAsiaTheme="minorHAnsi"/>
        </w:rPr>
        <w:t>gimes</w:t>
      </w:r>
      <w:r w:rsidR="0033725D" w:rsidRPr="00BF4711">
        <w:rPr>
          <w:rFonts w:eastAsiaTheme="minorHAnsi"/>
        </w:rPr>
        <w:t>. Across all parameter ranges</w:t>
      </w:r>
      <w:r w:rsidR="00696904" w:rsidRPr="00BF4711">
        <w:rPr>
          <w:rFonts w:eastAsiaTheme="minorHAnsi"/>
        </w:rPr>
        <w:t xml:space="preserve">, counter-current flow maintains a higher effective gradient and therefore </w:t>
      </w:r>
      <w:r w:rsidR="005F40F3" w:rsidRPr="00BF4711">
        <w:rPr>
          <w:rFonts w:eastAsiaTheme="minorHAnsi"/>
        </w:rPr>
        <w:t>superior clearance.</w:t>
      </w:r>
    </w:p>
    <w:p w14:paraId="29DC837E" w14:textId="77777777" w:rsidR="005F40F3" w:rsidRPr="00BF4711" w:rsidRDefault="005F40F3" w:rsidP="0026028D">
      <w:pPr>
        <w:pStyle w:val="NormalWeb"/>
        <w:spacing w:before="0" w:beforeAutospacing="0" w:after="0" w:afterAutospacing="0"/>
        <w:contextualSpacing/>
        <w:jc w:val="both"/>
        <w:rPr>
          <w:rFonts w:eastAsiaTheme="minorHAnsi"/>
        </w:rPr>
      </w:pPr>
    </w:p>
    <w:p w14:paraId="130225D0" w14:textId="26D082BA" w:rsidR="005F40F3" w:rsidRPr="00BF4711" w:rsidRDefault="005F40F3" w:rsidP="0026028D">
      <w:pPr>
        <w:pStyle w:val="NormalWeb"/>
        <w:spacing w:before="0" w:beforeAutospacing="0" w:after="0" w:afterAutospacing="0"/>
        <w:contextualSpacing/>
        <w:jc w:val="both"/>
        <w:rPr>
          <w:rFonts w:eastAsiaTheme="minorHAnsi"/>
        </w:rPr>
      </w:pPr>
      <w:r w:rsidRPr="00BF4711">
        <w:rPr>
          <w:rFonts w:eastAsiaTheme="minorHAnsi"/>
        </w:rPr>
        <w:t>Overall, the model provides</w:t>
      </w:r>
      <w:r w:rsidR="00E1342C" w:rsidRPr="00BF4711">
        <w:rPr>
          <w:rFonts w:eastAsiaTheme="minorHAnsi"/>
        </w:rPr>
        <w:t xml:space="preserve"> a compact analytical framework that links axial transport phenomena to whole-body solute kinetics. It offers a transparent explanation for the </w:t>
      </w:r>
      <w:r w:rsidR="009F0957" w:rsidRPr="00BF4711">
        <w:rPr>
          <w:rFonts w:eastAsiaTheme="minorHAnsi"/>
        </w:rPr>
        <w:t>well-established counter-current dialyzer design</w:t>
      </w:r>
      <w:r w:rsidR="008F64DB" w:rsidRPr="00BF4711">
        <w:rPr>
          <w:rFonts w:eastAsiaTheme="minorHAnsi"/>
        </w:rPr>
        <w:t xml:space="preserve"> and clarifies</w:t>
      </w:r>
      <w:r w:rsidR="0093003E" w:rsidRPr="00BF4711">
        <w:rPr>
          <w:rFonts w:eastAsiaTheme="minorHAnsi"/>
        </w:rPr>
        <w:t xml:space="preserve"> how flow direction shapes axial concentration gradient and</w:t>
      </w:r>
      <w:r w:rsidR="003A6D4F" w:rsidRPr="00BF4711">
        <w:rPr>
          <w:rFonts w:eastAsiaTheme="minorHAnsi"/>
        </w:rPr>
        <w:t xml:space="preserve">, in turn, the </w:t>
      </w:r>
      <w:r w:rsidR="00F708C5" w:rsidRPr="00BF4711">
        <w:rPr>
          <w:rFonts w:eastAsiaTheme="minorHAnsi"/>
        </w:rPr>
        <w:t xml:space="preserve">resulting </w:t>
      </w:r>
      <w:r w:rsidR="003A6D4F" w:rsidRPr="00BF4711">
        <w:rPr>
          <w:rFonts w:eastAsiaTheme="minorHAnsi"/>
        </w:rPr>
        <w:t>solute-removal efficiency.</w:t>
      </w:r>
    </w:p>
    <w:p w14:paraId="424161A0" w14:textId="6A69D171" w:rsidR="007E578E" w:rsidRPr="00BF4711" w:rsidRDefault="00FB1C49" w:rsidP="0026028D">
      <w:pPr>
        <w:contextualSpacing/>
        <w:rPr>
          <w:rFonts w:eastAsiaTheme="minorHAnsi"/>
        </w:rPr>
      </w:pPr>
      <w:r w:rsidRPr="00BF4711">
        <w:rPr>
          <w:rFonts w:eastAsiaTheme="minorHAnsi"/>
        </w:rPr>
        <w:br w:type="page"/>
      </w:r>
    </w:p>
    <w:p w14:paraId="039AE814" w14:textId="43DB9B39" w:rsidR="007E578E" w:rsidRPr="00BF4711" w:rsidRDefault="006F4193" w:rsidP="0026028D">
      <w:pPr>
        <w:pStyle w:val="ListParagraph"/>
        <w:numPr>
          <w:ilvl w:val="0"/>
          <w:numId w:val="1"/>
        </w:numPr>
        <w:ind w:left="360"/>
        <w:rPr>
          <w:b/>
        </w:rPr>
      </w:pPr>
      <w:r w:rsidRPr="00BF4711">
        <w:rPr>
          <w:b/>
        </w:rPr>
        <w:lastRenderedPageBreak/>
        <w:t>References</w:t>
      </w:r>
    </w:p>
    <w:p w14:paraId="68C5FA24" w14:textId="44888259" w:rsidR="007E578E" w:rsidRPr="00BF4711" w:rsidRDefault="007E578E" w:rsidP="0026028D">
      <w:pPr>
        <w:pStyle w:val="NormalWeb"/>
        <w:spacing w:before="0" w:beforeAutospacing="0" w:after="0" w:afterAutospacing="0"/>
        <w:contextualSpacing/>
        <w:jc w:val="both"/>
        <w:rPr>
          <w:rFonts w:eastAsiaTheme="minorHAnsi"/>
        </w:rPr>
      </w:pPr>
    </w:p>
    <w:p w14:paraId="7EDB035C" w14:textId="6B3E4ED8" w:rsidR="00346D06" w:rsidRPr="00BF4711" w:rsidRDefault="00346D06" w:rsidP="0026028D">
      <w:pPr>
        <w:pStyle w:val="NormalWeb"/>
        <w:spacing w:before="0" w:beforeAutospacing="0" w:after="0" w:afterAutospacing="0"/>
        <w:contextualSpacing/>
        <w:jc w:val="both"/>
        <w:rPr>
          <w:rFonts w:eastAsiaTheme="minorEastAsia"/>
        </w:rPr>
      </w:pPr>
      <w:r w:rsidRPr="00BF4711">
        <w:t xml:space="preserve">[1] </w:t>
      </w:r>
      <w:r w:rsidR="004048D3" w:rsidRPr="00BF4711">
        <w:t>Michaelas</w:t>
      </w:r>
      <w:r w:rsidR="008B15E2" w:rsidRPr="00BF4711">
        <w:t>,</w:t>
      </w:r>
      <w:r w:rsidR="004048D3" w:rsidRPr="00BF4711">
        <w:t xml:space="preserve"> </w:t>
      </w:r>
      <w:r w:rsidRPr="00BF4711">
        <w:t xml:space="preserve">A. S. (1966). Operating Parameters and Performance Criteria for Hemodialyzers and Other Membrane-separation Devices. </w:t>
      </w:r>
      <w:r w:rsidRPr="00BF4711">
        <w:rPr>
          <w:i/>
          <w:iCs/>
        </w:rPr>
        <w:t>Trans. Am. Soc. Artif. Inter. Organs</w:t>
      </w:r>
      <w:r w:rsidRPr="00BF4711">
        <w:t xml:space="preserve">, </w:t>
      </w:r>
      <w:r w:rsidRPr="00BF4711">
        <w:rPr>
          <w:i/>
          <w:iCs/>
        </w:rPr>
        <w:t>12</w:t>
      </w:r>
      <w:r w:rsidRPr="00BF4711">
        <w:t>, 387</w:t>
      </w:r>
      <w:r w:rsidR="00C41704" w:rsidRPr="00BF4711">
        <w:t>–</w:t>
      </w:r>
      <w:r w:rsidRPr="00BF4711">
        <w:t>381.</w:t>
      </w:r>
    </w:p>
    <w:p w14:paraId="331CD90F" w14:textId="77777777" w:rsidR="00346D06" w:rsidRPr="00BF4711" w:rsidRDefault="00346D06" w:rsidP="0026028D">
      <w:pPr>
        <w:contextualSpacing/>
      </w:pPr>
    </w:p>
    <w:p w14:paraId="74BFD901" w14:textId="46B4FDD6" w:rsidR="0025422C" w:rsidRPr="00BF4711" w:rsidRDefault="0025422C" w:rsidP="0026028D">
      <w:pPr>
        <w:contextualSpacing/>
      </w:pPr>
      <w:r w:rsidRPr="00BF4711">
        <w:t>[2] Loney, N</w:t>
      </w:r>
      <w:r w:rsidR="0035545B" w:rsidRPr="00BF4711">
        <w:t xml:space="preserve">. </w:t>
      </w:r>
      <w:r w:rsidRPr="00BF4711">
        <w:t xml:space="preserve">W. </w:t>
      </w:r>
      <w:r w:rsidR="00C56918" w:rsidRPr="00BF4711">
        <w:t xml:space="preserve">(2009). </w:t>
      </w:r>
      <w:r w:rsidRPr="00BF4711">
        <w:t>Analysis on a Counter-Current Flow Hemodialyzer</w:t>
      </w:r>
      <w:r w:rsidR="00BB47C7" w:rsidRPr="00BF4711">
        <w:t>,</w:t>
      </w:r>
      <w:r w:rsidRPr="00BF4711">
        <w:t xml:space="preserve"> </w:t>
      </w:r>
      <w:r w:rsidRPr="00BF4711">
        <w:rPr>
          <w:i/>
          <w:iCs/>
        </w:rPr>
        <w:t>Chemical Product and Process Modeling</w:t>
      </w:r>
      <w:r w:rsidRPr="00BF4711">
        <w:t>, vol. 4, no. 5.</w:t>
      </w:r>
    </w:p>
    <w:p w14:paraId="7EF50348" w14:textId="77777777" w:rsidR="0025422C" w:rsidRPr="00BF4711" w:rsidRDefault="0025422C" w:rsidP="0026028D">
      <w:pPr>
        <w:contextualSpacing/>
      </w:pPr>
    </w:p>
    <w:p w14:paraId="188BCE2E" w14:textId="467F2834" w:rsidR="0025422C" w:rsidRPr="00BF4711" w:rsidRDefault="0025422C" w:rsidP="0026028D">
      <w:pPr>
        <w:contextualSpacing/>
      </w:pPr>
      <w:r w:rsidRPr="00BF4711">
        <w:t>[3]</w:t>
      </w:r>
      <w:r w:rsidR="007C27BE" w:rsidRPr="00BF4711">
        <w:t xml:space="preserve"> Gotch,</w:t>
      </w:r>
      <w:r w:rsidR="00E37E77" w:rsidRPr="00BF4711">
        <w:t xml:space="preserve"> F. A., </w:t>
      </w:r>
      <w:r w:rsidR="007C27BE" w:rsidRPr="00BF4711">
        <w:t>Sargent</w:t>
      </w:r>
      <w:r w:rsidR="00E37E77" w:rsidRPr="00BF4711">
        <w:t xml:space="preserve">, </w:t>
      </w:r>
      <w:r w:rsidR="005F4D67" w:rsidRPr="00BF4711">
        <w:t>J. A.</w:t>
      </w:r>
      <w:r w:rsidR="007C27BE" w:rsidRPr="00BF4711">
        <w:t xml:space="preserve"> </w:t>
      </w:r>
      <w:r w:rsidR="005F4D67" w:rsidRPr="00BF4711">
        <w:t xml:space="preserve">(1985). </w:t>
      </w:r>
      <w:r w:rsidR="007C27BE" w:rsidRPr="00BF4711">
        <w:t>A mechanistic analysis of the National Cooperative Dialysis Study (NCDS)</w:t>
      </w:r>
      <w:r w:rsidR="00CD1440" w:rsidRPr="00BF4711">
        <w:t>.</w:t>
      </w:r>
      <w:r w:rsidR="007C27BE" w:rsidRPr="00BF4711">
        <w:t xml:space="preserve"> </w:t>
      </w:r>
      <w:r w:rsidR="007C27BE" w:rsidRPr="00BF4711">
        <w:rPr>
          <w:i/>
          <w:iCs/>
        </w:rPr>
        <w:t>Kidney International</w:t>
      </w:r>
      <w:r w:rsidR="007C27BE" w:rsidRPr="00BF4711">
        <w:t>,</w:t>
      </w:r>
      <w:r w:rsidR="006B3771" w:rsidRPr="00BF4711">
        <w:t xml:space="preserve"> </w:t>
      </w:r>
      <w:r w:rsidR="007C27BE" w:rsidRPr="00BF4711">
        <w:t>28, 3,</w:t>
      </w:r>
      <w:r w:rsidR="00CD1440" w:rsidRPr="00BF4711">
        <w:t xml:space="preserve"> </w:t>
      </w:r>
      <w:r w:rsidR="007C27BE" w:rsidRPr="00BF4711">
        <w:t>526</w:t>
      </w:r>
      <w:r w:rsidR="00C41704" w:rsidRPr="00BF4711">
        <w:t>–</w:t>
      </w:r>
      <w:r w:rsidR="007C27BE" w:rsidRPr="00BF4711">
        <w:t>534,</w:t>
      </w:r>
      <w:r w:rsidR="00CF3A61" w:rsidRPr="00BF4711">
        <w:t xml:space="preserve"> </w:t>
      </w:r>
      <w:r w:rsidR="007C27BE" w:rsidRPr="00BF4711">
        <w:t>ISSN 0085-2538</w:t>
      </w:r>
      <w:r w:rsidR="00556D2A" w:rsidRPr="00BF4711">
        <w:t>.</w:t>
      </w:r>
      <w:r w:rsidR="00D3418A" w:rsidRPr="00BF4711">
        <w:t xml:space="preserve"> </w:t>
      </w:r>
    </w:p>
    <w:p w14:paraId="41E7BBD8" w14:textId="77777777" w:rsidR="00A14DFE" w:rsidRPr="00BF4711" w:rsidRDefault="00A14DFE" w:rsidP="0026028D">
      <w:pPr>
        <w:contextualSpacing/>
      </w:pPr>
    </w:p>
    <w:p w14:paraId="46717947" w14:textId="173630EE" w:rsidR="00E926EC" w:rsidRPr="00BF4711" w:rsidRDefault="00E926EC" w:rsidP="0026028D">
      <w:pPr>
        <w:contextualSpacing/>
      </w:pPr>
      <w:r w:rsidRPr="00BF4711">
        <w:t xml:space="preserve">[4] Chang, K. Y., Kim, S.-H., Kim, Y. O., Jin, D. C., Song, H. C., Choi, E. J., Kim, Y.-L., Kim, Y.-S., Kang, S.-W., Kim, N.-H., Yang, C. W., &amp; Kim, Y. K. (2016). The impact of blood flow rate during hemodialysis on all-cause mortality. </w:t>
      </w:r>
      <w:r w:rsidRPr="00BF4711">
        <w:rPr>
          <w:i/>
          <w:iCs/>
        </w:rPr>
        <w:t>The Korean Journal of Internal Medicine</w:t>
      </w:r>
      <w:r w:rsidRPr="00BF4711">
        <w:t xml:space="preserve">, </w:t>
      </w:r>
      <w:r w:rsidRPr="00BF4711">
        <w:rPr>
          <w:i/>
          <w:iCs/>
        </w:rPr>
        <w:t>31</w:t>
      </w:r>
      <w:r w:rsidRPr="00BF4711">
        <w:t xml:space="preserve">(6), 1131–1139. </w:t>
      </w:r>
    </w:p>
    <w:p w14:paraId="0BB11E09" w14:textId="77777777" w:rsidR="00A14DFE" w:rsidRPr="00BF4711" w:rsidRDefault="00A14DFE" w:rsidP="0026028D">
      <w:pPr>
        <w:contextualSpacing/>
      </w:pPr>
    </w:p>
    <w:p w14:paraId="6EE037E7" w14:textId="3ABDF3B2" w:rsidR="00A14DFE" w:rsidRPr="00BF4711" w:rsidRDefault="00A14DFE" w:rsidP="0026028D">
      <w:pPr>
        <w:contextualSpacing/>
      </w:pPr>
      <w:r w:rsidRPr="00BF4711">
        <w:t xml:space="preserve">[5] </w:t>
      </w:r>
      <w:r w:rsidR="00667439" w:rsidRPr="00BF4711">
        <w:t>Depner T</w:t>
      </w:r>
      <w:r w:rsidR="00C64D16" w:rsidRPr="00BF4711">
        <w:t xml:space="preserve">. </w:t>
      </w:r>
      <w:r w:rsidR="00667439" w:rsidRPr="00BF4711">
        <w:t>A</w:t>
      </w:r>
      <w:r w:rsidR="00355754" w:rsidRPr="00BF4711">
        <w:t>.</w:t>
      </w:r>
      <w:r w:rsidR="00667439" w:rsidRPr="00BF4711">
        <w:t>, Greene T</w:t>
      </w:r>
      <w:r w:rsidR="00355754" w:rsidRPr="00BF4711">
        <w:t>.</w:t>
      </w:r>
      <w:r w:rsidR="00667439" w:rsidRPr="00BF4711">
        <w:t>, Daugirdas J</w:t>
      </w:r>
      <w:r w:rsidR="00355754" w:rsidRPr="00BF4711">
        <w:t xml:space="preserve">. </w:t>
      </w:r>
      <w:r w:rsidR="00667439" w:rsidRPr="00BF4711">
        <w:t>T</w:t>
      </w:r>
      <w:r w:rsidR="00355754" w:rsidRPr="00BF4711">
        <w:t>.</w:t>
      </w:r>
      <w:r w:rsidR="00667439" w:rsidRPr="00BF4711">
        <w:t>, Cheung A</w:t>
      </w:r>
      <w:r w:rsidR="00355754" w:rsidRPr="00BF4711">
        <w:t xml:space="preserve">. </w:t>
      </w:r>
      <w:r w:rsidR="00667439" w:rsidRPr="00BF4711">
        <w:t>K</w:t>
      </w:r>
      <w:r w:rsidR="00355754" w:rsidRPr="00BF4711">
        <w:t>.</w:t>
      </w:r>
      <w:r w:rsidR="00667439" w:rsidRPr="00BF4711">
        <w:t>, Gotch F</w:t>
      </w:r>
      <w:r w:rsidR="00205815" w:rsidRPr="00BF4711">
        <w:t xml:space="preserve">. </w:t>
      </w:r>
      <w:r w:rsidR="00667439" w:rsidRPr="00BF4711">
        <w:t>A</w:t>
      </w:r>
      <w:r w:rsidR="00205815" w:rsidRPr="00BF4711">
        <w:t>.</w:t>
      </w:r>
      <w:r w:rsidR="00667439" w:rsidRPr="00BF4711">
        <w:t>, Leypoldt J</w:t>
      </w:r>
      <w:r w:rsidR="00205815" w:rsidRPr="00BF4711">
        <w:t xml:space="preserve">. </w:t>
      </w:r>
      <w:r w:rsidR="00667439" w:rsidRPr="00BF4711">
        <w:t xml:space="preserve">K. </w:t>
      </w:r>
      <w:r w:rsidR="008B3D7E" w:rsidRPr="00BF4711">
        <w:t xml:space="preserve">(2004). </w:t>
      </w:r>
      <w:r w:rsidR="00667439" w:rsidRPr="00BF4711">
        <w:t>Dialyzer Performance in the HEMO Study: In Vivo K</w:t>
      </w:r>
      <w:r w:rsidR="00667439" w:rsidRPr="00BF4711">
        <w:rPr>
          <w:vertAlign w:val="subscript"/>
        </w:rPr>
        <w:t>0</w:t>
      </w:r>
      <w:r w:rsidR="00667439" w:rsidRPr="00BF4711">
        <w:t xml:space="preserve">A and True Blood Flow Determined from a Model of Cross-Dialyzer Urea Extraction. </w:t>
      </w:r>
      <w:r w:rsidR="00667439" w:rsidRPr="00BF4711">
        <w:rPr>
          <w:i/>
          <w:iCs/>
        </w:rPr>
        <w:t>ASAIO J</w:t>
      </w:r>
      <w:r w:rsidR="00571097" w:rsidRPr="00BF4711">
        <w:rPr>
          <w:i/>
          <w:iCs/>
        </w:rPr>
        <w:t>ournal</w:t>
      </w:r>
      <w:r w:rsidR="00667439" w:rsidRPr="00BF4711">
        <w:t>, 50, 1, 85</w:t>
      </w:r>
      <w:r w:rsidR="00362CB6" w:rsidRPr="00BF4711">
        <w:t>–</w:t>
      </w:r>
      <w:r w:rsidR="00667439" w:rsidRPr="00BF4711">
        <w:t>93.</w:t>
      </w:r>
    </w:p>
    <w:p w14:paraId="58FAF81A" w14:textId="77777777" w:rsidR="00E56C1F" w:rsidRPr="00BF4711" w:rsidRDefault="00E56C1F" w:rsidP="0026028D">
      <w:pPr>
        <w:contextualSpacing/>
      </w:pPr>
    </w:p>
    <w:p w14:paraId="1511545B" w14:textId="77777777" w:rsidR="009E1019" w:rsidRPr="00BF4711" w:rsidRDefault="00E56C1F" w:rsidP="0026028D">
      <w:pPr>
        <w:contextualSpacing/>
      </w:pPr>
      <w:r w:rsidRPr="00BF4711">
        <w:t xml:space="preserve">[6] </w:t>
      </w:r>
      <w:r w:rsidR="00F857AE" w:rsidRPr="00BF4711">
        <w:t xml:space="preserve">Leypoldt, </w:t>
      </w:r>
      <w:r w:rsidR="00871C68" w:rsidRPr="00BF4711">
        <w:t xml:space="preserve">J. k., </w:t>
      </w:r>
      <w:r w:rsidR="00F857AE" w:rsidRPr="00BF4711">
        <w:t>Cheung,</w:t>
      </w:r>
      <w:r w:rsidR="00871C68" w:rsidRPr="00BF4711">
        <w:t xml:space="preserve"> A. K.,</w:t>
      </w:r>
      <w:r w:rsidR="00F857AE" w:rsidRPr="00BF4711">
        <w:t xml:space="preserve"> Agodoa,</w:t>
      </w:r>
      <w:r w:rsidR="00D82859" w:rsidRPr="00BF4711">
        <w:t xml:space="preserve"> L. Y., </w:t>
      </w:r>
      <w:r w:rsidR="00F857AE" w:rsidRPr="00BF4711">
        <w:t xml:space="preserve"> Daugirdas, </w:t>
      </w:r>
      <w:r w:rsidR="007D4459" w:rsidRPr="00BF4711">
        <w:t xml:space="preserve">J. T., </w:t>
      </w:r>
      <w:r w:rsidR="00F857AE" w:rsidRPr="00BF4711">
        <w:t>Greene,</w:t>
      </w:r>
      <w:r w:rsidR="00B42910" w:rsidRPr="00BF4711">
        <w:t xml:space="preserve"> T.,</w:t>
      </w:r>
      <w:r w:rsidR="00584E50" w:rsidRPr="00BF4711">
        <w:t xml:space="preserve"> </w:t>
      </w:r>
      <w:r w:rsidR="00F857AE" w:rsidRPr="00BF4711">
        <w:t>Keshav</w:t>
      </w:r>
      <w:r w:rsidR="001219E9" w:rsidRPr="00BF4711">
        <w:t>iah, P</w:t>
      </w:r>
      <w:r w:rsidR="00584E50" w:rsidRPr="00BF4711">
        <w:t>. R</w:t>
      </w:r>
      <w:r w:rsidR="00F857AE" w:rsidRPr="00BF4711">
        <w:t xml:space="preserve">. </w:t>
      </w:r>
      <w:r w:rsidR="00B07AF2" w:rsidRPr="00BF4711">
        <w:t xml:space="preserve">(1997). </w:t>
      </w:r>
      <w:r w:rsidR="00F857AE" w:rsidRPr="00BF4711">
        <w:t xml:space="preserve">Hemodialyzer mass transfer-area coefficients for urea increase at high dialysate flow rates. </w:t>
      </w:r>
      <w:r w:rsidR="00F857AE" w:rsidRPr="00BF4711">
        <w:rPr>
          <w:i/>
          <w:iCs/>
        </w:rPr>
        <w:t>Kidney</w:t>
      </w:r>
      <w:r w:rsidR="007E6E2F" w:rsidRPr="00BF4711">
        <w:rPr>
          <w:i/>
          <w:iCs/>
        </w:rPr>
        <w:t xml:space="preserve"> </w:t>
      </w:r>
      <w:r w:rsidR="00F857AE" w:rsidRPr="00BF4711">
        <w:rPr>
          <w:i/>
          <w:iCs/>
        </w:rPr>
        <w:t>International</w:t>
      </w:r>
      <w:r w:rsidR="00F857AE" w:rsidRPr="00BF4711">
        <w:t>, 51,</w:t>
      </w:r>
      <w:r w:rsidR="007E6E2F" w:rsidRPr="00BF4711">
        <w:t xml:space="preserve"> </w:t>
      </w:r>
      <w:r w:rsidR="00F857AE" w:rsidRPr="00BF4711">
        <w:t>2013</w:t>
      </w:r>
      <w:r w:rsidR="007E6E2F" w:rsidRPr="00BF4711">
        <w:t>–</w:t>
      </w:r>
      <w:r w:rsidR="00F857AE" w:rsidRPr="00BF4711">
        <w:t>2017</w:t>
      </w:r>
      <w:r w:rsidR="00C7325B" w:rsidRPr="00BF4711">
        <w:t>.</w:t>
      </w:r>
    </w:p>
    <w:p w14:paraId="61E3FF99" w14:textId="77777777" w:rsidR="009E1019" w:rsidRPr="00BF4711" w:rsidRDefault="009E1019" w:rsidP="0026028D">
      <w:pPr>
        <w:contextualSpacing/>
      </w:pPr>
    </w:p>
    <w:p w14:paraId="08A25D7E" w14:textId="344FE494" w:rsidR="00DE1731" w:rsidRPr="00BF4711" w:rsidRDefault="00865370" w:rsidP="0026028D">
      <w:pPr>
        <w:contextualSpacing/>
      </w:pPr>
      <w:r w:rsidRPr="00BF4711">
        <w:t>[7] Sargent, J.A., Gotch, F.A. (19</w:t>
      </w:r>
      <w:r w:rsidR="004B279D" w:rsidRPr="00BF4711">
        <w:t>83</w:t>
      </w:r>
      <w:r w:rsidRPr="00BF4711">
        <w:t xml:space="preserve">). Principles and Biophysics of Dialysis. In: Drukker, W., Parsons, F.M., Maher, J.F. (eds) </w:t>
      </w:r>
      <w:r w:rsidRPr="00BF4711">
        <w:rPr>
          <w:i/>
          <w:iCs/>
        </w:rPr>
        <w:t>Replacement of Renal Function by Dialysis</w:t>
      </w:r>
      <w:r w:rsidRPr="00BF4711">
        <w:t>. Springer, Dordrecht.</w:t>
      </w:r>
    </w:p>
    <w:p w14:paraId="1D8505DD" w14:textId="77777777" w:rsidR="00532C64" w:rsidRPr="00BF4711" w:rsidRDefault="00532C64" w:rsidP="0026028D">
      <w:pPr>
        <w:contextualSpacing/>
      </w:pPr>
    </w:p>
    <w:p w14:paraId="1CB05E64" w14:textId="77777777" w:rsidR="00552EC2" w:rsidRPr="00BF4711" w:rsidRDefault="00935F6C" w:rsidP="0026028D">
      <w:pPr>
        <w:contextualSpacing/>
      </w:pPr>
      <w:r w:rsidRPr="00BF4711">
        <w:t>[</w:t>
      </w:r>
      <w:r w:rsidR="00110980" w:rsidRPr="00BF4711">
        <w:t>8</w:t>
      </w:r>
      <w:r w:rsidRPr="00BF4711">
        <w:t xml:space="preserve">] </w:t>
      </w:r>
      <w:r w:rsidR="00110980" w:rsidRPr="00BF4711">
        <w:t xml:space="preserve">Eloot, S. </w:t>
      </w:r>
      <w:r w:rsidR="006B2746" w:rsidRPr="00BF4711">
        <w:t>(2005). Experimental and Numerical Modeling of Dialysis</w:t>
      </w:r>
      <w:r w:rsidR="00AF38AF" w:rsidRPr="00BF4711">
        <w:t xml:space="preserve">. </w:t>
      </w:r>
      <w:r w:rsidR="00AF38AF" w:rsidRPr="009C3F56">
        <w:rPr>
          <w:i/>
          <w:iCs/>
        </w:rPr>
        <w:t>PhD Thesis</w:t>
      </w:r>
      <w:r w:rsidR="00552EC2" w:rsidRPr="00BF4711">
        <w:t>. Ghent University</w:t>
      </w:r>
    </w:p>
    <w:p w14:paraId="6816008F" w14:textId="5BF2616E" w:rsidR="00532C64" w:rsidRPr="00BF4711" w:rsidRDefault="00552EC2" w:rsidP="0026028D">
      <w:pPr>
        <w:contextualSpacing/>
      </w:pPr>
      <w:r w:rsidRPr="00BF4711">
        <w:t>Faculty of Engineering, Civil Engineering Department</w:t>
      </w:r>
      <w:r w:rsidR="007F4395" w:rsidRPr="00BF4711">
        <w:t xml:space="preserve">, </w:t>
      </w:r>
      <w:r w:rsidRPr="00BF4711">
        <w:t>Hydraulics Laboratory</w:t>
      </w:r>
      <w:r w:rsidR="007F4395" w:rsidRPr="00BF4711">
        <w:t>.</w:t>
      </w:r>
    </w:p>
    <w:p w14:paraId="56316971" w14:textId="77777777" w:rsidR="00935F6C" w:rsidRDefault="00935F6C" w:rsidP="0026028D">
      <w:pPr>
        <w:contextualSpacing/>
      </w:pPr>
    </w:p>
    <w:p w14:paraId="4F9D2D07" w14:textId="77777777" w:rsidR="00036F1B" w:rsidRPr="00BF4711" w:rsidRDefault="00036F1B" w:rsidP="0026028D">
      <w:pPr>
        <w:contextualSpacing/>
      </w:pPr>
    </w:p>
    <w:p w14:paraId="2F204C96" w14:textId="04BEEA93" w:rsidR="00532C64" w:rsidRPr="00BF4711" w:rsidRDefault="00532C64" w:rsidP="0026028D">
      <w:pPr>
        <w:pStyle w:val="ListParagraph"/>
        <w:numPr>
          <w:ilvl w:val="0"/>
          <w:numId w:val="1"/>
        </w:numPr>
        <w:ind w:left="360"/>
        <w:rPr>
          <w:b/>
        </w:rPr>
      </w:pPr>
      <w:r w:rsidRPr="00BF4711">
        <w:rPr>
          <w:b/>
        </w:rPr>
        <w:t>Appendices</w:t>
      </w:r>
    </w:p>
    <w:p w14:paraId="44CA511E" w14:textId="77777777" w:rsidR="004E4D3F" w:rsidRPr="00BF4711" w:rsidRDefault="004E4D3F" w:rsidP="0026028D">
      <w:pPr>
        <w:contextualSpacing/>
      </w:pPr>
    </w:p>
    <w:p w14:paraId="4E28408C" w14:textId="662F6F36" w:rsidR="00346D06" w:rsidRPr="00BF4711" w:rsidRDefault="007E0E5B" w:rsidP="0026028D">
      <w:pPr>
        <w:contextualSpacing/>
      </w:pPr>
      <w:r w:rsidRPr="00BF4711">
        <w:rPr>
          <w:b/>
        </w:rPr>
        <w:t>Ap</w:t>
      </w:r>
      <w:r w:rsidR="00545F74" w:rsidRPr="00BF4711">
        <w:rPr>
          <w:b/>
        </w:rPr>
        <w:t>pendix A</w:t>
      </w:r>
      <w:r w:rsidR="002F1BB3" w:rsidRPr="00BF4711">
        <w:rPr>
          <w:b/>
        </w:rPr>
        <w:t>:</w:t>
      </w:r>
      <w:r w:rsidR="00545F74" w:rsidRPr="00BF4711">
        <w:rPr>
          <w:b/>
        </w:rPr>
        <w:t xml:space="preserve"> Derivation of the initial condition of counter-current configuration</w:t>
      </w:r>
    </w:p>
    <w:p w14:paraId="7941167E" w14:textId="77777777" w:rsidR="00545F74" w:rsidRPr="00BF4711" w:rsidRDefault="00545F74" w:rsidP="0026028D">
      <w:pPr>
        <w:contextualSpacing/>
      </w:pPr>
    </w:p>
    <w:p w14:paraId="5108E598" w14:textId="536B6FC6" w:rsidR="00545F74" w:rsidRPr="00BF4711" w:rsidRDefault="00545F74" w:rsidP="0026028D">
      <w:pPr>
        <w:contextualSpacing/>
      </w:pPr>
      <w:r w:rsidRPr="00BF4711">
        <w:t>Start with equation</w:t>
      </w:r>
      <w:r w:rsidR="00915F5E" w:rsidRPr="00BF4711">
        <w:t>s</w:t>
      </w:r>
      <w:r w:rsidRPr="00BF4711">
        <w:t xml:space="preserve"> (4)</w:t>
      </w:r>
      <w:r w:rsidR="00DF3CA1" w:rsidRPr="00BF4711">
        <w:t xml:space="preserve">, </w:t>
      </w:r>
      <w:r w:rsidRPr="00BF4711">
        <w:t>(6)</w:t>
      </w:r>
    </w:p>
    <w:p w14:paraId="5D5CE1F1" w14:textId="77777777" w:rsidR="00545F74" w:rsidRPr="00BF4711" w:rsidRDefault="00000000" w:rsidP="0026028D">
      <w:pPr>
        <w:contextualSpacing/>
      </w:pPr>
      <m:oMathPara>
        <m:oMath>
          <m:f>
            <m:fPr>
              <m:ctrlPr>
                <w:rPr>
                  <w:rFonts w:ascii="Cambria Math" w:hAnsi="Cambria Math"/>
                  <w:i/>
                </w:rPr>
              </m:ctrlPr>
            </m:fPr>
            <m:num>
              <m:sSub>
                <m:sSubPr>
                  <m:ctrlPr>
                    <w:rPr>
                      <w:rFonts w:ascii="Cambria Math" w:hAnsi="Cambria Math"/>
                      <w:i/>
                    </w:rPr>
                  </m:ctrlPr>
                </m:sSubPr>
                <m:e>
                  <m:r>
                    <w:rPr>
                      <w:rFonts w:ascii="Cambria Math" w:hAnsi="Cambria Math"/>
                    </w:rPr>
                    <m:t>dC</m:t>
                  </m:r>
                </m:e>
                <m:sub>
                  <m:r>
                    <w:rPr>
                      <w:rFonts w:ascii="Cambria Math" w:hAnsi="Cambria Math"/>
                    </w:rPr>
                    <m:t>d</m:t>
                  </m:r>
                </m:sub>
              </m:sSub>
            </m:num>
            <m:den>
              <m:r>
                <w:rPr>
                  <w:rFonts w:ascii="Cambria Math" w:hAnsi="Cambria Math"/>
                </w:rPr>
                <m:t>dx</m:t>
              </m:r>
            </m:den>
          </m:f>
          <m:r>
            <w:rPr>
              <w:rFonts w:ascii="Cambria Math" w:hAnsi="Cambria Math"/>
            </w:rPr>
            <m:t xml:space="preserve">= </m:t>
          </m:r>
          <m:f>
            <m:fPr>
              <m:ctrlPr>
                <w:rPr>
                  <w:rFonts w:ascii="Cambria Math" w:hAnsi="Cambria Math"/>
                  <w:i/>
                </w:rPr>
              </m:ctrlPr>
            </m:fPr>
            <m:num>
              <m:sSub>
                <m:sSubPr>
                  <m:ctrlPr>
                    <w:rPr>
                      <w:rFonts w:ascii="Cambria Math" w:eastAsiaTheme="minorHAnsi" w:hAnsi="Cambria Math"/>
                      <w:i/>
                    </w:rPr>
                  </m:ctrlPr>
                </m:sSubPr>
                <m:e>
                  <m:r>
                    <w:rPr>
                      <w:rFonts w:ascii="Cambria Math" w:hAnsi="Cambria Math"/>
                    </w:rPr>
                    <m:t>K</m:t>
                  </m:r>
                </m:e>
                <m:sub>
                  <m:r>
                    <w:rPr>
                      <w:rFonts w:ascii="Cambria Math" w:hAnsi="Cambria Math"/>
                    </w:rPr>
                    <m:t>0</m:t>
                  </m:r>
                </m:sub>
              </m:sSub>
              <m:r>
                <w:rPr>
                  <w:rFonts w:ascii="Cambria Math" w:hAnsi="Cambria Math"/>
                </w:rPr>
                <m:t xml:space="preserve"> a</m:t>
              </m:r>
              <m:d>
                <m:dPr>
                  <m:ctrlPr>
                    <w:rPr>
                      <w:rFonts w:ascii="Cambria Math" w:hAnsi="Cambria Math"/>
                      <w:i/>
                    </w:rPr>
                  </m:ctrlPr>
                </m:dPr>
                <m:e>
                  <m:sSub>
                    <m:sSubPr>
                      <m:ctrlPr>
                        <w:rPr>
                          <w:rFonts w:ascii="Cambria Math" w:eastAsiaTheme="minorHAnsi" w:hAnsi="Cambria Math"/>
                          <w:i/>
                        </w:rPr>
                      </m:ctrlPr>
                    </m:sSubPr>
                    <m:e>
                      <m:r>
                        <w:rPr>
                          <w:rFonts w:ascii="Cambria Math" w:hAnsi="Cambria Math"/>
                        </w:rPr>
                        <m:t>C</m:t>
                      </m:r>
                    </m:e>
                    <m:sub>
                      <m:r>
                        <w:rPr>
                          <w:rFonts w:ascii="Cambria Math" w:hAnsi="Cambria Math"/>
                        </w:rPr>
                        <m:t>b</m:t>
                      </m:r>
                    </m:sub>
                  </m:sSub>
                  <m:r>
                    <w:rPr>
                      <w:rFonts w:ascii="Cambria Math" w:hAnsi="Cambria Math"/>
                    </w:rPr>
                    <m:t xml:space="preserve"> - </m:t>
                  </m:r>
                  <m:sSub>
                    <m:sSubPr>
                      <m:ctrlPr>
                        <w:rPr>
                          <w:rFonts w:ascii="Cambria Math" w:eastAsiaTheme="minorHAnsi" w:hAnsi="Cambria Math"/>
                          <w:i/>
                        </w:rPr>
                      </m:ctrlPr>
                    </m:sSubPr>
                    <m:e>
                      <m:r>
                        <w:rPr>
                          <w:rFonts w:ascii="Cambria Math" w:hAnsi="Cambria Math"/>
                        </w:rPr>
                        <m:t>C</m:t>
                      </m:r>
                    </m:e>
                    <m:sub>
                      <m:r>
                        <w:rPr>
                          <w:rFonts w:ascii="Cambria Math" w:hAnsi="Cambria Math"/>
                        </w:rPr>
                        <m:t>d</m:t>
                      </m:r>
                    </m:sub>
                  </m:sSub>
                </m:e>
              </m:d>
            </m:num>
            <m:den>
              <m:sSub>
                <m:sSubPr>
                  <m:ctrlPr>
                    <w:rPr>
                      <w:rFonts w:ascii="Cambria Math" w:hAnsi="Cambria Math"/>
                      <w:i/>
                    </w:rPr>
                  </m:ctrlPr>
                </m:sSubPr>
                <m:e>
                  <m:r>
                    <w:rPr>
                      <w:rFonts w:ascii="Cambria Math" w:hAnsi="Cambria Math"/>
                    </w:rPr>
                    <m:t>Q</m:t>
                  </m:r>
                </m:e>
                <m:sub>
                  <m:r>
                    <w:rPr>
                      <w:rFonts w:ascii="Cambria Math" w:hAnsi="Cambria Math"/>
                    </w:rPr>
                    <m:t>d</m:t>
                  </m:r>
                </m:sub>
              </m:sSub>
            </m:den>
          </m:f>
        </m:oMath>
      </m:oMathPara>
    </w:p>
    <w:p w14:paraId="5F6675D1" w14:textId="36EC1468" w:rsidR="00545F74" w:rsidRPr="00BF4711" w:rsidRDefault="00545F74" w:rsidP="0026028D">
      <w:pPr>
        <w:contextualSpacing/>
      </w:pPr>
    </w:p>
    <w:p w14:paraId="78C2C124" w14:textId="77777777" w:rsidR="00545F74" w:rsidRPr="00BF4711" w:rsidRDefault="00545F74" w:rsidP="0026028D">
      <w:pPr>
        <w:contextualSpacing/>
      </w:pPr>
      <w:r w:rsidRPr="00BF4711">
        <w:tab/>
      </w:r>
      <w:r w:rsidRPr="00BF4711">
        <w:tab/>
      </w:r>
      <w:r w:rsidRPr="00BF4711">
        <w:tab/>
      </w:r>
      <w:r w:rsidRPr="00BF4711">
        <w:tab/>
      </w:r>
      <w:r w:rsidRPr="00BF4711">
        <w:tab/>
      </w:r>
      <m:oMath>
        <m:r>
          <w:rPr>
            <w:rFonts w:ascii="Cambria Math" w:hAnsi="Cambria Math"/>
          </w:rPr>
          <m:t>∆</m:t>
        </m:r>
        <m:d>
          <m:dPr>
            <m:ctrlPr>
              <w:rPr>
                <w:rFonts w:ascii="Cambria Math" w:hAnsi="Cambria Math"/>
                <w:i/>
              </w:rPr>
            </m:ctrlPr>
          </m:dPr>
          <m:e>
            <m:r>
              <w:rPr>
                <w:rFonts w:ascii="Cambria Math" w:hAnsi="Cambria Math"/>
              </w:rPr>
              <m:t>x</m:t>
            </m:r>
          </m:e>
        </m:d>
        <m:r>
          <w:rPr>
            <w:rFonts w:ascii="Cambria Math" w:hAnsi="Cambria Math"/>
          </w:rPr>
          <m:t>= ∆(0)</m:t>
        </m:r>
        <m:sSup>
          <m:sSupPr>
            <m:ctrlPr>
              <w:rPr>
                <w:rFonts w:ascii="Cambria Math" w:hAnsi="Cambria Math"/>
                <w:i/>
              </w:rPr>
            </m:ctrlPr>
          </m:sSupPr>
          <m:e>
            <m:r>
              <w:rPr>
                <w:rFonts w:ascii="Cambria Math" w:hAnsi="Cambria Math"/>
              </w:rPr>
              <m:t>e</m:t>
            </m:r>
          </m:e>
          <m:sup>
            <m:r>
              <w:rPr>
                <w:rFonts w:ascii="Cambria Math" w:hAnsi="Cambria Math"/>
              </w:rPr>
              <m:t>-γx</m:t>
            </m:r>
          </m:sup>
        </m:sSup>
      </m:oMath>
    </w:p>
    <w:p w14:paraId="47407502" w14:textId="77777777" w:rsidR="00545F74" w:rsidRPr="00BF4711" w:rsidRDefault="00545F74" w:rsidP="0026028D">
      <w:pPr>
        <w:contextualSpacing/>
      </w:pPr>
    </w:p>
    <w:p w14:paraId="0ED5AB9D" w14:textId="77777777" w:rsidR="00545F74" w:rsidRPr="00BF4711" w:rsidRDefault="00545F74" w:rsidP="0026028D">
      <w:pPr>
        <w:contextualSpacing/>
      </w:pPr>
      <w:r w:rsidRPr="00BF4711">
        <w:t xml:space="preserve">Substituting </w:t>
      </w:r>
      <m:oMath>
        <m:r>
          <w:rPr>
            <w:rFonts w:ascii="Cambria Math" w:hAnsi="Cambria Math"/>
          </w:rPr>
          <m:t>∆</m:t>
        </m:r>
        <m:d>
          <m:dPr>
            <m:ctrlPr>
              <w:rPr>
                <w:rFonts w:ascii="Cambria Math" w:hAnsi="Cambria Math"/>
                <w:i/>
              </w:rPr>
            </m:ctrlPr>
          </m:dPr>
          <m:e>
            <m:r>
              <w:rPr>
                <w:rFonts w:ascii="Cambria Math" w:hAnsi="Cambria Math"/>
              </w:rPr>
              <m:t>x</m:t>
            </m:r>
          </m:e>
        </m:d>
      </m:oMath>
      <w:r w:rsidRPr="00BF4711">
        <w:t xml:space="preserve">,  for </w:t>
      </w:r>
      <m:oMath>
        <m:sSub>
          <m:sSubPr>
            <m:ctrlPr>
              <w:rPr>
                <w:rFonts w:ascii="Cambria Math" w:eastAsiaTheme="minorHAnsi" w:hAnsi="Cambria Math"/>
                <w:i/>
              </w:rPr>
            </m:ctrlPr>
          </m:sSubPr>
          <m:e>
            <m:r>
              <w:rPr>
                <w:rFonts w:ascii="Cambria Math" w:hAnsi="Cambria Math"/>
              </w:rPr>
              <m:t>C</m:t>
            </m:r>
          </m:e>
          <m:sub>
            <m:r>
              <w:rPr>
                <w:rFonts w:ascii="Cambria Math" w:hAnsi="Cambria Math"/>
              </w:rPr>
              <m:t>b</m:t>
            </m:r>
          </m:sub>
        </m:sSub>
        <m:r>
          <w:rPr>
            <w:rFonts w:ascii="Cambria Math" w:hAnsi="Cambria Math"/>
          </w:rPr>
          <m:t xml:space="preserve"> - </m:t>
        </m:r>
        <m:sSub>
          <m:sSubPr>
            <m:ctrlPr>
              <w:rPr>
                <w:rFonts w:ascii="Cambria Math" w:eastAsiaTheme="minorHAnsi" w:hAnsi="Cambria Math"/>
                <w:i/>
              </w:rPr>
            </m:ctrlPr>
          </m:sSubPr>
          <m:e>
            <m:r>
              <w:rPr>
                <w:rFonts w:ascii="Cambria Math" w:hAnsi="Cambria Math"/>
              </w:rPr>
              <m:t>C</m:t>
            </m:r>
          </m:e>
          <m:sub>
            <m:r>
              <w:rPr>
                <w:rFonts w:ascii="Cambria Math" w:hAnsi="Cambria Math"/>
              </w:rPr>
              <m:t>d</m:t>
            </m:r>
          </m:sub>
        </m:sSub>
      </m:oMath>
      <w:r w:rsidRPr="00BF4711">
        <w:t>, we have a separable differential equation.</w:t>
      </w:r>
    </w:p>
    <w:p w14:paraId="631B402E" w14:textId="6F3D0CC2" w:rsidR="00545F74" w:rsidRPr="00BF4711" w:rsidRDefault="00545F74" w:rsidP="0026028D">
      <w:pPr>
        <w:contextualSpacing/>
      </w:pPr>
    </w:p>
    <w:p w14:paraId="277A0EA9" w14:textId="470FC581" w:rsidR="00545F74" w:rsidRPr="00BF4711" w:rsidRDefault="00000000" w:rsidP="0026028D">
      <w:pPr>
        <w:contextualSpacing/>
        <w:jc w:val="center"/>
      </w:pPr>
      <m:oMath>
        <m:f>
          <m:fPr>
            <m:ctrlPr>
              <w:rPr>
                <w:rFonts w:ascii="Cambria Math" w:hAnsi="Cambria Math"/>
                <w:i/>
              </w:rPr>
            </m:ctrlPr>
          </m:fPr>
          <m:num>
            <m:sSub>
              <m:sSubPr>
                <m:ctrlPr>
                  <w:rPr>
                    <w:rFonts w:ascii="Cambria Math" w:hAnsi="Cambria Math"/>
                    <w:i/>
                  </w:rPr>
                </m:ctrlPr>
              </m:sSubPr>
              <m:e>
                <m:r>
                  <w:rPr>
                    <w:rFonts w:ascii="Cambria Math" w:hAnsi="Cambria Math"/>
                  </w:rPr>
                  <m:t>dC</m:t>
                </m:r>
              </m:e>
              <m:sub>
                <m:r>
                  <w:rPr>
                    <w:rFonts w:ascii="Cambria Math" w:hAnsi="Cambria Math"/>
                  </w:rPr>
                  <m:t>d</m:t>
                </m:r>
              </m:sub>
            </m:sSub>
          </m:num>
          <m:den>
            <m:r>
              <w:rPr>
                <w:rFonts w:ascii="Cambria Math" w:hAnsi="Cambria Math"/>
              </w:rPr>
              <m:t>dx</m:t>
            </m:r>
          </m:den>
        </m:f>
        <m:r>
          <w:rPr>
            <w:rFonts w:ascii="Cambria Math" w:hAnsi="Cambria Math"/>
          </w:rPr>
          <m:t xml:space="preserve">= </m:t>
        </m:r>
        <m:f>
          <m:fPr>
            <m:ctrlPr>
              <w:rPr>
                <w:rFonts w:ascii="Cambria Math" w:hAnsi="Cambria Math"/>
                <w:i/>
              </w:rPr>
            </m:ctrlPr>
          </m:fPr>
          <m:num>
            <m:sSub>
              <m:sSubPr>
                <m:ctrlPr>
                  <w:rPr>
                    <w:rFonts w:ascii="Cambria Math" w:eastAsiaTheme="minorHAnsi" w:hAnsi="Cambria Math"/>
                    <w:i/>
                  </w:rPr>
                </m:ctrlPr>
              </m:sSubPr>
              <m:e>
                <m:r>
                  <w:rPr>
                    <w:rFonts w:ascii="Cambria Math" w:hAnsi="Cambria Math"/>
                  </w:rPr>
                  <m:t>K</m:t>
                </m:r>
              </m:e>
              <m:sub>
                <m:r>
                  <w:rPr>
                    <w:rFonts w:ascii="Cambria Math" w:hAnsi="Cambria Math"/>
                  </w:rPr>
                  <m:t>0</m:t>
                </m:r>
              </m:sub>
            </m:sSub>
            <m:r>
              <w:rPr>
                <w:rFonts w:ascii="Cambria Math" w:hAnsi="Cambria Math"/>
              </w:rPr>
              <m:t xml:space="preserve"> aσ∆(0)</m:t>
            </m:r>
            <m:sSup>
              <m:sSupPr>
                <m:ctrlPr>
                  <w:rPr>
                    <w:rFonts w:ascii="Cambria Math" w:hAnsi="Cambria Math"/>
                    <w:i/>
                  </w:rPr>
                </m:ctrlPr>
              </m:sSupPr>
              <m:e>
                <m:r>
                  <w:rPr>
                    <w:rFonts w:ascii="Cambria Math" w:hAnsi="Cambria Math"/>
                  </w:rPr>
                  <m:t>e</m:t>
                </m:r>
              </m:e>
              <m:sup>
                <m:r>
                  <w:rPr>
                    <w:rFonts w:ascii="Cambria Math" w:hAnsi="Cambria Math"/>
                  </w:rPr>
                  <m:t>-γx</m:t>
                </m:r>
              </m:sup>
            </m:sSup>
          </m:num>
          <m:den>
            <m:sSub>
              <m:sSubPr>
                <m:ctrlPr>
                  <w:rPr>
                    <w:rFonts w:ascii="Cambria Math" w:hAnsi="Cambria Math"/>
                    <w:i/>
                  </w:rPr>
                </m:ctrlPr>
              </m:sSubPr>
              <m:e>
                <m:r>
                  <w:rPr>
                    <w:rFonts w:ascii="Cambria Math" w:hAnsi="Cambria Math"/>
                  </w:rPr>
                  <m:t>Q</m:t>
                </m:r>
              </m:e>
              <m:sub>
                <m:r>
                  <w:rPr>
                    <w:rFonts w:ascii="Cambria Math" w:hAnsi="Cambria Math"/>
                  </w:rPr>
                  <m:t>d</m:t>
                </m:r>
              </m:sub>
            </m:sSub>
          </m:den>
        </m:f>
      </m:oMath>
      <w:r w:rsidR="0024051E" w:rsidRPr="00BF4711">
        <w:t xml:space="preserve">                                                                           (1</w:t>
      </w:r>
      <w:r w:rsidR="00F5527B" w:rsidRPr="00BF4711">
        <w:t>3</w:t>
      </w:r>
      <w:r w:rsidR="0024051E" w:rsidRPr="00BF4711">
        <w:t>)</w:t>
      </w:r>
    </w:p>
    <w:p w14:paraId="0E9F2D09" w14:textId="77777777" w:rsidR="00545F74" w:rsidRPr="00BF4711" w:rsidRDefault="00545F74" w:rsidP="0026028D">
      <w:pPr>
        <w:contextualSpacing/>
      </w:pPr>
    </w:p>
    <w:p w14:paraId="189AF26A" w14:textId="77777777" w:rsidR="00545F74" w:rsidRPr="00BF4711" w:rsidRDefault="00545F74" w:rsidP="0026028D">
      <w:pPr>
        <w:contextualSpacing/>
      </w:pPr>
      <w:r w:rsidRPr="00BF4711">
        <w:t>Rearranging the like terms and integrating both sides,</w:t>
      </w:r>
    </w:p>
    <w:p w14:paraId="0B527F9D" w14:textId="77777777" w:rsidR="00545F74" w:rsidRPr="00BF4711" w:rsidRDefault="00545F74" w:rsidP="0026028D">
      <w:pPr>
        <w:contextualSpacing/>
      </w:pPr>
    </w:p>
    <w:p w14:paraId="76F658DD" w14:textId="24F94EFE" w:rsidR="00545F74" w:rsidRPr="00BF4711" w:rsidRDefault="00545F74" w:rsidP="0026028D">
      <w:pPr>
        <w:contextualSpacing/>
      </w:pPr>
      <w:r w:rsidRPr="00BF4711">
        <w:lastRenderedPageBreak/>
        <w:tab/>
      </w:r>
      <w:r w:rsidRPr="00BF4711">
        <w:tab/>
      </w:r>
      <w:r w:rsidRPr="00BF4711">
        <w:tab/>
      </w:r>
      <w:r w:rsidRPr="00BF4711">
        <w:tab/>
      </w:r>
      <m:oMath>
        <m:nary>
          <m:naryPr>
            <m:limLoc m:val="undOvr"/>
            <m:ctrlPr>
              <w:rPr>
                <w:rFonts w:ascii="Cambria Math" w:hAnsi="Cambria Math"/>
                <w:i/>
              </w:rPr>
            </m:ctrlPr>
          </m:naryPr>
          <m:sub>
            <m:sSub>
              <m:sSubPr>
                <m:ctrlPr>
                  <w:rPr>
                    <w:rFonts w:ascii="Cambria Math" w:hAnsi="Cambria Math"/>
                    <w:i/>
                  </w:rPr>
                </m:ctrlPr>
              </m:sSubPr>
              <m:e>
                <m:r>
                  <w:rPr>
                    <w:rFonts w:ascii="Cambria Math" w:hAnsi="Cambria Math"/>
                  </w:rPr>
                  <m:t>c</m:t>
                </m:r>
              </m:e>
              <m:sub>
                <m:r>
                  <w:rPr>
                    <w:rFonts w:ascii="Cambria Math" w:hAnsi="Cambria Math"/>
                  </w:rPr>
                  <m:t>d0</m:t>
                </m:r>
              </m:sub>
            </m:sSub>
          </m:sub>
          <m:sup>
            <m:sSub>
              <m:sSubPr>
                <m:ctrlPr>
                  <w:rPr>
                    <w:rFonts w:ascii="Cambria Math" w:hAnsi="Cambria Math"/>
                    <w:i/>
                  </w:rPr>
                </m:ctrlPr>
              </m:sSubPr>
              <m:e>
                <m:r>
                  <w:rPr>
                    <w:rFonts w:ascii="Cambria Math" w:hAnsi="Cambria Math"/>
                  </w:rPr>
                  <m:t>c</m:t>
                </m:r>
              </m:e>
              <m:sub>
                <m:r>
                  <w:rPr>
                    <w:rFonts w:ascii="Cambria Math" w:hAnsi="Cambria Math"/>
                  </w:rPr>
                  <m:t>di</m:t>
                </m:r>
              </m:sub>
            </m:sSub>
          </m:sup>
          <m:e>
            <m:sSub>
              <m:sSubPr>
                <m:ctrlPr>
                  <w:rPr>
                    <w:rFonts w:ascii="Cambria Math" w:hAnsi="Cambria Math"/>
                    <w:i/>
                  </w:rPr>
                </m:ctrlPr>
              </m:sSubPr>
              <m:e>
                <m:r>
                  <w:rPr>
                    <w:rFonts w:ascii="Cambria Math" w:hAnsi="Cambria Math"/>
                  </w:rPr>
                  <m:t>dc</m:t>
                </m:r>
              </m:e>
              <m:sub>
                <m:r>
                  <w:rPr>
                    <w:rFonts w:ascii="Cambria Math" w:hAnsi="Cambria Math"/>
                  </w:rPr>
                  <m:t>d</m:t>
                </m:r>
              </m:sub>
            </m:sSub>
          </m:e>
        </m:nary>
        <m:r>
          <w:rPr>
            <w:rFonts w:ascii="Cambria Math" w:hAnsi="Cambria Math"/>
          </w:rPr>
          <m:t xml:space="preserve">= </m:t>
        </m:r>
        <m:nary>
          <m:naryPr>
            <m:limLoc m:val="undOvr"/>
            <m:ctrlPr>
              <w:rPr>
                <w:rFonts w:ascii="Cambria Math" w:hAnsi="Cambria Math"/>
                <w:i/>
              </w:rPr>
            </m:ctrlPr>
          </m:naryPr>
          <m:sub>
            <m:r>
              <w:rPr>
                <w:rFonts w:ascii="Cambria Math" w:hAnsi="Cambria Math"/>
              </w:rPr>
              <m:t>0</m:t>
            </m:r>
          </m:sub>
          <m:sup>
            <m:r>
              <w:rPr>
                <w:rFonts w:ascii="Cambria Math" w:hAnsi="Cambria Math"/>
              </w:rPr>
              <m:t>l</m:t>
            </m:r>
          </m:sup>
          <m:e>
            <m:f>
              <m:fPr>
                <m:ctrlPr>
                  <w:rPr>
                    <w:rFonts w:ascii="Cambria Math" w:hAnsi="Cambria Math"/>
                    <w:i/>
                  </w:rPr>
                </m:ctrlPr>
              </m:fPr>
              <m:num>
                <m:sSub>
                  <m:sSubPr>
                    <m:ctrlPr>
                      <w:rPr>
                        <w:rFonts w:ascii="Cambria Math" w:eastAsiaTheme="minorHAnsi" w:hAnsi="Cambria Math"/>
                        <w:i/>
                      </w:rPr>
                    </m:ctrlPr>
                  </m:sSubPr>
                  <m:e>
                    <m:r>
                      <w:rPr>
                        <w:rFonts w:ascii="Cambria Math" w:hAnsi="Cambria Math"/>
                      </w:rPr>
                      <m:t>K</m:t>
                    </m:r>
                  </m:e>
                  <m:sub>
                    <m:r>
                      <w:rPr>
                        <w:rFonts w:ascii="Cambria Math" w:hAnsi="Cambria Math"/>
                      </w:rPr>
                      <m:t>0</m:t>
                    </m:r>
                  </m:sub>
                </m:sSub>
                <m:r>
                  <w:rPr>
                    <w:rFonts w:ascii="Cambria Math" w:hAnsi="Cambria Math"/>
                  </w:rPr>
                  <m:t xml:space="preserve"> aσ∆(0)</m:t>
                </m:r>
                <m:sSup>
                  <m:sSupPr>
                    <m:ctrlPr>
                      <w:rPr>
                        <w:rFonts w:ascii="Cambria Math" w:hAnsi="Cambria Math"/>
                        <w:i/>
                      </w:rPr>
                    </m:ctrlPr>
                  </m:sSupPr>
                  <m:e>
                    <m:r>
                      <w:rPr>
                        <w:rFonts w:ascii="Cambria Math" w:hAnsi="Cambria Math"/>
                      </w:rPr>
                      <m:t>e</m:t>
                    </m:r>
                  </m:e>
                  <m:sup>
                    <m:r>
                      <w:rPr>
                        <w:rFonts w:ascii="Cambria Math" w:hAnsi="Cambria Math"/>
                      </w:rPr>
                      <m:t>-γx</m:t>
                    </m:r>
                  </m:sup>
                </m:sSup>
              </m:num>
              <m:den>
                <m:sSub>
                  <m:sSubPr>
                    <m:ctrlPr>
                      <w:rPr>
                        <w:rFonts w:ascii="Cambria Math" w:hAnsi="Cambria Math"/>
                        <w:i/>
                      </w:rPr>
                    </m:ctrlPr>
                  </m:sSubPr>
                  <m:e>
                    <m:r>
                      <w:rPr>
                        <w:rFonts w:ascii="Cambria Math" w:hAnsi="Cambria Math"/>
                      </w:rPr>
                      <m:t>Q</m:t>
                    </m:r>
                  </m:e>
                  <m:sub>
                    <m:r>
                      <w:rPr>
                        <w:rFonts w:ascii="Cambria Math" w:hAnsi="Cambria Math"/>
                      </w:rPr>
                      <m:t>d</m:t>
                    </m:r>
                  </m:sub>
                </m:sSub>
              </m:den>
            </m:f>
          </m:e>
        </m:nary>
        <m:r>
          <w:rPr>
            <w:rFonts w:ascii="Cambria Math" w:hAnsi="Cambria Math"/>
          </w:rPr>
          <m:t>dx</m:t>
        </m:r>
      </m:oMath>
    </w:p>
    <w:p w14:paraId="5D236896" w14:textId="00421424" w:rsidR="00DF3CA1" w:rsidRPr="00BF4711" w:rsidRDefault="00DF3CA1" w:rsidP="0026028D">
      <w:pPr>
        <w:contextualSpacing/>
      </w:pPr>
    </w:p>
    <w:p w14:paraId="32702D7E" w14:textId="0B58225F" w:rsidR="00DF3CA1" w:rsidRPr="00BF4711" w:rsidRDefault="00000000" w:rsidP="0026028D">
      <w:pPr>
        <w:contextualSpacing/>
        <w:jc w:val="center"/>
      </w:pPr>
      <m:oMath>
        <m:sSub>
          <m:sSubPr>
            <m:ctrlPr>
              <w:rPr>
                <w:rFonts w:ascii="Cambria Math" w:hAnsi="Cambria Math"/>
                <w:i/>
              </w:rPr>
            </m:ctrlPr>
          </m:sSubPr>
          <m:e>
            <m:r>
              <w:rPr>
                <w:rFonts w:ascii="Cambria Math" w:hAnsi="Cambria Math"/>
              </w:rPr>
              <m:t>c</m:t>
            </m:r>
          </m:e>
          <m:sub>
            <m:r>
              <w:rPr>
                <w:rFonts w:ascii="Cambria Math" w:hAnsi="Cambria Math"/>
              </w:rPr>
              <m:t>di</m:t>
            </m:r>
          </m:sub>
        </m:sSub>
        <m:r>
          <w:rPr>
            <w:rFonts w:ascii="Cambria Math" w:hAnsi="Cambria Math"/>
          </w:rPr>
          <m:t xml:space="preserve">- </m:t>
        </m:r>
        <m:sSub>
          <m:sSubPr>
            <m:ctrlPr>
              <w:rPr>
                <w:rFonts w:ascii="Cambria Math" w:hAnsi="Cambria Math"/>
                <w:i/>
              </w:rPr>
            </m:ctrlPr>
          </m:sSubPr>
          <m:e>
            <m:r>
              <w:rPr>
                <w:rFonts w:ascii="Cambria Math" w:hAnsi="Cambria Math"/>
              </w:rPr>
              <m:t>c</m:t>
            </m:r>
          </m:e>
          <m:sub>
            <m:r>
              <w:rPr>
                <w:rFonts w:ascii="Cambria Math" w:hAnsi="Cambria Math"/>
              </w:rPr>
              <m:t>do</m:t>
            </m:r>
          </m:sub>
        </m:sSub>
        <m:r>
          <w:rPr>
            <w:rFonts w:ascii="Cambria Math" w:hAnsi="Cambria Math"/>
          </w:rPr>
          <m:t xml:space="preserve">= </m:t>
        </m:r>
        <m:f>
          <m:fPr>
            <m:ctrlPr>
              <w:rPr>
                <w:rFonts w:ascii="Cambria Math" w:hAnsi="Cambria Math"/>
                <w:i/>
              </w:rPr>
            </m:ctrlPr>
          </m:fPr>
          <m:num>
            <m:sSub>
              <m:sSubPr>
                <m:ctrlPr>
                  <w:rPr>
                    <w:rFonts w:ascii="Cambria Math" w:eastAsiaTheme="minorHAnsi" w:hAnsi="Cambria Math"/>
                    <w:i/>
                  </w:rPr>
                </m:ctrlPr>
              </m:sSubPr>
              <m:e>
                <m:r>
                  <w:rPr>
                    <w:rFonts w:ascii="Cambria Math" w:hAnsi="Cambria Math"/>
                  </w:rPr>
                  <m:t>K</m:t>
                </m:r>
              </m:e>
              <m:sub>
                <m:r>
                  <w:rPr>
                    <w:rFonts w:ascii="Cambria Math" w:hAnsi="Cambria Math"/>
                  </w:rPr>
                  <m:t>0</m:t>
                </m:r>
              </m:sub>
            </m:sSub>
            <m:r>
              <w:rPr>
                <w:rFonts w:ascii="Cambria Math" w:hAnsi="Cambria Math"/>
              </w:rPr>
              <m:t xml:space="preserve"> aσ∆(0)</m:t>
            </m:r>
          </m:num>
          <m:den>
            <m:sSub>
              <m:sSubPr>
                <m:ctrlPr>
                  <w:rPr>
                    <w:rFonts w:ascii="Cambria Math" w:hAnsi="Cambria Math"/>
                    <w:i/>
                  </w:rPr>
                </m:ctrlPr>
              </m:sSubPr>
              <m:e>
                <m:r>
                  <w:rPr>
                    <w:rFonts w:ascii="Cambria Math" w:hAnsi="Cambria Math"/>
                  </w:rPr>
                  <m:t>Q</m:t>
                </m:r>
              </m:e>
              <m:sub>
                <m:r>
                  <w:rPr>
                    <w:rFonts w:ascii="Cambria Math" w:hAnsi="Cambria Math"/>
                  </w:rPr>
                  <m:t>d</m:t>
                </m:r>
              </m:sub>
            </m:sSub>
          </m:den>
        </m:f>
        <m:r>
          <w:rPr>
            <w:rFonts w:ascii="Cambria Math" w:hAnsi="Cambria Math"/>
          </w:rPr>
          <m:t>*</m:t>
        </m:r>
        <m:f>
          <m:fPr>
            <m:ctrlPr>
              <w:rPr>
                <w:rFonts w:ascii="Cambria Math" w:hAnsi="Cambria Math"/>
                <w:i/>
              </w:rPr>
            </m:ctrlPr>
          </m:fPr>
          <m:num>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-γl</m:t>
                </m:r>
              </m:sup>
            </m:sSup>
            <m:r>
              <w:rPr>
                <w:rFonts w:ascii="Cambria Math" w:hAnsi="Cambria Math"/>
              </w:rPr>
              <m:t>)</m:t>
            </m:r>
          </m:num>
          <m:den>
            <m:r>
              <w:rPr>
                <w:rFonts w:ascii="Cambria Math" w:hAnsi="Cambria Math"/>
              </w:rPr>
              <m:t>γ</m:t>
            </m:r>
          </m:den>
        </m:f>
      </m:oMath>
      <w:r w:rsidR="0024051E" w:rsidRPr="00BF4711">
        <w:t xml:space="preserve">                                                       (1</w:t>
      </w:r>
      <w:r w:rsidR="00F5527B" w:rsidRPr="00BF4711">
        <w:t>4</w:t>
      </w:r>
      <w:r w:rsidR="0024051E" w:rsidRPr="00BF4711">
        <w:t>)</w:t>
      </w:r>
    </w:p>
    <w:p w14:paraId="6107AA07" w14:textId="77777777" w:rsidR="00DF3CA1" w:rsidRPr="00BF4711" w:rsidRDefault="00DF3CA1" w:rsidP="0026028D">
      <w:pPr>
        <w:contextualSpacing/>
      </w:pPr>
    </w:p>
    <w:p w14:paraId="7E12B6C4" w14:textId="52F8DCBE" w:rsidR="00DF3CA1" w:rsidRPr="00BF4711" w:rsidRDefault="00DF3CA1" w:rsidP="0026028D">
      <w:pPr>
        <w:contextualSpacing/>
      </w:pPr>
      <w:r w:rsidRPr="00BF4711">
        <w:t xml:space="preserve">The initial condition </w:t>
      </w:r>
      <m:oMath>
        <m:r>
          <w:rPr>
            <w:rFonts w:ascii="Cambria Math" w:hAnsi="Cambria Math"/>
          </w:rPr>
          <m:t>∆(0)</m:t>
        </m:r>
      </m:oMath>
      <w:r w:rsidRPr="00BF4711">
        <w:t xml:space="preserve"> is defined as </w:t>
      </w:r>
    </w:p>
    <w:p w14:paraId="2EFA7072" w14:textId="77777777" w:rsidR="00DF3CA1" w:rsidRPr="00BF4711" w:rsidRDefault="00DF3CA1" w:rsidP="0026028D">
      <w:pPr>
        <w:contextualSpacing/>
      </w:pPr>
      <m:oMathPara>
        <m:oMath>
          <m:r>
            <w:rPr>
              <w:rFonts w:ascii="Cambria Math" w:hAnsi="Cambria Math"/>
            </w:rPr>
            <m:t>∆</m:t>
          </m:r>
          <m:d>
            <m:dPr>
              <m:ctrlPr>
                <w:rPr>
                  <w:rFonts w:ascii="Cambria Math" w:hAnsi="Cambria Math"/>
                  <w:i/>
                </w:rPr>
              </m:ctrlPr>
            </m:dPr>
            <m:e>
              <m:r>
                <w:rPr>
                  <w:rFonts w:ascii="Cambria Math" w:hAnsi="Cambria Math"/>
                </w:rPr>
                <m:t>0</m:t>
              </m:r>
            </m:e>
          </m:d>
          <m:r>
            <w:rPr>
              <w:rFonts w:ascii="Cambria Math" w:hAnsi="Cambria Math"/>
            </w:rPr>
            <m:t xml:space="preserve">= </m:t>
          </m:r>
          <m:sSub>
            <m:sSubPr>
              <m:ctrlPr>
                <w:rPr>
                  <w:rFonts w:ascii="Cambria Math" w:hAnsi="Cambria Math"/>
                  <w:i/>
                </w:rPr>
              </m:ctrlPr>
            </m:sSubPr>
            <m:e>
              <m:r>
                <w:rPr>
                  <w:rFonts w:ascii="Cambria Math" w:hAnsi="Cambria Math"/>
                </w:rPr>
                <m:t>c</m:t>
              </m:r>
            </m:e>
            <m:sub>
              <m:r>
                <w:rPr>
                  <w:rFonts w:ascii="Cambria Math" w:hAnsi="Cambria Math"/>
                </w:rPr>
                <m:t>bi</m:t>
              </m:r>
            </m:sub>
          </m:sSub>
          <m:r>
            <w:rPr>
              <w:rFonts w:ascii="Cambria Math" w:hAnsi="Cambria Math"/>
            </w:rPr>
            <m:t xml:space="preserve">- </m:t>
          </m:r>
          <m:sSub>
            <m:sSubPr>
              <m:ctrlPr>
                <w:rPr>
                  <w:rFonts w:ascii="Cambria Math" w:hAnsi="Cambria Math"/>
                  <w:i/>
                </w:rPr>
              </m:ctrlPr>
            </m:sSubPr>
            <m:e>
              <m:r>
                <w:rPr>
                  <w:rFonts w:ascii="Cambria Math" w:hAnsi="Cambria Math"/>
                </w:rPr>
                <m:t>c</m:t>
              </m:r>
            </m:e>
            <m:sub>
              <m:r>
                <w:rPr>
                  <w:rFonts w:ascii="Cambria Math" w:hAnsi="Cambria Math"/>
                </w:rPr>
                <m:t>do</m:t>
              </m:r>
            </m:sub>
          </m:sSub>
        </m:oMath>
      </m:oMathPara>
    </w:p>
    <w:p w14:paraId="0FE54FFB" w14:textId="77777777" w:rsidR="0024051E" w:rsidRPr="00BF4711" w:rsidRDefault="0024051E" w:rsidP="0026028D">
      <w:pPr>
        <w:contextualSpacing/>
      </w:pPr>
    </w:p>
    <w:p w14:paraId="6B39F81E" w14:textId="77777777" w:rsidR="00DF3CA1" w:rsidRPr="00BF4711" w:rsidRDefault="00000000" w:rsidP="0026028D">
      <w:pPr>
        <w:contextualSpacing/>
      </w:pPr>
      <m:oMathPara>
        <m:oMath>
          <m:sSub>
            <m:sSubPr>
              <m:ctrlPr>
                <w:rPr>
                  <w:rFonts w:ascii="Cambria Math" w:hAnsi="Cambria Math"/>
                  <w:i/>
                </w:rPr>
              </m:ctrlPr>
            </m:sSubPr>
            <m:e>
              <m:r>
                <w:rPr>
                  <w:rFonts w:ascii="Cambria Math" w:hAnsi="Cambria Math"/>
                </w:rPr>
                <m:t>c</m:t>
              </m:r>
            </m:e>
            <m:sub>
              <m:r>
                <w:rPr>
                  <w:rFonts w:ascii="Cambria Math" w:hAnsi="Cambria Math"/>
                </w:rPr>
                <m:t>do</m:t>
              </m:r>
            </m:sub>
          </m:sSub>
          <m:r>
            <w:rPr>
              <w:rFonts w:ascii="Cambria Math" w:hAnsi="Cambria Math"/>
            </w:rPr>
            <m:t xml:space="preserve">= </m:t>
          </m:r>
          <m:sSub>
            <m:sSubPr>
              <m:ctrlPr>
                <w:rPr>
                  <w:rFonts w:ascii="Cambria Math" w:hAnsi="Cambria Math"/>
                  <w:i/>
                </w:rPr>
              </m:ctrlPr>
            </m:sSubPr>
            <m:e>
              <m:r>
                <w:rPr>
                  <w:rFonts w:ascii="Cambria Math" w:hAnsi="Cambria Math"/>
                </w:rPr>
                <m:t>c</m:t>
              </m:r>
            </m:e>
            <m:sub>
              <m:r>
                <w:rPr>
                  <w:rFonts w:ascii="Cambria Math" w:hAnsi="Cambria Math"/>
                </w:rPr>
                <m:t>bi</m:t>
              </m:r>
            </m:sub>
          </m:sSub>
          <m:r>
            <w:rPr>
              <w:rFonts w:ascii="Cambria Math" w:hAnsi="Cambria Math"/>
            </w:rPr>
            <m:t>- ∆(0)</m:t>
          </m:r>
        </m:oMath>
      </m:oMathPara>
    </w:p>
    <w:p w14:paraId="716874FB" w14:textId="77777777" w:rsidR="0024051E" w:rsidRPr="00BF4711" w:rsidRDefault="0024051E" w:rsidP="0026028D">
      <w:pPr>
        <w:contextualSpacing/>
      </w:pPr>
    </w:p>
    <w:p w14:paraId="4F5CAB35" w14:textId="77777777" w:rsidR="0024051E" w:rsidRPr="00BF4711" w:rsidRDefault="0024051E" w:rsidP="0026028D">
      <w:pPr>
        <w:contextualSpacing/>
      </w:pPr>
      <w:r w:rsidRPr="00BF4711">
        <w:t>Substituting above equation into (1</w:t>
      </w:r>
      <w:r w:rsidR="00F5527B" w:rsidRPr="00BF4711">
        <w:t>3</w:t>
      </w:r>
      <w:r w:rsidRPr="00BF4711">
        <w:t xml:space="preserve">) and solving for </w:t>
      </w:r>
      <m:oMath>
        <m:r>
          <w:rPr>
            <w:rFonts w:ascii="Cambria Math" w:hAnsi="Cambria Math"/>
          </w:rPr>
          <m:t>∆</m:t>
        </m:r>
        <m:d>
          <m:dPr>
            <m:ctrlPr>
              <w:rPr>
                <w:rFonts w:ascii="Cambria Math" w:hAnsi="Cambria Math"/>
                <w:i/>
              </w:rPr>
            </m:ctrlPr>
          </m:dPr>
          <m:e>
            <m:r>
              <w:rPr>
                <w:rFonts w:ascii="Cambria Math" w:hAnsi="Cambria Math"/>
              </w:rPr>
              <m:t>0</m:t>
            </m:r>
          </m:e>
        </m:d>
      </m:oMath>
      <w:r w:rsidRPr="00BF4711">
        <w:t>,</w:t>
      </w:r>
    </w:p>
    <w:p w14:paraId="3C105081" w14:textId="77777777" w:rsidR="0024051E" w:rsidRPr="00BF4711" w:rsidRDefault="0024051E" w:rsidP="0026028D">
      <w:pPr>
        <w:contextualSpacing/>
      </w:pPr>
    </w:p>
    <w:p w14:paraId="58ED2CB8" w14:textId="6B786CC2" w:rsidR="0024051E" w:rsidRPr="00BF4711" w:rsidRDefault="00000000" w:rsidP="0026028D">
      <w:pPr>
        <w:contextualSpacing/>
      </w:pPr>
      <m:oMathPara>
        <m:oMath>
          <m:sSub>
            <m:sSubPr>
              <m:ctrlPr>
                <w:rPr>
                  <w:rFonts w:ascii="Cambria Math" w:hAnsi="Cambria Math"/>
                  <w:i/>
                </w:rPr>
              </m:ctrlPr>
            </m:sSubPr>
            <m:e>
              <m:r>
                <w:rPr>
                  <w:rFonts w:ascii="Cambria Math" w:hAnsi="Cambria Math"/>
                </w:rPr>
                <m:t>c</m:t>
              </m:r>
            </m:e>
            <m:sub>
              <m:r>
                <w:rPr>
                  <w:rFonts w:ascii="Cambria Math" w:hAnsi="Cambria Math"/>
                </w:rPr>
                <m:t>bi</m:t>
              </m:r>
            </m:sub>
          </m:sSub>
          <m:r>
            <w:rPr>
              <w:rFonts w:ascii="Cambria Math" w:hAnsi="Cambria Math"/>
            </w:rPr>
            <m:t xml:space="preserve">- </m:t>
          </m:r>
          <m:sSub>
            <m:sSubPr>
              <m:ctrlPr>
                <w:rPr>
                  <w:rFonts w:ascii="Cambria Math" w:hAnsi="Cambria Math"/>
                  <w:i/>
                </w:rPr>
              </m:ctrlPr>
            </m:sSubPr>
            <m:e>
              <m:r>
                <w:rPr>
                  <w:rFonts w:ascii="Cambria Math" w:hAnsi="Cambria Math"/>
                </w:rPr>
                <m:t>c</m:t>
              </m:r>
            </m:e>
            <m:sub>
              <m:r>
                <w:rPr>
                  <w:rFonts w:ascii="Cambria Math" w:hAnsi="Cambria Math"/>
                </w:rPr>
                <m:t>di</m:t>
              </m:r>
            </m:sub>
          </m:sSub>
          <m:r>
            <w:rPr>
              <w:rFonts w:ascii="Cambria Math" w:hAnsi="Cambria Math"/>
            </w:rPr>
            <m:t>=</m:t>
          </m:r>
          <m:d>
            <m:dPr>
              <m:ctrlPr>
                <w:rPr>
                  <w:rFonts w:ascii="Cambria Math" w:hAnsi="Cambria Math"/>
                  <w:i/>
                </w:rPr>
              </m:ctrlPr>
            </m:dPr>
            <m:e>
              <m:r>
                <w:rPr>
                  <w:rFonts w:ascii="Cambria Math" w:hAnsi="Cambria Math"/>
                </w:rPr>
                <m:t xml:space="preserve">1- </m:t>
              </m:r>
              <m:f>
                <m:fPr>
                  <m:ctrlPr>
                    <w:rPr>
                      <w:rFonts w:ascii="Cambria Math" w:hAnsi="Cambria Math"/>
                      <w:i/>
                    </w:rPr>
                  </m:ctrlPr>
                </m:fPr>
                <m:num>
                  <m:sSub>
                    <m:sSubPr>
                      <m:ctrlPr>
                        <w:rPr>
                          <w:rFonts w:ascii="Cambria Math" w:eastAsiaTheme="minorHAnsi" w:hAnsi="Cambria Math"/>
                          <w:i/>
                        </w:rPr>
                      </m:ctrlPr>
                    </m:sSubPr>
                    <m:e>
                      <m:r>
                        <w:rPr>
                          <w:rFonts w:ascii="Cambria Math" w:hAnsi="Cambria Math"/>
                        </w:rPr>
                        <m:t>K</m:t>
                      </m:r>
                    </m:e>
                    <m:sub>
                      <m:r>
                        <w:rPr>
                          <w:rFonts w:ascii="Cambria Math" w:hAnsi="Cambria Math"/>
                        </w:rPr>
                        <m:t>0</m:t>
                      </m:r>
                    </m:sub>
                  </m:sSub>
                  <m:r>
                    <w:rPr>
                      <w:rFonts w:ascii="Cambria Math" w:hAnsi="Cambria Math"/>
                    </w:rPr>
                    <m:t>aσ</m:t>
                  </m:r>
                </m:num>
                <m:den>
                  <m:sSub>
                    <m:sSubPr>
                      <m:ctrlPr>
                        <w:rPr>
                          <w:rFonts w:ascii="Cambria Math" w:hAnsi="Cambria Math"/>
                          <w:i/>
                        </w:rPr>
                      </m:ctrlPr>
                    </m:sSubPr>
                    <m:e>
                      <m:r>
                        <w:rPr>
                          <w:rFonts w:ascii="Cambria Math" w:hAnsi="Cambria Math"/>
                        </w:rPr>
                        <m:t>Q</m:t>
                      </m:r>
                    </m:e>
                    <m:sub>
                      <m:r>
                        <w:rPr>
                          <w:rFonts w:ascii="Cambria Math" w:hAnsi="Cambria Math"/>
                        </w:rPr>
                        <m:t>d</m:t>
                      </m:r>
                    </m:sub>
                  </m:sSub>
                </m:den>
              </m:f>
              <m:r>
                <w:rPr>
                  <w:rFonts w:ascii="Cambria Math" w:hAnsi="Cambria Math"/>
                </w:rPr>
                <m:t>*</m:t>
              </m:r>
              <m:f>
                <m:fPr>
                  <m:ctrlPr>
                    <w:rPr>
                      <w:rFonts w:ascii="Cambria Math" w:hAnsi="Cambria Math"/>
                      <w:i/>
                    </w:rPr>
                  </m:ctrlPr>
                </m:fPr>
                <m:num>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-γl</m:t>
                          </m:r>
                        </m:sup>
                      </m:sSup>
                    </m:e>
                  </m:d>
                </m:num>
                <m:den>
                  <m:r>
                    <w:rPr>
                      <w:rFonts w:ascii="Cambria Math" w:hAnsi="Cambria Math"/>
                    </w:rPr>
                    <m:t>γ</m:t>
                  </m:r>
                </m:den>
              </m:f>
              <m:r>
                <m:rPr>
                  <m:sty m:val="p"/>
                </m:rPr>
                <w:rPr>
                  <w:rFonts w:ascii="Cambria Math" w:hAnsi="Cambria Math"/>
                </w:rPr>
                <m:t xml:space="preserve">   </m:t>
              </m:r>
            </m:e>
          </m:d>
          <m:r>
            <w:rPr>
              <w:rFonts w:ascii="Cambria Math" w:hAnsi="Cambria Math"/>
            </w:rPr>
            <m:t xml:space="preserve">∆(0) </m:t>
          </m:r>
        </m:oMath>
      </m:oMathPara>
    </w:p>
    <w:p w14:paraId="0EDE824A" w14:textId="77777777" w:rsidR="0024051E" w:rsidRPr="00BF4711" w:rsidRDefault="0024051E" w:rsidP="0026028D">
      <w:pPr>
        <w:contextualSpacing/>
      </w:pPr>
    </w:p>
    <w:p w14:paraId="09390184" w14:textId="77777777" w:rsidR="0024051E" w:rsidRPr="00BF4711" w:rsidRDefault="0024051E" w:rsidP="0026028D">
      <w:pPr>
        <w:contextualSpacing/>
      </w:pPr>
    </w:p>
    <w:p w14:paraId="6AFBD401" w14:textId="0032E0F1" w:rsidR="0024051E" w:rsidRPr="00BF4711" w:rsidRDefault="0024051E" w:rsidP="0026028D">
      <w:pPr>
        <w:contextualSpacing/>
      </w:pPr>
      <m:oMathPara>
        <m:oMath>
          <m:r>
            <w:rPr>
              <w:rFonts w:ascii="Cambria Math" w:hAnsi="Cambria Math"/>
            </w:rPr>
            <m:t>∆</m:t>
          </m:r>
          <m:d>
            <m:dPr>
              <m:ctrlPr>
                <w:rPr>
                  <w:rFonts w:ascii="Cambria Math" w:hAnsi="Cambria Math"/>
                  <w:i/>
                </w:rPr>
              </m:ctrlPr>
            </m:dPr>
            <m:e>
              <m:r>
                <w:rPr>
                  <w:rFonts w:ascii="Cambria Math" w:hAnsi="Cambria Math"/>
                </w:rPr>
                <m:t>0</m:t>
              </m:r>
            </m:e>
          </m:d>
          <m:r>
            <w:rPr>
              <w:rFonts w:ascii="Cambria Math" w:hAnsi="Cambria Math"/>
            </w:rPr>
            <m:t xml:space="preserve">= </m:t>
          </m:r>
          <m:f>
            <m:fPr>
              <m:ctrlPr>
                <w:rPr>
                  <w:rFonts w:ascii="Cambria Math" w:hAnsi="Cambria Math"/>
                  <w:i/>
                </w:rPr>
              </m:ctrlPr>
            </m:fPr>
            <m:num>
              <m:sSub>
                <m:sSubPr>
                  <m:ctrlPr>
                    <w:rPr>
                      <w:rFonts w:ascii="Cambria Math" w:hAnsi="Cambria Math"/>
                      <w:i/>
                    </w:rPr>
                  </m:ctrlPr>
                </m:sSubPr>
                <m:e>
                  <m:r>
                    <w:rPr>
                      <w:rFonts w:ascii="Cambria Math" w:hAnsi="Cambria Math"/>
                    </w:rPr>
                    <m:t>c</m:t>
                  </m:r>
                </m:e>
                <m:sub>
                  <m:r>
                    <w:rPr>
                      <w:rFonts w:ascii="Cambria Math" w:hAnsi="Cambria Math"/>
                    </w:rPr>
                    <m:t>bi</m:t>
                  </m:r>
                </m:sub>
              </m:sSub>
              <m:r>
                <w:rPr>
                  <w:rFonts w:ascii="Cambria Math" w:hAnsi="Cambria Math"/>
                </w:rPr>
                <m:t xml:space="preserve">- </m:t>
              </m:r>
              <m:sSub>
                <m:sSubPr>
                  <m:ctrlPr>
                    <w:rPr>
                      <w:rFonts w:ascii="Cambria Math" w:hAnsi="Cambria Math"/>
                      <w:i/>
                    </w:rPr>
                  </m:ctrlPr>
                </m:sSubPr>
                <m:e>
                  <m:r>
                    <w:rPr>
                      <w:rFonts w:ascii="Cambria Math" w:hAnsi="Cambria Math"/>
                    </w:rPr>
                    <m:t>c</m:t>
                  </m:r>
                </m:e>
                <m:sub>
                  <m:r>
                    <w:rPr>
                      <w:rFonts w:ascii="Cambria Math" w:hAnsi="Cambria Math"/>
                    </w:rPr>
                    <m:t>di</m:t>
                  </m:r>
                </m:sub>
              </m:sSub>
            </m:num>
            <m:den>
              <m:d>
                <m:dPr>
                  <m:ctrlPr>
                    <w:rPr>
                      <w:rFonts w:ascii="Cambria Math" w:hAnsi="Cambria Math"/>
                      <w:i/>
                    </w:rPr>
                  </m:ctrlPr>
                </m:dPr>
                <m:e>
                  <m:r>
                    <w:rPr>
                      <w:rFonts w:ascii="Cambria Math" w:hAnsi="Cambria Math"/>
                    </w:rPr>
                    <m:t xml:space="preserve">1- </m:t>
                  </m:r>
                  <m:f>
                    <m:fPr>
                      <m:ctrlPr>
                        <w:rPr>
                          <w:rFonts w:ascii="Cambria Math" w:hAnsi="Cambria Math"/>
                          <w:i/>
                        </w:rPr>
                      </m:ctrlPr>
                    </m:fPr>
                    <m:num>
                      <m:sSub>
                        <m:sSubPr>
                          <m:ctrlPr>
                            <w:rPr>
                              <w:rFonts w:ascii="Cambria Math" w:eastAsiaTheme="minorHAnsi" w:hAnsi="Cambria Math"/>
                              <w:i/>
                            </w:rPr>
                          </m:ctrlPr>
                        </m:sSubPr>
                        <m:e>
                          <m:r>
                            <w:rPr>
                              <w:rFonts w:ascii="Cambria Math" w:hAnsi="Cambria Math"/>
                            </w:rPr>
                            <m:t>K</m:t>
                          </m:r>
                        </m:e>
                        <m:sub>
                          <m:r>
                            <w:rPr>
                              <w:rFonts w:ascii="Cambria Math" w:hAnsi="Cambria Math"/>
                            </w:rPr>
                            <m:t>0</m:t>
                          </m:r>
                        </m:sub>
                      </m:sSub>
                      <m:r>
                        <w:rPr>
                          <w:rFonts w:ascii="Cambria Math" w:hAnsi="Cambria Math"/>
                        </w:rPr>
                        <m:t>aσ</m:t>
                      </m:r>
                    </m:num>
                    <m:den>
                      <m:sSub>
                        <m:sSubPr>
                          <m:ctrlPr>
                            <w:rPr>
                              <w:rFonts w:ascii="Cambria Math" w:hAnsi="Cambria Math"/>
                              <w:i/>
                            </w:rPr>
                          </m:ctrlPr>
                        </m:sSubPr>
                        <m:e>
                          <m:r>
                            <w:rPr>
                              <w:rFonts w:ascii="Cambria Math" w:hAnsi="Cambria Math"/>
                            </w:rPr>
                            <m:t>Q</m:t>
                          </m:r>
                        </m:e>
                        <m:sub>
                          <m:r>
                            <w:rPr>
                              <w:rFonts w:ascii="Cambria Math" w:hAnsi="Cambria Math"/>
                            </w:rPr>
                            <m:t>d</m:t>
                          </m:r>
                        </m:sub>
                      </m:sSub>
                    </m:den>
                  </m:f>
                  <m:r>
                    <w:rPr>
                      <w:rFonts w:ascii="Cambria Math" w:hAnsi="Cambria Math"/>
                    </w:rPr>
                    <m:t>*</m:t>
                  </m:r>
                  <m:f>
                    <m:fPr>
                      <m:ctrlPr>
                        <w:rPr>
                          <w:rFonts w:ascii="Cambria Math" w:hAnsi="Cambria Math"/>
                          <w:i/>
                        </w:rPr>
                      </m:ctrlPr>
                    </m:fPr>
                    <m:num>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-γl</m:t>
                              </m:r>
                            </m:sup>
                          </m:sSup>
                        </m:e>
                      </m:d>
                    </m:num>
                    <m:den>
                      <m:r>
                        <w:rPr>
                          <w:rFonts w:ascii="Cambria Math" w:hAnsi="Cambria Math"/>
                        </w:rPr>
                        <m:t>γ</m:t>
                      </m:r>
                    </m:den>
                  </m:f>
                  <m:r>
                    <m:rPr>
                      <m:sty m:val="p"/>
                    </m:rPr>
                    <w:rPr>
                      <w:rFonts w:ascii="Cambria Math" w:hAnsi="Cambria Math"/>
                    </w:rPr>
                    <m:t xml:space="preserve">   </m:t>
                  </m:r>
                </m:e>
              </m:d>
            </m:den>
          </m:f>
        </m:oMath>
      </m:oMathPara>
    </w:p>
    <w:p w14:paraId="31CA6396" w14:textId="77777777" w:rsidR="00DF3CA1" w:rsidRPr="00BF4711" w:rsidRDefault="00DF3CA1" w:rsidP="0026028D">
      <w:pPr>
        <w:contextualSpacing/>
      </w:pPr>
    </w:p>
    <w:p w14:paraId="3C5B2FC2" w14:textId="77777777" w:rsidR="0024051E" w:rsidRPr="00BF4711" w:rsidRDefault="0024051E" w:rsidP="0026028D">
      <w:pPr>
        <w:contextualSpacing/>
        <w:rPr>
          <w:b/>
        </w:rPr>
      </w:pPr>
      <w:r w:rsidRPr="00BF4711">
        <w:rPr>
          <w:b/>
        </w:rPr>
        <w:t>Appendix B: Proportionality of blood outlet concentration to inlet concentration</w:t>
      </w:r>
    </w:p>
    <w:p w14:paraId="1143FD25" w14:textId="77777777" w:rsidR="005B0675" w:rsidRPr="00BF4711" w:rsidRDefault="005B0675" w:rsidP="0026028D">
      <w:pPr>
        <w:contextualSpacing/>
        <w:rPr>
          <w:b/>
        </w:rPr>
      </w:pPr>
    </w:p>
    <w:p w14:paraId="78533BD8" w14:textId="4828D4F7" w:rsidR="00F5527B" w:rsidRPr="00BF4711" w:rsidRDefault="00F5527B" w:rsidP="0026028D">
      <w:pPr>
        <w:contextualSpacing/>
      </w:pPr>
      <w:r w:rsidRPr="00BF4711">
        <w:t>Equation (7) and (8) states that, the initial condition for concentration gradient is a linear combination of the inlet concentration of the blood and dialysate</w:t>
      </w:r>
      <w:r w:rsidR="009F11D1" w:rsidRPr="00BF4711">
        <w:t xml:space="preserve"> </w:t>
      </w:r>
      <m:oMath>
        <m:sSub>
          <m:sSubPr>
            <m:ctrlPr>
              <w:rPr>
                <w:rFonts w:ascii="Cambria Math" w:hAnsi="Cambria Math"/>
                <w:i/>
              </w:rPr>
            </m:ctrlPr>
          </m:sSubPr>
          <m:e>
            <m:r>
              <w:rPr>
                <w:rFonts w:ascii="Cambria Math" w:hAnsi="Cambria Math"/>
              </w:rPr>
              <m:t>c</m:t>
            </m:r>
          </m:e>
          <m:sub>
            <m:r>
              <w:rPr>
                <w:rFonts w:ascii="Cambria Math" w:hAnsi="Cambria Math"/>
              </w:rPr>
              <m:t>bi</m:t>
            </m:r>
          </m:sub>
        </m:sSub>
        <m:r>
          <w:rPr>
            <w:rFonts w:ascii="Cambria Math" w:hAnsi="Cambria Math"/>
          </w:rPr>
          <m:t xml:space="preserve">,  and </m:t>
        </m:r>
        <m:sSub>
          <m:sSubPr>
            <m:ctrlPr>
              <w:rPr>
                <w:rFonts w:ascii="Cambria Math" w:hAnsi="Cambria Math"/>
                <w:i/>
              </w:rPr>
            </m:ctrlPr>
          </m:sSubPr>
          <m:e>
            <m:r>
              <w:rPr>
                <w:rFonts w:ascii="Cambria Math" w:hAnsi="Cambria Math"/>
              </w:rPr>
              <m:t>c</m:t>
            </m:r>
          </m:e>
          <m:sub>
            <m:r>
              <w:rPr>
                <w:rFonts w:ascii="Cambria Math" w:hAnsi="Cambria Math"/>
              </w:rPr>
              <m:t>di</m:t>
            </m:r>
          </m:sub>
        </m:sSub>
      </m:oMath>
      <w:r w:rsidR="009F11D1" w:rsidRPr="00BF4711">
        <w:t xml:space="preserve">.                                                                          </w:t>
      </w:r>
    </w:p>
    <w:p w14:paraId="59EB79D6" w14:textId="1333852B" w:rsidR="00F5527B" w:rsidRPr="00BF4711" w:rsidRDefault="00F5527B" w:rsidP="0026028D">
      <w:pPr>
        <w:contextualSpacing/>
      </w:pPr>
    </w:p>
    <w:p w14:paraId="39ADF7BC" w14:textId="4055BA36" w:rsidR="005B0675" w:rsidRPr="00BF4711" w:rsidRDefault="00F5527B" w:rsidP="0026028D">
      <w:pPr>
        <w:contextualSpacing/>
        <w:jc w:val="center"/>
      </w:pPr>
      <m:oMath>
        <m:r>
          <w:rPr>
            <w:rFonts w:ascii="Cambria Math" w:hAnsi="Cambria Math"/>
          </w:rPr>
          <m:t>∆</m:t>
        </m:r>
        <m:d>
          <m:dPr>
            <m:ctrlPr>
              <w:rPr>
                <w:rFonts w:ascii="Cambria Math" w:hAnsi="Cambria Math"/>
                <w:i/>
              </w:rPr>
            </m:ctrlPr>
          </m:dPr>
          <m:e>
            <m:r>
              <w:rPr>
                <w:rFonts w:ascii="Cambria Math" w:hAnsi="Cambria Math"/>
              </w:rPr>
              <m:t>0</m:t>
            </m:r>
          </m:e>
        </m:d>
        <m:r>
          <w:rPr>
            <w:rFonts w:ascii="Cambria Math" w:hAnsi="Cambria Math"/>
          </w:rPr>
          <m:t>= α</m:t>
        </m:r>
        <m:sSub>
          <m:sSubPr>
            <m:ctrlPr>
              <w:rPr>
                <w:rFonts w:ascii="Cambria Math" w:hAnsi="Cambria Math"/>
                <w:i/>
              </w:rPr>
            </m:ctrlPr>
          </m:sSubPr>
          <m:e>
            <m:r>
              <w:rPr>
                <w:rFonts w:ascii="Cambria Math" w:hAnsi="Cambria Math"/>
              </w:rPr>
              <m:t>c</m:t>
            </m:r>
          </m:e>
          <m:sub>
            <m:r>
              <w:rPr>
                <w:rFonts w:ascii="Cambria Math" w:hAnsi="Cambria Math"/>
              </w:rPr>
              <m:t>bi</m:t>
            </m:r>
          </m:sub>
        </m:sSub>
        <m:r>
          <w:rPr>
            <w:rFonts w:ascii="Cambria Math" w:hAnsi="Cambria Math"/>
          </w:rPr>
          <m:t>+ β</m:t>
        </m:r>
        <m:sSub>
          <m:sSubPr>
            <m:ctrlPr>
              <w:rPr>
                <w:rFonts w:ascii="Cambria Math" w:hAnsi="Cambria Math"/>
                <w:i/>
              </w:rPr>
            </m:ctrlPr>
          </m:sSubPr>
          <m:e>
            <m:r>
              <w:rPr>
                <w:rFonts w:ascii="Cambria Math" w:hAnsi="Cambria Math"/>
              </w:rPr>
              <m:t>c</m:t>
            </m:r>
          </m:e>
          <m:sub>
            <m:r>
              <w:rPr>
                <w:rFonts w:ascii="Cambria Math" w:hAnsi="Cambria Math"/>
              </w:rPr>
              <m:t>di</m:t>
            </m:r>
          </m:sub>
        </m:sSub>
      </m:oMath>
      <w:r w:rsidRPr="00BF4711">
        <w:t xml:space="preserve">                                          </w:t>
      </w:r>
      <w:r w:rsidR="007010DF" w:rsidRPr="00BF4711">
        <w:t xml:space="preserve">     </w:t>
      </w:r>
      <w:r w:rsidRPr="00BF4711">
        <w:t xml:space="preserve">               </w:t>
      </w:r>
      <w:r w:rsidR="007179C1" w:rsidRPr="00BF4711">
        <w:t xml:space="preserve"> </w:t>
      </w:r>
      <w:r w:rsidRPr="00BF4711">
        <w:t>(15)</w:t>
      </w:r>
    </w:p>
    <w:p w14:paraId="460922D2" w14:textId="77777777" w:rsidR="009F11D1" w:rsidRPr="00BF4711" w:rsidRDefault="009F11D1" w:rsidP="0026028D">
      <w:pPr>
        <w:contextualSpacing/>
      </w:pPr>
      <w:r w:rsidRPr="00BF4711">
        <w:t>Where:</w:t>
      </w:r>
    </w:p>
    <w:p w14:paraId="6789AB01" w14:textId="77777777" w:rsidR="009F11D1" w:rsidRPr="00BF4711" w:rsidRDefault="009F11D1" w:rsidP="0026028D">
      <w:pPr>
        <w:contextualSpacing/>
      </w:pPr>
      <m:oMath>
        <m:r>
          <w:rPr>
            <w:rFonts w:ascii="Cambria Math" w:hAnsi="Cambria Math"/>
          </w:rPr>
          <m:t>α and β are some constant</m:t>
        </m:r>
      </m:oMath>
      <w:r w:rsidRPr="00BF4711">
        <w:t>s.</w:t>
      </w:r>
    </w:p>
    <w:p w14:paraId="2772219A" w14:textId="77777777" w:rsidR="009F11D1" w:rsidRPr="00BF4711" w:rsidRDefault="009F11D1" w:rsidP="0026028D">
      <w:pPr>
        <w:contextualSpacing/>
      </w:pPr>
    </w:p>
    <w:p w14:paraId="607FDB6C" w14:textId="77777777" w:rsidR="009F11D1" w:rsidRPr="00BF4711" w:rsidRDefault="007010DF" w:rsidP="0026028D">
      <w:pPr>
        <w:contextualSpacing/>
        <w:jc w:val="both"/>
      </w:pPr>
      <w:r w:rsidRPr="00BF4711">
        <w:t>Equation (14) indicates that the difference between the inlet and outlet concentrations of the dialysate is proportional to the initial concentration gradient. By conservation of solute, the same reasoning applies to the blood stream. Therefore, the difference between the inlet and outlet blood concentrations can be written as</w:t>
      </w:r>
    </w:p>
    <w:p w14:paraId="2411AD35" w14:textId="53CF4600" w:rsidR="009F11D1" w:rsidRPr="00BF4711" w:rsidRDefault="00000000" w:rsidP="0026028D">
      <w:pPr>
        <w:contextualSpacing/>
        <w:jc w:val="center"/>
      </w:pPr>
      <m:oMath>
        <m:sSub>
          <m:sSubPr>
            <m:ctrlPr>
              <w:rPr>
                <w:rFonts w:ascii="Cambria Math" w:hAnsi="Cambria Math"/>
                <w:i/>
              </w:rPr>
            </m:ctrlPr>
          </m:sSubPr>
          <m:e>
            <m:r>
              <w:rPr>
                <w:rFonts w:ascii="Cambria Math" w:hAnsi="Cambria Math"/>
              </w:rPr>
              <m:t>c</m:t>
            </m:r>
          </m:e>
          <m:sub>
            <m:r>
              <w:rPr>
                <w:rFonts w:ascii="Cambria Math" w:hAnsi="Cambria Math"/>
              </w:rPr>
              <m:t>bi</m:t>
            </m:r>
          </m:sub>
        </m:sSub>
        <m:r>
          <w:rPr>
            <w:rFonts w:ascii="Cambria Math" w:hAnsi="Cambria Math"/>
          </w:rPr>
          <m:t xml:space="preserve">- </m:t>
        </m:r>
        <m:sSub>
          <m:sSubPr>
            <m:ctrlPr>
              <w:rPr>
                <w:rFonts w:ascii="Cambria Math" w:hAnsi="Cambria Math"/>
                <w:i/>
              </w:rPr>
            </m:ctrlPr>
          </m:sSubPr>
          <m:e>
            <m:r>
              <w:rPr>
                <w:rFonts w:ascii="Cambria Math" w:hAnsi="Cambria Math"/>
              </w:rPr>
              <m:t>c</m:t>
            </m:r>
          </m:e>
          <m:sub>
            <m:r>
              <w:rPr>
                <w:rFonts w:ascii="Cambria Math" w:hAnsi="Cambria Math"/>
              </w:rPr>
              <m:t>bo</m:t>
            </m:r>
          </m:sub>
        </m:sSub>
        <m:r>
          <w:rPr>
            <w:rFonts w:ascii="Cambria Math" w:hAnsi="Cambria Math"/>
          </w:rPr>
          <m:t>= θ</m:t>
        </m:r>
        <m:sSub>
          <m:sSubPr>
            <m:ctrlPr>
              <w:rPr>
                <w:rFonts w:ascii="Cambria Math" w:hAnsi="Cambria Math"/>
                <w:i/>
              </w:rPr>
            </m:ctrlPr>
          </m:sSubPr>
          <m:e>
            <m:r>
              <w:rPr>
                <w:rFonts w:ascii="Cambria Math" w:hAnsi="Cambria Math"/>
              </w:rPr>
              <m:t>c</m:t>
            </m:r>
          </m:e>
          <m:sub>
            <m:r>
              <w:rPr>
                <w:rFonts w:ascii="Cambria Math" w:hAnsi="Cambria Math"/>
              </w:rPr>
              <m:t>bi</m:t>
            </m:r>
          </m:sub>
        </m:sSub>
        <m:r>
          <w:rPr>
            <w:rFonts w:ascii="Cambria Math" w:hAnsi="Cambria Math"/>
          </w:rPr>
          <m:t>+ μ</m:t>
        </m:r>
        <m:sSub>
          <m:sSubPr>
            <m:ctrlPr>
              <w:rPr>
                <w:rFonts w:ascii="Cambria Math" w:hAnsi="Cambria Math"/>
                <w:i/>
              </w:rPr>
            </m:ctrlPr>
          </m:sSubPr>
          <m:e>
            <m:r>
              <w:rPr>
                <w:rFonts w:ascii="Cambria Math" w:hAnsi="Cambria Math"/>
              </w:rPr>
              <m:t>c</m:t>
            </m:r>
          </m:e>
          <m:sub>
            <m:r>
              <w:rPr>
                <w:rFonts w:ascii="Cambria Math" w:hAnsi="Cambria Math"/>
              </w:rPr>
              <m:t>di</m:t>
            </m:r>
          </m:sub>
        </m:sSub>
        <m:r>
          <w:rPr>
            <w:rFonts w:ascii="Cambria Math" w:hAnsi="Cambria Math"/>
          </w:rPr>
          <m:t xml:space="preserve"> </m:t>
        </m:r>
      </m:oMath>
      <w:r w:rsidR="009F11D1" w:rsidRPr="00BF4711">
        <w:t xml:space="preserve">                                                               (16)</w:t>
      </w:r>
    </w:p>
    <w:p w14:paraId="18BDEC9E" w14:textId="77777777" w:rsidR="007010DF" w:rsidRPr="00BF4711" w:rsidRDefault="007010DF" w:rsidP="0026028D">
      <w:pPr>
        <w:contextualSpacing/>
        <w:jc w:val="center"/>
      </w:pPr>
    </w:p>
    <w:p w14:paraId="492B2484" w14:textId="77777777" w:rsidR="00F5527B" w:rsidRPr="00BF4711" w:rsidRDefault="007010DF" w:rsidP="0026028D">
      <w:pPr>
        <w:contextualSpacing/>
      </w:pPr>
      <w:r w:rsidRPr="00BF4711">
        <w:t>w</w:t>
      </w:r>
      <w:r w:rsidR="009F11D1" w:rsidRPr="00BF4711">
        <w:t>here</w:t>
      </w:r>
      <w:r w:rsidRPr="00BF4711">
        <w:t xml:space="preserve"> </w:t>
      </w:r>
      <m:oMath>
        <m:r>
          <w:rPr>
            <w:rFonts w:ascii="Cambria Math" w:hAnsi="Cambria Math"/>
          </w:rPr>
          <m:t>μ and θ are some constant</m:t>
        </m:r>
      </m:oMath>
      <w:r w:rsidR="009F11D1" w:rsidRPr="00BF4711">
        <w:t>s.</w:t>
      </w:r>
    </w:p>
    <w:p w14:paraId="1724C1DC" w14:textId="77777777" w:rsidR="009F11D1" w:rsidRPr="00BF4711" w:rsidRDefault="007010DF" w:rsidP="0026028D">
      <w:pPr>
        <w:contextualSpacing/>
        <w:jc w:val="both"/>
      </w:pPr>
      <w:r w:rsidRPr="00BF4711">
        <w:t>Rearranging equation (16), the outlet blood concentration can be expressed as a linear combination of the inlet concentrations:</w:t>
      </w:r>
    </w:p>
    <w:p w14:paraId="782DC998" w14:textId="38F56EC7" w:rsidR="009F11D1" w:rsidRPr="00BF4711" w:rsidRDefault="00000000" w:rsidP="0026028D">
      <w:pPr>
        <w:contextualSpacing/>
        <w:jc w:val="center"/>
      </w:pPr>
      <m:oMath>
        <m:sSub>
          <m:sSubPr>
            <m:ctrlPr>
              <w:rPr>
                <w:rFonts w:ascii="Cambria Math" w:hAnsi="Cambria Math"/>
                <w:i/>
              </w:rPr>
            </m:ctrlPr>
          </m:sSubPr>
          <m:e>
            <m:r>
              <w:rPr>
                <w:rFonts w:ascii="Cambria Math" w:hAnsi="Cambria Math"/>
              </w:rPr>
              <m:t>c</m:t>
            </m:r>
          </m:e>
          <m:sub>
            <m:r>
              <w:rPr>
                <w:rFonts w:ascii="Cambria Math" w:hAnsi="Cambria Math"/>
              </w:rPr>
              <m:t>bo</m:t>
            </m:r>
          </m:sub>
        </m:sSub>
        <m:r>
          <w:rPr>
            <w:rFonts w:ascii="Cambria Math" w:hAnsi="Cambria Math"/>
          </w:rPr>
          <m:t>= ϑ</m:t>
        </m:r>
        <m:sSub>
          <m:sSubPr>
            <m:ctrlPr>
              <w:rPr>
                <w:rFonts w:ascii="Cambria Math" w:hAnsi="Cambria Math"/>
                <w:i/>
              </w:rPr>
            </m:ctrlPr>
          </m:sSubPr>
          <m:e>
            <m:r>
              <w:rPr>
                <w:rFonts w:ascii="Cambria Math" w:hAnsi="Cambria Math"/>
              </w:rPr>
              <m:t>c</m:t>
            </m:r>
          </m:e>
          <m:sub>
            <m:r>
              <w:rPr>
                <w:rFonts w:ascii="Cambria Math" w:hAnsi="Cambria Math"/>
              </w:rPr>
              <m:t>bi</m:t>
            </m:r>
          </m:sub>
        </m:sSub>
        <m:r>
          <w:rPr>
            <w:rFonts w:ascii="Cambria Math" w:hAnsi="Cambria Math"/>
          </w:rPr>
          <m:t>+ μ</m:t>
        </m:r>
        <m:sSub>
          <m:sSubPr>
            <m:ctrlPr>
              <w:rPr>
                <w:rFonts w:ascii="Cambria Math" w:hAnsi="Cambria Math"/>
                <w:i/>
              </w:rPr>
            </m:ctrlPr>
          </m:sSubPr>
          <m:e>
            <m:r>
              <w:rPr>
                <w:rFonts w:ascii="Cambria Math" w:hAnsi="Cambria Math"/>
              </w:rPr>
              <m:t>c</m:t>
            </m:r>
          </m:e>
          <m:sub>
            <m:r>
              <w:rPr>
                <w:rFonts w:ascii="Cambria Math" w:hAnsi="Cambria Math"/>
              </w:rPr>
              <m:t>di</m:t>
            </m:r>
          </m:sub>
        </m:sSub>
      </m:oMath>
      <w:r w:rsidR="007010DF" w:rsidRPr="00BF4711">
        <w:t xml:space="preserve">                                                                          (17)</w:t>
      </w:r>
    </w:p>
    <w:p w14:paraId="29CE110A" w14:textId="77777777" w:rsidR="009F11D1" w:rsidRPr="00BF4711" w:rsidRDefault="007010DF" w:rsidP="0026028D">
      <w:pPr>
        <w:contextualSpacing/>
      </w:pPr>
      <w:r w:rsidRPr="00BF4711">
        <w:t>w</w:t>
      </w:r>
      <w:r w:rsidR="009F11D1" w:rsidRPr="00BF4711">
        <w:t>here</w:t>
      </w:r>
      <w:r w:rsidRPr="00BF4711">
        <w:t xml:space="preserve"> </w:t>
      </w:r>
      <w:r w:rsidR="009F11D1" w:rsidRPr="00BF4711">
        <w:t xml:space="preserve">μ and </w:t>
      </w:r>
      <m:oMath>
        <m:r>
          <w:rPr>
            <w:rFonts w:ascii="Cambria Math" w:hAnsi="Cambria Math"/>
          </w:rPr>
          <m:t>ϑ</m:t>
        </m:r>
      </m:oMath>
      <w:r w:rsidR="009F11D1" w:rsidRPr="00BF4711">
        <w:t xml:space="preserve"> are some constants.</w:t>
      </w:r>
    </w:p>
    <w:p w14:paraId="61708832" w14:textId="77777777" w:rsidR="007010DF" w:rsidRPr="00BF4711" w:rsidRDefault="007010DF" w:rsidP="0026028D">
      <w:pPr>
        <w:contextualSpacing/>
      </w:pPr>
      <w:r w:rsidRPr="00BF4711">
        <w:t xml:space="preserve">In most dialysis setting </w:t>
      </w:r>
      <m:oMath>
        <m:sSub>
          <m:sSubPr>
            <m:ctrlPr>
              <w:rPr>
                <w:rFonts w:ascii="Cambria Math" w:hAnsi="Cambria Math"/>
                <w:i/>
              </w:rPr>
            </m:ctrlPr>
          </m:sSubPr>
          <m:e>
            <m:r>
              <w:rPr>
                <w:rFonts w:ascii="Cambria Math" w:hAnsi="Cambria Math"/>
              </w:rPr>
              <m:t>c</m:t>
            </m:r>
          </m:e>
          <m:sub>
            <m:r>
              <w:rPr>
                <w:rFonts w:ascii="Cambria Math" w:hAnsi="Cambria Math"/>
              </w:rPr>
              <m:t>di</m:t>
            </m:r>
          </m:sub>
        </m:sSub>
        <m:r>
          <w:rPr>
            <w:rFonts w:ascii="Cambria Math" w:hAnsi="Cambria Math"/>
          </w:rPr>
          <m:t xml:space="preserve">≪ </m:t>
        </m:r>
        <m:sSub>
          <m:sSubPr>
            <m:ctrlPr>
              <w:rPr>
                <w:rFonts w:ascii="Cambria Math" w:hAnsi="Cambria Math"/>
                <w:i/>
              </w:rPr>
            </m:ctrlPr>
          </m:sSubPr>
          <m:e>
            <m:r>
              <w:rPr>
                <w:rFonts w:ascii="Cambria Math" w:hAnsi="Cambria Math"/>
              </w:rPr>
              <m:t>c</m:t>
            </m:r>
          </m:e>
          <m:sub>
            <m:r>
              <w:rPr>
                <w:rFonts w:ascii="Cambria Math" w:hAnsi="Cambria Math"/>
              </w:rPr>
              <m:t>bi</m:t>
            </m:r>
          </m:sub>
        </m:sSub>
        <m:r>
          <w:rPr>
            <w:rFonts w:ascii="Cambria Math" w:hAnsi="Cambria Math"/>
          </w:rPr>
          <m:t xml:space="preserve"> </m:t>
        </m:r>
      </m:oMath>
      <w:r w:rsidRPr="00BF4711">
        <w:t xml:space="preserve">. So, for the sake of simplicity, we can safely set it to zero. </w:t>
      </w:r>
    </w:p>
    <w:p w14:paraId="6E2DF35F" w14:textId="77777777" w:rsidR="007010DF" w:rsidRPr="00BF4711" w:rsidRDefault="007010DF" w:rsidP="0026028D">
      <w:pPr>
        <w:contextualSpacing/>
      </w:pPr>
      <w:r w:rsidRPr="00BF4711">
        <w:t>That reduces equation (17), to</w:t>
      </w:r>
    </w:p>
    <w:p w14:paraId="73DE7D91" w14:textId="77777777" w:rsidR="007010DF" w:rsidRPr="00BF4711" w:rsidRDefault="00000000" w:rsidP="0026028D">
      <w:pPr>
        <w:contextualSpacing/>
      </w:pPr>
      <m:oMathPara>
        <m:oMath>
          <m:sSub>
            <m:sSubPr>
              <m:ctrlPr>
                <w:rPr>
                  <w:rFonts w:ascii="Cambria Math" w:hAnsi="Cambria Math"/>
                  <w:i/>
                </w:rPr>
              </m:ctrlPr>
            </m:sSubPr>
            <m:e>
              <m:r>
                <w:rPr>
                  <w:rFonts w:ascii="Cambria Math" w:hAnsi="Cambria Math"/>
                </w:rPr>
                <m:t>c</m:t>
              </m:r>
            </m:e>
            <m:sub>
              <m:r>
                <w:rPr>
                  <w:rFonts w:ascii="Cambria Math" w:hAnsi="Cambria Math"/>
                </w:rPr>
                <m:t>bo</m:t>
              </m:r>
            </m:sub>
          </m:sSub>
          <m:r>
            <w:rPr>
              <w:rFonts w:ascii="Cambria Math" w:hAnsi="Cambria Math"/>
            </w:rPr>
            <m:t>= ϑ</m:t>
          </m:r>
          <m:sSub>
            <m:sSubPr>
              <m:ctrlPr>
                <w:rPr>
                  <w:rFonts w:ascii="Cambria Math" w:hAnsi="Cambria Math"/>
                  <w:i/>
                </w:rPr>
              </m:ctrlPr>
            </m:sSubPr>
            <m:e>
              <m:r>
                <w:rPr>
                  <w:rFonts w:ascii="Cambria Math" w:hAnsi="Cambria Math"/>
                </w:rPr>
                <m:t>c</m:t>
              </m:r>
            </m:e>
            <m:sub>
              <m:r>
                <w:rPr>
                  <w:rFonts w:ascii="Cambria Math" w:hAnsi="Cambria Math"/>
                </w:rPr>
                <m:t>bi</m:t>
              </m:r>
            </m:sub>
          </m:sSub>
        </m:oMath>
      </m:oMathPara>
    </w:p>
    <w:p w14:paraId="569BBBE8" w14:textId="44CB9D98" w:rsidR="009F11D1" w:rsidRPr="00BF4711" w:rsidRDefault="007010DF" w:rsidP="0026028D">
      <w:pPr>
        <w:contextualSpacing/>
      </w:pPr>
      <w:r w:rsidRPr="00BF4711">
        <w:t>This result establishes the proportional relationship between the outlet and inlet blood concentrations assumed in the model.</w:t>
      </w:r>
      <w:r w:rsidR="009F11D1" w:rsidRPr="00BF4711">
        <w:t xml:space="preserve"> </w:t>
      </w:r>
    </w:p>
    <w:sectPr w:rsidR="009F11D1" w:rsidRPr="00BF4711" w:rsidSect="00D56E8C">
      <w:footerReference w:type="default" r:id="rId25"/>
      <w:pgSz w:w="12240" w:h="15840"/>
      <w:pgMar w:top="1440" w:right="1080" w:bottom="1440"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9D7101" w14:textId="77777777" w:rsidR="00AB7480" w:rsidRDefault="00AB7480" w:rsidP="00043DE9">
      <w:r>
        <w:separator/>
      </w:r>
    </w:p>
  </w:endnote>
  <w:endnote w:type="continuationSeparator" w:id="0">
    <w:p w14:paraId="32F25FE9" w14:textId="77777777" w:rsidR="00AB7480" w:rsidRDefault="00AB7480" w:rsidP="00043DE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egoe UI">
    <w:altName w:val="Arial"/>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81983224"/>
      <w:docPartObj>
        <w:docPartGallery w:val="Page Numbers (Bottom of Page)"/>
        <w:docPartUnique/>
      </w:docPartObj>
    </w:sdtPr>
    <w:sdtContent>
      <w:sdt>
        <w:sdtPr>
          <w:id w:val="-1769616900"/>
          <w:docPartObj>
            <w:docPartGallery w:val="Page Numbers (Top of Page)"/>
            <w:docPartUnique/>
          </w:docPartObj>
        </w:sdtPr>
        <w:sdtContent>
          <w:p w14:paraId="6F28A372" w14:textId="6A82C062" w:rsidR="00AD4990" w:rsidRDefault="00AD4990">
            <w:pPr>
              <w:pStyle w:val="Footer"/>
              <w:jc w:val="right"/>
            </w:pPr>
            <w:r>
              <w:t xml:space="preserve">Page </w:t>
            </w:r>
            <w:r>
              <w:rPr>
                <w:b/>
                <w:bCs/>
              </w:rPr>
              <w:fldChar w:fldCharType="begin"/>
            </w:r>
            <w:r>
              <w:rPr>
                <w:b/>
                <w:bCs/>
              </w:rPr>
              <w:instrText xml:space="preserve"> PAGE </w:instrText>
            </w:r>
            <w:r>
              <w:rPr>
                <w:b/>
                <w:bCs/>
              </w:rPr>
              <w:fldChar w:fldCharType="separate"/>
            </w:r>
            <w:r>
              <w:rPr>
                <w:b/>
                <w:bCs/>
                <w:noProof/>
              </w:rPr>
              <w:t>2</w:t>
            </w:r>
            <w:r>
              <w:rPr>
                <w:b/>
                <w:bCs/>
              </w:rPr>
              <w:fldChar w:fldCharType="end"/>
            </w:r>
            <w:r>
              <w:t xml:space="preserve"> of </w:t>
            </w:r>
            <w:r>
              <w:rPr>
                <w:b/>
                <w:bCs/>
              </w:rPr>
              <w:fldChar w:fldCharType="begin"/>
            </w:r>
            <w:r>
              <w:rPr>
                <w:b/>
                <w:bCs/>
              </w:rPr>
              <w:instrText xml:space="preserve"> NUMPAGES  </w:instrText>
            </w:r>
            <w:r>
              <w:rPr>
                <w:b/>
                <w:bCs/>
              </w:rPr>
              <w:fldChar w:fldCharType="separate"/>
            </w:r>
            <w:r>
              <w:rPr>
                <w:b/>
                <w:bCs/>
                <w:noProof/>
              </w:rPr>
              <w:t>2</w:t>
            </w:r>
            <w:r>
              <w:rPr>
                <w:b/>
                <w:bCs/>
              </w:rPr>
              <w:fldChar w:fldCharType="end"/>
            </w:r>
          </w:p>
        </w:sdtContent>
      </w:sdt>
    </w:sdtContent>
  </w:sdt>
  <w:p w14:paraId="295F906E" w14:textId="77777777" w:rsidR="00AD4990" w:rsidRDefault="00AD499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796D15" w14:textId="77777777" w:rsidR="00AB7480" w:rsidRDefault="00AB7480" w:rsidP="00043DE9">
      <w:r>
        <w:separator/>
      </w:r>
    </w:p>
  </w:footnote>
  <w:footnote w:type="continuationSeparator" w:id="0">
    <w:p w14:paraId="32C6B13D" w14:textId="77777777" w:rsidR="00AB7480" w:rsidRDefault="00AB7480" w:rsidP="00043DE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701FE"/>
    <w:multiLevelType w:val="multilevel"/>
    <w:tmpl w:val="8B327A6E"/>
    <w:lvl w:ilvl="0">
      <w:start w:val="1"/>
      <w:numFmt w:val="decimal"/>
      <w:lvlText w:val="%1."/>
      <w:lvlJc w:val="left"/>
      <w:pPr>
        <w:ind w:left="720" w:hanging="36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09CD3A92"/>
    <w:multiLevelType w:val="multilevel"/>
    <w:tmpl w:val="E5C68958"/>
    <w:lvl w:ilvl="0">
      <w:start w:val="2"/>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48AD531E"/>
    <w:multiLevelType w:val="multilevel"/>
    <w:tmpl w:val="E5C68958"/>
    <w:lvl w:ilvl="0">
      <w:start w:val="2"/>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6C5A051E"/>
    <w:multiLevelType w:val="multilevel"/>
    <w:tmpl w:val="8B327A6E"/>
    <w:lvl w:ilvl="0">
      <w:start w:val="1"/>
      <w:numFmt w:val="decimal"/>
      <w:lvlText w:val="%1."/>
      <w:lvlJc w:val="left"/>
      <w:pPr>
        <w:ind w:left="720" w:hanging="36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num w:numId="1" w16cid:durableId="815412152">
    <w:abstractNumId w:val="0"/>
  </w:num>
  <w:num w:numId="2" w16cid:durableId="200440881">
    <w:abstractNumId w:val="2"/>
  </w:num>
  <w:num w:numId="3" w16cid:durableId="1649675271">
    <w:abstractNumId w:val="1"/>
  </w:num>
  <w:num w:numId="4" w16cid:durableId="10184683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1"/>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6D3B"/>
    <w:rsid w:val="0000425B"/>
    <w:rsid w:val="000065C3"/>
    <w:rsid w:val="000225CC"/>
    <w:rsid w:val="000241D1"/>
    <w:rsid w:val="00027E47"/>
    <w:rsid w:val="0003617B"/>
    <w:rsid w:val="00036F1B"/>
    <w:rsid w:val="00041C6F"/>
    <w:rsid w:val="000420BC"/>
    <w:rsid w:val="00042510"/>
    <w:rsid w:val="000437C7"/>
    <w:rsid w:val="00043DE9"/>
    <w:rsid w:val="00045229"/>
    <w:rsid w:val="000500D2"/>
    <w:rsid w:val="00052EA5"/>
    <w:rsid w:val="00053B93"/>
    <w:rsid w:val="0006228A"/>
    <w:rsid w:val="0006645E"/>
    <w:rsid w:val="0007029B"/>
    <w:rsid w:val="00070F28"/>
    <w:rsid w:val="00072088"/>
    <w:rsid w:val="00073BCE"/>
    <w:rsid w:val="00075ED4"/>
    <w:rsid w:val="00086BB0"/>
    <w:rsid w:val="00091495"/>
    <w:rsid w:val="00094784"/>
    <w:rsid w:val="000A0121"/>
    <w:rsid w:val="000A6CAC"/>
    <w:rsid w:val="000B0E21"/>
    <w:rsid w:val="000B6732"/>
    <w:rsid w:val="000C096D"/>
    <w:rsid w:val="000D194F"/>
    <w:rsid w:val="000D25A3"/>
    <w:rsid w:val="000D4251"/>
    <w:rsid w:val="000D5DE2"/>
    <w:rsid w:val="000E42D8"/>
    <w:rsid w:val="000F4186"/>
    <w:rsid w:val="000F4CE1"/>
    <w:rsid w:val="00101323"/>
    <w:rsid w:val="00105B4E"/>
    <w:rsid w:val="00107437"/>
    <w:rsid w:val="00110980"/>
    <w:rsid w:val="00111512"/>
    <w:rsid w:val="00115B70"/>
    <w:rsid w:val="0011653E"/>
    <w:rsid w:val="001219E9"/>
    <w:rsid w:val="001227D9"/>
    <w:rsid w:val="001378E1"/>
    <w:rsid w:val="00137FA7"/>
    <w:rsid w:val="00141D7D"/>
    <w:rsid w:val="001564CC"/>
    <w:rsid w:val="00157CEE"/>
    <w:rsid w:val="00164712"/>
    <w:rsid w:val="00172740"/>
    <w:rsid w:val="001732CF"/>
    <w:rsid w:val="00173AE7"/>
    <w:rsid w:val="00175803"/>
    <w:rsid w:val="00176087"/>
    <w:rsid w:val="00176131"/>
    <w:rsid w:val="001818BA"/>
    <w:rsid w:val="001851F5"/>
    <w:rsid w:val="00192095"/>
    <w:rsid w:val="001957EC"/>
    <w:rsid w:val="00196F09"/>
    <w:rsid w:val="001A234B"/>
    <w:rsid w:val="001A67CD"/>
    <w:rsid w:val="001B2463"/>
    <w:rsid w:val="001B3411"/>
    <w:rsid w:val="001B5743"/>
    <w:rsid w:val="001C238A"/>
    <w:rsid w:val="001C25D9"/>
    <w:rsid w:val="001C3490"/>
    <w:rsid w:val="001C54E9"/>
    <w:rsid w:val="001D022A"/>
    <w:rsid w:val="001E22BB"/>
    <w:rsid w:val="001E2FED"/>
    <w:rsid w:val="001E734D"/>
    <w:rsid w:val="001F63B5"/>
    <w:rsid w:val="002015CD"/>
    <w:rsid w:val="002041D3"/>
    <w:rsid w:val="00204465"/>
    <w:rsid w:val="00205815"/>
    <w:rsid w:val="0020711D"/>
    <w:rsid w:val="00214657"/>
    <w:rsid w:val="00214D13"/>
    <w:rsid w:val="0022543A"/>
    <w:rsid w:val="0022674D"/>
    <w:rsid w:val="002305D5"/>
    <w:rsid w:val="0024051E"/>
    <w:rsid w:val="00246FE2"/>
    <w:rsid w:val="002474CA"/>
    <w:rsid w:val="0025422C"/>
    <w:rsid w:val="00257840"/>
    <w:rsid w:val="0026028D"/>
    <w:rsid w:val="00260A4D"/>
    <w:rsid w:val="0026161C"/>
    <w:rsid w:val="002621C3"/>
    <w:rsid w:val="00263168"/>
    <w:rsid w:val="00264C6B"/>
    <w:rsid w:val="00266CB5"/>
    <w:rsid w:val="002719D7"/>
    <w:rsid w:val="002729E7"/>
    <w:rsid w:val="00273672"/>
    <w:rsid w:val="00276086"/>
    <w:rsid w:val="0028063A"/>
    <w:rsid w:val="0028448D"/>
    <w:rsid w:val="00287BB7"/>
    <w:rsid w:val="0029014C"/>
    <w:rsid w:val="0029238F"/>
    <w:rsid w:val="00293F49"/>
    <w:rsid w:val="002955E5"/>
    <w:rsid w:val="0029778D"/>
    <w:rsid w:val="00297A07"/>
    <w:rsid w:val="00297AF9"/>
    <w:rsid w:val="002A4D8C"/>
    <w:rsid w:val="002A6B71"/>
    <w:rsid w:val="002A73E7"/>
    <w:rsid w:val="002B2E7C"/>
    <w:rsid w:val="002C004E"/>
    <w:rsid w:val="002C1FD7"/>
    <w:rsid w:val="002C682C"/>
    <w:rsid w:val="002D428A"/>
    <w:rsid w:val="002E4203"/>
    <w:rsid w:val="002F1BB3"/>
    <w:rsid w:val="002F4442"/>
    <w:rsid w:val="002F4E5F"/>
    <w:rsid w:val="002F7605"/>
    <w:rsid w:val="00300D22"/>
    <w:rsid w:val="00305E9D"/>
    <w:rsid w:val="00306D3B"/>
    <w:rsid w:val="00314499"/>
    <w:rsid w:val="003157C8"/>
    <w:rsid w:val="0031602E"/>
    <w:rsid w:val="0032028B"/>
    <w:rsid w:val="00321901"/>
    <w:rsid w:val="00323E76"/>
    <w:rsid w:val="00325DA2"/>
    <w:rsid w:val="00333342"/>
    <w:rsid w:val="00334316"/>
    <w:rsid w:val="0033725D"/>
    <w:rsid w:val="00346D06"/>
    <w:rsid w:val="0035545B"/>
    <w:rsid w:val="00355677"/>
    <w:rsid w:val="00355754"/>
    <w:rsid w:val="00361DE0"/>
    <w:rsid w:val="00362CB6"/>
    <w:rsid w:val="0036390C"/>
    <w:rsid w:val="00364BB7"/>
    <w:rsid w:val="00374A52"/>
    <w:rsid w:val="003768AF"/>
    <w:rsid w:val="00383368"/>
    <w:rsid w:val="0038506A"/>
    <w:rsid w:val="003857E4"/>
    <w:rsid w:val="00386989"/>
    <w:rsid w:val="00391346"/>
    <w:rsid w:val="00394FBA"/>
    <w:rsid w:val="00395128"/>
    <w:rsid w:val="003A2AB4"/>
    <w:rsid w:val="003A6531"/>
    <w:rsid w:val="003A6D4F"/>
    <w:rsid w:val="003B1307"/>
    <w:rsid w:val="003B41A0"/>
    <w:rsid w:val="003B554B"/>
    <w:rsid w:val="003B793F"/>
    <w:rsid w:val="003D3D5B"/>
    <w:rsid w:val="003D7673"/>
    <w:rsid w:val="003E4E59"/>
    <w:rsid w:val="003F18C0"/>
    <w:rsid w:val="003F5D0A"/>
    <w:rsid w:val="003F6FC6"/>
    <w:rsid w:val="004048D3"/>
    <w:rsid w:val="00414F9A"/>
    <w:rsid w:val="0041541D"/>
    <w:rsid w:val="004157D5"/>
    <w:rsid w:val="00423836"/>
    <w:rsid w:val="00425F28"/>
    <w:rsid w:val="00427E7C"/>
    <w:rsid w:val="00437102"/>
    <w:rsid w:val="00437A0F"/>
    <w:rsid w:val="00443240"/>
    <w:rsid w:val="00444D7D"/>
    <w:rsid w:val="00446A11"/>
    <w:rsid w:val="00447ABF"/>
    <w:rsid w:val="004512CD"/>
    <w:rsid w:val="004514CA"/>
    <w:rsid w:val="00451811"/>
    <w:rsid w:val="00451BEA"/>
    <w:rsid w:val="004543C6"/>
    <w:rsid w:val="00455CCD"/>
    <w:rsid w:val="00456FC5"/>
    <w:rsid w:val="00470802"/>
    <w:rsid w:val="0047134E"/>
    <w:rsid w:val="0047789C"/>
    <w:rsid w:val="00483017"/>
    <w:rsid w:val="00486339"/>
    <w:rsid w:val="00493042"/>
    <w:rsid w:val="004945C1"/>
    <w:rsid w:val="00496CFA"/>
    <w:rsid w:val="004A36FB"/>
    <w:rsid w:val="004B1268"/>
    <w:rsid w:val="004B279D"/>
    <w:rsid w:val="004B279F"/>
    <w:rsid w:val="004B37DC"/>
    <w:rsid w:val="004B52F7"/>
    <w:rsid w:val="004B5A56"/>
    <w:rsid w:val="004E4D3F"/>
    <w:rsid w:val="004F5E0C"/>
    <w:rsid w:val="005023F0"/>
    <w:rsid w:val="00504551"/>
    <w:rsid w:val="00504E70"/>
    <w:rsid w:val="0051584A"/>
    <w:rsid w:val="005304C9"/>
    <w:rsid w:val="00532C64"/>
    <w:rsid w:val="005347A9"/>
    <w:rsid w:val="00542C66"/>
    <w:rsid w:val="005434DA"/>
    <w:rsid w:val="00544360"/>
    <w:rsid w:val="00545F74"/>
    <w:rsid w:val="00550FD1"/>
    <w:rsid w:val="0055158C"/>
    <w:rsid w:val="00552EC2"/>
    <w:rsid w:val="00553F53"/>
    <w:rsid w:val="00554766"/>
    <w:rsid w:val="00554D44"/>
    <w:rsid w:val="00556D2A"/>
    <w:rsid w:val="0056309A"/>
    <w:rsid w:val="00571097"/>
    <w:rsid w:val="00574CD8"/>
    <w:rsid w:val="00581F71"/>
    <w:rsid w:val="0058205F"/>
    <w:rsid w:val="0058415C"/>
    <w:rsid w:val="005842DD"/>
    <w:rsid w:val="00584E50"/>
    <w:rsid w:val="0058617E"/>
    <w:rsid w:val="005877DE"/>
    <w:rsid w:val="00590F58"/>
    <w:rsid w:val="00592B71"/>
    <w:rsid w:val="005A0029"/>
    <w:rsid w:val="005B0675"/>
    <w:rsid w:val="005B3741"/>
    <w:rsid w:val="005B3B76"/>
    <w:rsid w:val="005B65A2"/>
    <w:rsid w:val="005B6D0A"/>
    <w:rsid w:val="005C620D"/>
    <w:rsid w:val="005E74D7"/>
    <w:rsid w:val="005F33A8"/>
    <w:rsid w:val="005F40F3"/>
    <w:rsid w:val="005F4D67"/>
    <w:rsid w:val="006025D0"/>
    <w:rsid w:val="006063E9"/>
    <w:rsid w:val="00622A58"/>
    <w:rsid w:val="00626AF6"/>
    <w:rsid w:val="00631250"/>
    <w:rsid w:val="00636F80"/>
    <w:rsid w:val="00644421"/>
    <w:rsid w:val="00651E69"/>
    <w:rsid w:val="00652AC9"/>
    <w:rsid w:val="00666D4E"/>
    <w:rsid w:val="00667439"/>
    <w:rsid w:val="006753B2"/>
    <w:rsid w:val="0067559F"/>
    <w:rsid w:val="0068061B"/>
    <w:rsid w:val="006839C1"/>
    <w:rsid w:val="00685956"/>
    <w:rsid w:val="00696904"/>
    <w:rsid w:val="006A736F"/>
    <w:rsid w:val="006B2746"/>
    <w:rsid w:val="006B3771"/>
    <w:rsid w:val="006B46F3"/>
    <w:rsid w:val="006B7D67"/>
    <w:rsid w:val="006C3B37"/>
    <w:rsid w:val="006C4C66"/>
    <w:rsid w:val="006D0DC2"/>
    <w:rsid w:val="006D2663"/>
    <w:rsid w:val="006E342F"/>
    <w:rsid w:val="006E37A6"/>
    <w:rsid w:val="006E3E30"/>
    <w:rsid w:val="006E3E46"/>
    <w:rsid w:val="006F02AC"/>
    <w:rsid w:val="006F12B3"/>
    <w:rsid w:val="006F4193"/>
    <w:rsid w:val="006F4D06"/>
    <w:rsid w:val="007010DF"/>
    <w:rsid w:val="007014EF"/>
    <w:rsid w:val="00707117"/>
    <w:rsid w:val="007140D7"/>
    <w:rsid w:val="00714123"/>
    <w:rsid w:val="0071519A"/>
    <w:rsid w:val="007169F7"/>
    <w:rsid w:val="007179C1"/>
    <w:rsid w:val="00722825"/>
    <w:rsid w:val="0072372B"/>
    <w:rsid w:val="0072502C"/>
    <w:rsid w:val="00731F14"/>
    <w:rsid w:val="007332D4"/>
    <w:rsid w:val="00740546"/>
    <w:rsid w:val="00740B2F"/>
    <w:rsid w:val="00741A95"/>
    <w:rsid w:val="00743552"/>
    <w:rsid w:val="007453AB"/>
    <w:rsid w:val="0075004A"/>
    <w:rsid w:val="007531B2"/>
    <w:rsid w:val="00754E70"/>
    <w:rsid w:val="00756930"/>
    <w:rsid w:val="00757A67"/>
    <w:rsid w:val="00762BEB"/>
    <w:rsid w:val="00764E4B"/>
    <w:rsid w:val="007650E0"/>
    <w:rsid w:val="00773BF5"/>
    <w:rsid w:val="0079552D"/>
    <w:rsid w:val="007A0BF6"/>
    <w:rsid w:val="007A1663"/>
    <w:rsid w:val="007B12DD"/>
    <w:rsid w:val="007B29D8"/>
    <w:rsid w:val="007C27BE"/>
    <w:rsid w:val="007D1FB1"/>
    <w:rsid w:val="007D4459"/>
    <w:rsid w:val="007D7A72"/>
    <w:rsid w:val="007E0E5B"/>
    <w:rsid w:val="007E50F7"/>
    <w:rsid w:val="007E578E"/>
    <w:rsid w:val="007E6E2F"/>
    <w:rsid w:val="007F29AF"/>
    <w:rsid w:val="007F3EF0"/>
    <w:rsid w:val="007F4395"/>
    <w:rsid w:val="00802886"/>
    <w:rsid w:val="0080456F"/>
    <w:rsid w:val="00806239"/>
    <w:rsid w:val="00807145"/>
    <w:rsid w:val="00810555"/>
    <w:rsid w:val="00814891"/>
    <w:rsid w:val="00815D44"/>
    <w:rsid w:val="008170BD"/>
    <w:rsid w:val="00820BC4"/>
    <w:rsid w:val="0082116E"/>
    <w:rsid w:val="00830B8C"/>
    <w:rsid w:val="00832BAB"/>
    <w:rsid w:val="008353EE"/>
    <w:rsid w:val="0083568C"/>
    <w:rsid w:val="008366D5"/>
    <w:rsid w:val="008376BF"/>
    <w:rsid w:val="00840BB6"/>
    <w:rsid w:val="008432DC"/>
    <w:rsid w:val="00850576"/>
    <w:rsid w:val="00853AE7"/>
    <w:rsid w:val="00855304"/>
    <w:rsid w:val="00857EAC"/>
    <w:rsid w:val="00861C9E"/>
    <w:rsid w:val="00862268"/>
    <w:rsid w:val="0086415E"/>
    <w:rsid w:val="00865370"/>
    <w:rsid w:val="00871C68"/>
    <w:rsid w:val="00871FD0"/>
    <w:rsid w:val="00872854"/>
    <w:rsid w:val="00873B8A"/>
    <w:rsid w:val="00873BE6"/>
    <w:rsid w:val="00874181"/>
    <w:rsid w:val="00874214"/>
    <w:rsid w:val="00874651"/>
    <w:rsid w:val="0088513F"/>
    <w:rsid w:val="008900DD"/>
    <w:rsid w:val="00890BE8"/>
    <w:rsid w:val="00895999"/>
    <w:rsid w:val="008975FE"/>
    <w:rsid w:val="008A69F6"/>
    <w:rsid w:val="008B15E2"/>
    <w:rsid w:val="008B3D7E"/>
    <w:rsid w:val="008B6539"/>
    <w:rsid w:val="008B7C33"/>
    <w:rsid w:val="008C0122"/>
    <w:rsid w:val="008C0F84"/>
    <w:rsid w:val="008C26AD"/>
    <w:rsid w:val="008C4E76"/>
    <w:rsid w:val="008D090A"/>
    <w:rsid w:val="008D1C48"/>
    <w:rsid w:val="008D1D64"/>
    <w:rsid w:val="008D3200"/>
    <w:rsid w:val="008D3BE0"/>
    <w:rsid w:val="008D4C96"/>
    <w:rsid w:val="008D52D8"/>
    <w:rsid w:val="008E2A1C"/>
    <w:rsid w:val="008E2E80"/>
    <w:rsid w:val="008E3FF3"/>
    <w:rsid w:val="008F3E5A"/>
    <w:rsid w:val="008F64DB"/>
    <w:rsid w:val="00900541"/>
    <w:rsid w:val="00905C24"/>
    <w:rsid w:val="00911E3B"/>
    <w:rsid w:val="0091368F"/>
    <w:rsid w:val="0091372F"/>
    <w:rsid w:val="00915F5E"/>
    <w:rsid w:val="00924137"/>
    <w:rsid w:val="00925CE7"/>
    <w:rsid w:val="0093003E"/>
    <w:rsid w:val="00931038"/>
    <w:rsid w:val="00935F6C"/>
    <w:rsid w:val="00936FBB"/>
    <w:rsid w:val="009429A1"/>
    <w:rsid w:val="009555A7"/>
    <w:rsid w:val="0096152A"/>
    <w:rsid w:val="009627E9"/>
    <w:rsid w:val="009709FB"/>
    <w:rsid w:val="00980A07"/>
    <w:rsid w:val="0098210B"/>
    <w:rsid w:val="00985D57"/>
    <w:rsid w:val="00986E44"/>
    <w:rsid w:val="00991804"/>
    <w:rsid w:val="009A3D36"/>
    <w:rsid w:val="009A3F96"/>
    <w:rsid w:val="009A6264"/>
    <w:rsid w:val="009A6E11"/>
    <w:rsid w:val="009B3BA3"/>
    <w:rsid w:val="009B489E"/>
    <w:rsid w:val="009B6071"/>
    <w:rsid w:val="009B64E4"/>
    <w:rsid w:val="009C0288"/>
    <w:rsid w:val="009C1D82"/>
    <w:rsid w:val="009C2081"/>
    <w:rsid w:val="009C3F56"/>
    <w:rsid w:val="009D4401"/>
    <w:rsid w:val="009D53D3"/>
    <w:rsid w:val="009E1019"/>
    <w:rsid w:val="009F0957"/>
    <w:rsid w:val="009F11D1"/>
    <w:rsid w:val="009F3490"/>
    <w:rsid w:val="009F3A56"/>
    <w:rsid w:val="009F5F66"/>
    <w:rsid w:val="009F768E"/>
    <w:rsid w:val="00A1323C"/>
    <w:rsid w:val="00A14DFE"/>
    <w:rsid w:val="00A151FF"/>
    <w:rsid w:val="00A25B2E"/>
    <w:rsid w:val="00A3622B"/>
    <w:rsid w:val="00A45B25"/>
    <w:rsid w:val="00A53F3C"/>
    <w:rsid w:val="00A549AC"/>
    <w:rsid w:val="00A54A3C"/>
    <w:rsid w:val="00A566B3"/>
    <w:rsid w:val="00A620D1"/>
    <w:rsid w:val="00A638F0"/>
    <w:rsid w:val="00A66990"/>
    <w:rsid w:val="00A67114"/>
    <w:rsid w:val="00A703CE"/>
    <w:rsid w:val="00A70B12"/>
    <w:rsid w:val="00A72B15"/>
    <w:rsid w:val="00A87026"/>
    <w:rsid w:val="00A906A1"/>
    <w:rsid w:val="00A92C3F"/>
    <w:rsid w:val="00A9569E"/>
    <w:rsid w:val="00A959F4"/>
    <w:rsid w:val="00A95DDC"/>
    <w:rsid w:val="00AA5685"/>
    <w:rsid w:val="00AA7E70"/>
    <w:rsid w:val="00AB34AC"/>
    <w:rsid w:val="00AB6503"/>
    <w:rsid w:val="00AB7480"/>
    <w:rsid w:val="00AC3CBD"/>
    <w:rsid w:val="00AC47CC"/>
    <w:rsid w:val="00AC5B72"/>
    <w:rsid w:val="00AC65D1"/>
    <w:rsid w:val="00AC7C97"/>
    <w:rsid w:val="00AD4990"/>
    <w:rsid w:val="00AD4D10"/>
    <w:rsid w:val="00AD5B28"/>
    <w:rsid w:val="00AD79D5"/>
    <w:rsid w:val="00AE0934"/>
    <w:rsid w:val="00AE473C"/>
    <w:rsid w:val="00AE4B75"/>
    <w:rsid w:val="00AE5AEA"/>
    <w:rsid w:val="00AE7A5B"/>
    <w:rsid w:val="00AF0190"/>
    <w:rsid w:val="00AF23F4"/>
    <w:rsid w:val="00AF38A1"/>
    <w:rsid w:val="00AF38AF"/>
    <w:rsid w:val="00B006DB"/>
    <w:rsid w:val="00B032F4"/>
    <w:rsid w:val="00B06542"/>
    <w:rsid w:val="00B07AF2"/>
    <w:rsid w:val="00B10941"/>
    <w:rsid w:val="00B1126C"/>
    <w:rsid w:val="00B258CD"/>
    <w:rsid w:val="00B31BD2"/>
    <w:rsid w:val="00B33759"/>
    <w:rsid w:val="00B361A2"/>
    <w:rsid w:val="00B374CD"/>
    <w:rsid w:val="00B42910"/>
    <w:rsid w:val="00B432E3"/>
    <w:rsid w:val="00B467F5"/>
    <w:rsid w:val="00B46BCF"/>
    <w:rsid w:val="00B46D20"/>
    <w:rsid w:val="00B52173"/>
    <w:rsid w:val="00B54720"/>
    <w:rsid w:val="00B54FA9"/>
    <w:rsid w:val="00B57090"/>
    <w:rsid w:val="00B6210A"/>
    <w:rsid w:val="00B63A35"/>
    <w:rsid w:val="00B671DA"/>
    <w:rsid w:val="00B717D3"/>
    <w:rsid w:val="00B81D83"/>
    <w:rsid w:val="00B84236"/>
    <w:rsid w:val="00B85C88"/>
    <w:rsid w:val="00B869D0"/>
    <w:rsid w:val="00B87AAB"/>
    <w:rsid w:val="00B92780"/>
    <w:rsid w:val="00B946C3"/>
    <w:rsid w:val="00BA693D"/>
    <w:rsid w:val="00BB47C7"/>
    <w:rsid w:val="00BC18AC"/>
    <w:rsid w:val="00BC2B04"/>
    <w:rsid w:val="00BC3B15"/>
    <w:rsid w:val="00BC59B2"/>
    <w:rsid w:val="00BE6153"/>
    <w:rsid w:val="00BE66F3"/>
    <w:rsid w:val="00BF03A3"/>
    <w:rsid w:val="00BF4504"/>
    <w:rsid w:val="00BF4711"/>
    <w:rsid w:val="00BF4722"/>
    <w:rsid w:val="00BF7982"/>
    <w:rsid w:val="00C02B2A"/>
    <w:rsid w:val="00C1446E"/>
    <w:rsid w:val="00C22112"/>
    <w:rsid w:val="00C232D0"/>
    <w:rsid w:val="00C31CD0"/>
    <w:rsid w:val="00C32958"/>
    <w:rsid w:val="00C36B5C"/>
    <w:rsid w:val="00C41704"/>
    <w:rsid w:val="00C421DC"/>
    <w:rsid w:val="00C428EC"/>
    <w:rsid w:val="00C43A6E"/>
    <w:rsid w:val="00C55AEE"/>
    <w:rsid w:val="00C56918"/>
    <w:rsid w:val="00C60B51"/>
    <w:rsid w:val="00C64D16"/>
    <w:rsid w:val="00C71250"/>
    <w:rsid w:val="00C7141F"/>
    <w:rsid w:val="00C7325B"/>
    <w:rsid w:val="00C8225E"/>
    <w:rsid w:val="00C86A74"/>
    <w:rsid w:val="00C91902"/>
    <w:rsid w:val="00C9475C"/>
    <w:rsid w:val="00C94971"/>
    <w:rsid w:val="00C974FE"/>
    <w:rsid w:val="00CA5DF7"/>
    <w:rsid w:val="00CB0EC3"/>
    <w:rsid w:val="00CB3AE3"/>
    <w:rsid w:val="00CB5ADC"/>
    <w:rsid w:val="00CC0FBC"/>
    <w:rsid w:val="00CD1440"/>
    <w:rsid w:val="00CD6AD3"/>
    <w:rsid w:val="00CD75CE"/>
    <w:rsid w:val="00CE1E70"/>
    <w:rsid w:val="00CE2206"/>
    <w:rsid w:val="00CE704C"/>
    <w:rsid w:val="00CF2265"/>
    <w:rsid w:val="00CF264E"/>
    <w:rsid w:val="00CF3A61"/>
    <w:rsid w:val="00CF3F83"/>
    <w:rsid w:val="00D0309A"/>
    <w:rsid w:val="00D06D0F"/>
    <w:rsid w:val="00D276F3"/>
    <w:rsid w:val="00D30D4E"/>
    <w:rsid w:val="00D33AAA"/>
    <w:rsid w:val="00D3418A"/>
    <w:rsid w:val="00D348A6"/>
    <w:rsid w:val="00D37722"/>
    <w:rsid w:val="00D4062D"/>
    <w:rsid w:val="00D51168"/>
    <w:rsid w:val="00D519A2"/>
    <w:rsid w:val="00D53FBF"/>
    <w:rsid w:val="00D56E8C"/>
    <w:rsid w:val="00D6192F"/>
    <w:rsid w:val="00D64AF7"/>
    <w:rsid w:val="00D73489"/>
    <w:rsid w:val="00D739D4"/>
    <w:rsid w:val="00D73E36"/>
    <w:rsid w:val="00D76FD3"/>
    <w:rsid w:val="00D80A2E"/>
    <w:rsid w:val="00D80DC8"/>
    <w:rsid w:val="00D81F69"/>
    <w:rsid w:val="00D82859"/>
    <w:rsid w:val="00D92DC7"/>
    <w:rsid w:val="00D94295"/>
    <w:rsid w:val="00D962FF"/>
    <w:rsid w:val="00D968E1"/>
    <w:rsid w:val="00DA41A9"/>
    <w:rsid w:val="00DA461C"/>
    <w:rsid w:val="00DA66ED"/>
    <w:rsid w:val="00DA6D16"/>
    <w:rsid w:val="00DB1554"/>
    <w:rsid w:val="00DB2423"/>
    <w:rsid w:val="00DB3E1B"/>
    <w:rsid w:val="00DB45F6"/>
    <w:rsid w:val="00DC030F"/>
    <w:rsid w:val="00DC19C5"/>
    <w:rsid w:val="00DC234B"/>
    <w:rsid w:val="00DC2437"/>
    <w:rsid w:val="00DC263E"/>
    <w:rsid w:val="00DC5DF9"/>
    <w:rsid w:val="00DD0412"/>
    <w:rsid w:val="00DE1731"/>
    <w:rsid w:val="00DF3CA1"/>
    <w:rsid w:val="00E002A0"/>
    <w:rsid w:val="00E00629"/>
    <w:rsid w:val="00E00BFD"/>
    <w:rsid w:val="00E1342C"/>
    <w:rsid w:val="00E13C39"/>
    <w:rsid w:val="00E14479"/>
    <w:rsid w:val="00E14B65"/>
    <w:rsid w:val="00E16788"/>
    <w:rsid w:val="00E37C31"/>
    <w:rsid w:val="00E37E77"/>
    <w:rsid w:val="00E52047"/>
    <w:rsid w:val="00E56C1F"/>
    <w:rsid w:val="00E576FC"/>
    <w:rsid w:val="00E57A49"/>
    <w:rsid w:val="00E63892"/>
    <w:rsid w:val="00E67815"/>
    <w:rsid w:val="00E73ADE"/>
    <w:rsid w:val="00E75486"/>
    <w:rsid w:val="00E76ED9"/>
    <w:rsid w:val="00E80332"/>
    <w:rsid w:val="00E9256F"/>
    <w:rsid w:val="00E925D7"/>
    <w:rsid w:val="00E926EC"/>
    <w:rsid w:val="00E95469"/>
    <w:rsid w:val="00EA71AC"/>
    <w:rsid w:val="00EC1400"/>
    <w:rsid w:val="00ED0AE3"/>
    <w:rsid w:val="00ED3207"/>
    <w:rsid w:val="00ED38E4"/>
    <w:rsid w:val="00ED5094"/>
    <w:rsid w:val="00EE2D86"/>
    <w:rsid w:val="00EE385F"/>
    <w:rsid w:val="00EE6F16"/>
    <w:rsid w:val="00EF0D86"/>
    <w:rsid w:val="00EF3205"/>
    <w:rsid w:val="00EF3F82"/>
    <w:rsid w:val="00EF7E97"/>
    <w:rsid w:val="00F013EA"/>
    <w:rsid w:val="00F044FC"/>
    <w:rsid w:val="00F12CEA"/>
    <w:rsid w:val="00F23636"/>
    <w:rsid w:val="00F245DD"/>
    <w:rsid w:val="00F2622C"/>
    <w:rsid w:val="00F313D4"/>
    <w:rsid w:val="00F5527B"/>
    <w:rsid w:val="00F5542B"/>
    <w:rsid w:val="00F5665A"/>
    <w:rsid w:val="00F57572"/>
    <w:rsid w:val="00F6323B"/>
    <w:rsid w:val="00F66AA8"/>
    <w:rsid w:val="00F670C2"/>
    <w:rsid w:val="00F708C5"/>
    <w:rsid w:val="00F708C9"/>
    <w:rsid w:val="00F70B24"/>
    <w:rsid w:val="00F77A59"/>
    <w:rsid w:val="00F84155"/>
    <w:rsid w:val="00F857AE"/>
    <w:rsid w:val="00F87166"/>
    <w:rsid w:val="00F87B48"/>
    <w:rsid w:val="00F926CE"/>
    <w:rsid w:val="00F93CF2"/>
    <w:rsid w:val="00F974CB"/>
    <w:rsid w:val="00F97943"/>
    <w:rsid w:val="00FA0C13"/>
    <w:rsid w:val="00FA16AE"/>
    <w:rsid w:val="00FA181F"/>
    <w:rsid w:val="00FA24D9"/>
    <w:rsid w:val="00FA64CC"/>
    <w:rsid w:val="00FB1C49"/>
    <w:rsid w:val="00FB514D"/>
    <w:rsid w:val="00FB5943"/>
    <w:rsid w:val="00FB5D17"/>
    <w:rsid w:val="00FB75E4"/>
    <w:rsid w:val="00FB7B26"/>
    <w:rsid w:val="00FC108B"/>
    <w:rsid w:val="00FC346C"/>
    <w:rsid w:val="00FC728E"/>
    <w:rsid w:val="00FC7809"/>
    <w:rsid w:val="00FE3B4E"/>
    <w:rsid w:val="00FE4E91"/>
    <w:rsid w:val="00FE5550"/>
    <w:rsid w:val="00FE60EE"/>
    <w:rsid w:val="00FF0B2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0A6F83"/>
  <w15:chartTrackingRefBased/>
  <w15:docId w15:val="{F785B938-77E3-C645-B727-02E8551EBF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842DD"/>
    <w:rPr>
      <w:rFonts w:ascii="Times New Roman" w:eastAsia="Times New Roman" w:hAnsi="Times New Roman" w:cs="Times New Roman"/>
    </w:rPr>
  </w:style>
  <w:style w:type="paragraph" w:styleId="Heading1">
    <w:name w:val="heading 1"/>
    <w:basedOn w:val="Normal"/>
    <w:next w:val="Normal"/>
    <w:link w:val="Heading1Char"/>
    <w:uiPriority w:val="9"/>
    <w:qFormat/>
    <w:rsid w:val="00C9475C"/>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3">
    <w:name w:val="heading 3"/>
    <w:basedOn w:val="Normal"/>
    <w:link w:val="Heading3Char"/>
    <w:uiPriority w:val="9"/>
    <w:qFormat/>
    <w:rsid w:val="00455CCD"/>
    <w:pPr>
      <w:spacing w:before="100" w:beforeAutospacing="1" w:after="100" w:afterAutospacing="1"/>
      <w:outlineLvl w:val="2"/>
    </w:pPr>
    <w:rPr>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25422C"/>
    <w:rPr>
      <w:color w:val="0000FF"/>
      <w:u w:val="single"/>
    </w:rPr>
  </w:style>
  <w:style w:type="character" w:styleId="UnresolvedMention">
    <w:name w:val="Unresolved Mention"/>
    <w:basedOn w:val="DefaultParagraphFont"/>
    <w:uiPriority w:val="99"/>
    <w:semiHidden/>
    <w:unhideWhenUsed/>
    <w:rsid w:val="007C27BE"/>
    <w:rPr>
      <w:color w:val="605E5C"/>
      <w:shd w:val="clear" w:color="auto" w:fill="E1DFDD"/>
    </w:rPr>
  </w:style>
  <w:style w:type="paragraph" w:styleId="NormalWeb">
    <w:name w:val="Normal (Web)"/>
    <w:basedOn w:val="Normal"/>
    <w:uiPriority w:val="99"/>
    <w:unhideWhenUsed/>
    <w:rsid w:val="007C27BE"/>
    <w:pPr>
      <w:spacing w:before="100" w:beforeAutospacing="1" w:after="100" w:afterAutospacing="1"/>
    </w:pPr>
  </w:style>
  <w:style w:type="character" w:styleId="Strong">
    <w:name w:val="Strong"/>
    <w:basedOn w:val="DefaultParagraphFont"/>
    <w:uiPriority w:val="22"/>
    <w:qFormat/>
    <w:rsid w:val="007C27BE"/>
    <w:rPr>
      <w:b/>
      <w:bCs/>
    </w:rPr>
  </w:style>
  <w:style w:type="paragraph" w:styleId="HTMLPreformatted">
    <w:name w:val="HTML Preformatted"/>
    <w:basedOn w:val="Normal"/>
    <w:link w:val="HTMLPreformattedChar"/>
    <w:uiPriority w:val="99"/>
    <w:semiHidden/>
    <w:unhideWhenUsed/>
    <w:rsid w:val="00CD6A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CD6AD3"/>
    <w:rPr>
      <w:rFonts w:ascii="Courier New" w:eastAsia="Times New Roman" w:hAnsi="Courier New" w:cs="Courier New"/>
      <w:sz w:val="20"/>
      <w:szCs w:val="20"/>
    </w:rPr>
  </w:style>
  <w:style w:type="character" w:styleId="PlaceholderText">
    <w:name w:val="Placeholder Text"/>
    <w:basedOn w:val="DefaultParagraphFont"/>
    <w:uiPriority w:val="99"/>
    <w:semiHidden/>
    <w:rsid w:val="0036390C"/>
    <w:rPr>
      <w:color w:val="808080"/>
    </w:rPr>
  </w:style>
  <w:style w:type="character" w:customStyle="1" w:styleId="katex-mathml">
    <w:name w:val="katex-mathml"/>
    <w:basedOn w:val="DefaultParagraphFont"/>
    <w:rsid w:val="005842DD"/>
  </w:style>
  <w:style w:type="character" w:customStyle="1" w:styleId="mord">
    <w:name w:val="mord"/>
    <w:basedOn w:val="DefaultParagraphFont"/>
    <w:rsid w:val="005842DD"/>
  </w:style>
  <w:style w:type="paragraph" w:styleId="ListParagraph">
    <w:name w:val="List Paragraph"/>
    <w:basedOn w:val="Normal"/>
    <w:uiPriority w:val="34"/>
    <w:qFormat/>
    <w:rsid w:val="00297A07"/>
    <w:pPr>
      <w:ind w:left="720"/>
      <w:contextualSpacing/>
    </w:pPr>
  </w:style>
  <w:style w:type="character" w:customStyle="1" w:styleId="vlist-s">
    <w:name w:val="vlist-s"/>
    <w:basedOn w:val="DefaultParagraphFont"/>
    <w:rsid w:val="0079552D"/>
  </w:style>
  <w:style w:type="paragraph" w:customStyle="1" w:styleId="yiv8714890903msonormal">
    <w:name w:val="yiv8714890903msonormal"/>
    <w:basedOn w:val="Normal"/>
    <w:rsid w:val="00FA24D9"/>
    <w:pPr>
      <w:spacing w:before="100" w:beforeAutospacing="1" w:after="100" w:afterAutospacing="1"/>
    </w:pPr>
  </w:style>
  <w:style w:type="character" w:customStyle="1" w:styleId="mopen">
    <w:name w:val="mopen"/>
    <w:basedOn w:val="DefaultParagraphFont"/>
    <w:rsid w:val="006F12B3"/>
  </w:style>
  <w:style w:type="character" w:customStyle="1" w:styleId="mclose">
    <w:name w:val="mclose"/>
    <w:basedOn w:val="DefaultParagraphFont"/>
    <w:rsid w:val="006F12B3"/>
  </w:style>
  <w:style w:type="character" w:customStyle="1" w:styleId="mrel">
    <w:name w:val="mrel"/>
    <w:basedOn w:val="DefaultParagraphFont"/>
    <w:rsid w:val="006F12B3"/>
  </w:style>
  <w:style w:type="table" w:styleId="TableGrid">
    <w:name w:val="Table Grid"/>
    <w:basedOn w:val="TableNormal"/>
    <w:uiPriority w:val="39"/>
    <w:rsid w:val="00D519A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9E1019"/>
    <w:rPr>
      <w:color w:val="954F72" w:themeColor="followedHyperlink"/>
      <w:u w:val="single"/>
    </w:rPr>
  </w:style>
  <w:style w:type="paragraph" w:styleId="Header">
    <w:name w:val="header"/>
    <w:basedOn w:val="Normal"/>
    <w:link w:val="HeaderChar"/>
    <w:uiPriority w:val="99"/>
    <w:unhideWhenUsed/>
    <w:rsid w:val="00043DE9"/>
    <w:pPr>
      <w:tabs>
        <w:tab w:val="center" w:pos="4680"/>
        <w:tab w:val="right" w:pos="9360"/>
      </w:tabs>
    </w:pPr>
  </w:style>
  <w:style w:type="character" w:customStyle="1" w:styleId="HeaderChar">
    <w:name w:val="Header Char"/>
    <w:basedOn w:val="DefaultParagraphFont"/>
    <w:link w:val="Header"/>
    <w:uiPriority w:val="99"/>
    <w:rsid w:val="00043DE9"/>
    <w:rPr>
      <w:rFonts w:ascii="Times New Roman" w:eastAsia="Times New Roman" w:hAnsi="Times New Roman" w:cs="Times New Roman"/>
    </w:rPr>
  </w:style>
  <w:style w:type="paragraph" w:styleId="Footer">
    <w:name w:val="footer"/>
    <w:basedOn w:val="Normal"/>
    <w:link w:val="FooterChar"/>
    <w:uiPriority w:val="99"/>
    <w:unhideWhenUsed/>
    <w:rsid w:val="00043DE9"/>
    <w:pPr>
      <w:tabs>
        <w:tab w:val="center" w:pos="4680"/>
        <w:tab w:val="right" w:pos="9360"/>
      </w:tabs>
    </w:pPr>
  </w:style>
  <w:style w:type="character" w:customStyle="1" w:styleId="FooterChar">
    <w:name w:val="Footer Char"/>
    <w:basedOn w:val="DefaultParagraphFont"/>
    <w:link w:val="Footer"/>
    <w:uiPriority w:val="99"/>
    <w:rsid w:val="00043DE9"/>
    <w:rPr>
      <w:rFonts w:ascii="Times New Roman" w:eastAsia="Times New Roman" w:hAnsi="Times New Roman" w:cs="Times New Roman"/>
    </w:rPr>
  </w:style>
  <w:style w:type="character" w:customStyle="1" w:styleId="Heading3Char">
    <w:name w:val="Heading 3 Char"/>
    <w:basedOn w:val="DefaultParagraphFont"/>
    <w:link w:val="Heading3"/>
    <w:uiPriority w:val="9"/>
    <w:rsid w:val="00455CCD"/>
    <w:rPr>
      <w:rFonts w:ascii="Times New Roman" w:eastAsia="Times New Roman" w:hAnsi="Times New Roman" w:cs="Times New Roman"/>
      <w:b/>
      <w:bCs/>
      <w:sz w:val="27"/>
      <w:szCs w:val="27"/>
    </w:rPr>
  </w:style>
  <w:style w:type="character" w:customStyle="1" w:styleId="whitespace-normal">
    <w:name w:val="whitespace-normal"/>
    <w:basedOn w:val="DefaultParagraphFont"/>
    <w:rsid w:val="00455CCD"/>
  </w:style>
  <w:style w:type="character" w:customStyle="1" w:styleId="Heading1Char">
    <w:name w:val="Heading 1 Char"/>
    <w:basedOn w:val="DefaultParagraphFont"/>
    <w:link w:val="Heading1"/>
    <w:uiPriority w:val="9"/>
    <w:rsid w:val="00C9475C"/>
    <w:rPr>
      <w:rFonts w:asciiTheme="majorHAnsi" w:eastAsiaTheme="majorEastAsia" w:hAnsiTheme="majorHAnsi" w:cstheme="majorBidi"/>
      <w:color w:val="2F5496"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8815676">
      <w:bodyDiv w:val="1"/>
      <w:marLeft w:val="0"/>
      <w:marRight w:val="0"/>
      <w:marTop w:val="0"/>
      <w:marBottom w:val="0"/>
      <w:divBdr>
        <w:top w:val="none" w:sz="0" w:space="0" w:color="auto"/>
        <w:left w:val="none" w:sz="0" w:space="0" w:color="auto"/>
        <w:bottom w:val="none" w:sz="0" w:space="0" w:color="auto"/>
        <w:right w:val="none" w:sz="0" w:space="0" w:color="auto"/>
      </w:divBdr>
    </w:div>
    <w:div w:id="88159770">
      <w:bodyDiv w:val="1"/>
      <w:marLeft w:val="0"/>
      <w:marRight w:val="0"/>
      <w:marTop w:val="0"/>
      <w:marBottom w:val="0"/>
      <w:divBdr>
        <w:top w:val="none" w:sz="0" w:space="0" w:color="auto"/>
        <w:left w:val="none" w:sz="0" w:space="0" w:color="auto"/>
        <w:bottom w:val="none" w:sz="0" w:space="0" w:color="auto"/>
        <w:right w:val="none" w:sz="0" w:space="0" w:color="auto"/>
      </w:divBdr>
    </w:div>
    <w:div w:id="289626205">
      <w:bodyDiv w:val="1"/>
      <w:marLeft w:val="0"/>
      <w:marRight w:val="0"/>
      <w:marTop w:val="0"/>
      <w:marBottom w:val="0"/>
      <w:divBdr>
        <w:top w:val="none" w:sz="0" w:space="0" w:color="auto"/>
        <w:left w:val="none" w:sz="0" w:space="0" w:color="auto"/>
        <w:bottom w:val="none" w:sz="0" w:space="0" w:color="auto"/>
        <w:right w:val="none" w:sz="0" w:space="0" w:color="auto"/>
      </w:divBdr>
    </w:div>
    <w:div w:id="303170013">
      <w:bodyDiv w:val="1"/>
      <w:marLeft w:val="0"/>
      <w:marRight w:val="0"/>
      <w:marTop w:val="0"/>
      <w:marBottom w:val="0"/>
      <w:divBdr>
        <w:top w:val="none" w:sz="0" w:space="0" w:color="auto"/>
        <w:left w:val="none" w:sz="0" w:space="0" w:color="auto"/>
        <w:bottom w:val="none" w:sz="0" w:space="0" w:color="auto"/>
        <w:right w:val="none" w:sz="0" w:space="0" w:color="auto"/>
      </w:divBdr>
    </w:div>
    <w:div w:id="463618313">
      <w:bodyDiv w:val="1"/>
      <w:marLeft w:val="0"/>
      <w:marRight w:val="0"/>
      <w:marTop w:val="0"/>
      <w:marBottom w:val="0"/>
      <w:divBdr>
        <w:top w:val="none" w:sz="0" w:space="0" w:color="auto"/>
        <w:left w:val="none" w:sz="0" w:space="0" w:color="auto"/>
        <w:bottom w:val="none" w:sz="0" w:space="0" w:color="auto"/>
        <w:right w:val="none" w:sz="0" w:space="0" w:color="auto"/>
      </w:divBdr>
      <w:divsChild>
        <w:div w:id="1881820016">
          <w:marLeft w:val="0"/>
          <w:marRight w:val="0"/>
          <w:marTop w:val="0"/>
          <w:marBottom w:val="0"/>
          <w:divBdr>
            <w:top w:val="none" w:sz="0" w:space="0" w:color="auto"/>
            <w:left w:val="none" w:sz="0" w:space="0" w:color="auto"/>
            <w:bottom w:val="none" w:sz="0" w:space="0" w:color="auto"/>
            <w:right w:val="none" w:sz="0" w:space="0" w:color="auto"/>
          </w:divBdr>
          <w:divsChild>
            <w:div w:id="658197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9491425">
      <w:bodyDiv w:val="1"/>
      <w:marLeft w:val="0"/>
      <w:marRight w:val="0"/>
      <w:marTop w:val="0"/>
      <w:marBottom w:val="0"/>
      <w:divBdr>
        <w:top w:val="none" w:sz="0" w:space="0" w:color="auto"/>
        <w:left w:val="none" w:sz="0" w:space="0" w:color="auto"/>
        <w:bottom w:val="none" w:sz="0" w:space="0" w:color="auto"/>
        <w:right w:val="none" w:sz="0" w:space="0" w:color="auto"/>
      </w:divBdr>
      <w:divsChild>
        <w:div w:id="256137506">
          <w:marLeft w:val="0"/>
          <w:marRight w:val="0"/>
          <w:marTop w:val="0"/>
          <w:marBottom w:val="0"/>
          <w:divBdr>
            <w:top w:val="none" w:sz="0" w:space="0" w:color="auto"/>
            <w:left w:val="none" w:sz="0" w:space="0" w:color="auto"/>
            <w:bottom w:val="none" w:sz="0" w:space="0" w:color="auto"/>
            <w:right w:val="none" w:sz="0" w:space="0" w:color="auto"/>
          </w:divBdr>
          <w:divsChild>
            <w:div w:id="398020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3293803">
      <w:bodyDiv w:val="1"/>
      <w:marLeft w:val="0"/>
      <w:marRight w:val="0"/>
      <w:marTop w:val="0"/>
      <w:marBottom w:val="0"/>
      <w:divBdr>
        <w:top w:val="none" w:sz="0" w:space="0" w:color="auto"/>
        <w:left w:val="none" w:sz="0" w:space="0" w:color="auto"/>
        <w:bottom w:val="none" w:sz="0" w:space="0" w:color="auto"/>
        <w:right w:val="none" w:sz="0" w:space="0" w:color="auto"/>
      </w:divBdr>
    </w:div>
    <w:div w:id="631836519">
      <w:bodyDiv w:val="1"/>
      <w:marLeft w:val="0"/>
      <w:marRight w:val="0"/>
      <w:marTop w:val="0"/>
      <w:marBottom w:val="0"/>
      <w:divBdr>
        <w:top w:val="none" w:sz="0" w:space="0" w:color="auto"/>
        <w:left w:val="none" w:sz="0" w:space="0" w:color="auto"/>
        <w:bottom w:val="none" w:sz="0" w:space="0" w:color="auto"/>
        <w:right w:val="none" w:sz="0" w:space="0" w:color="auto"/>
      </w:divBdr>
    </w:div>
    <w:div w:id="749425411">
      <w:bodyDiv w:val="1"/>
      <w:marLeft w:val="0"/>
      <w:marRight w:val="0"/>
      <w:marTop w:val="0"/>
      <w:marBottom w:val="0"/>
      <w:divBdr>
        <w:top w:val="none" w:sz="0" w:space="0" w:color="auto"/>
        <w:left w:val="none" w:sz="0" w:space="0" w:color="auto"/>
        <w:bottom w:val="none" w:sz="0" w:space="0" w:color="auto"/>
        <w:right w:val="none" w:sz="0" w:space="0" w:color="auto"/>
      </w:divBdr>
    </w:div>
    <w:div w:id="810826531">
      <w:bodyDiv w:val="1"/>
      <w:marLeft w:val="0"/>
      <w:marRight w:val="0"/>
      <w:marTop w:val="0"/>
      <w:marBottom w:val="0"/>
      <w:divBdr>
        <w:top w:val="none" w:sz="0" w:space="0" w:color="auto"/>
        <w:left w:val="none" w:sz="0" w:space="0" w:color="auto"/>
        <w:bottom w:val="none" w:sz="0" w:space="0" w:color="auto"/>
        <w:right w:val="none" w:sz="0" w:space="0" w:color="auto"/>
      </w:divBdr>
    </w:div>
    <w:div w:id="931551641">
      <w:bodyDiv w:val="1"/>
      <w:marLeft w:val="0"/>
      <w:marRight w:val="0"/>
      <w:marTop w:val="0"/>
      <w:marBottom w:val="0"/>
      <w:divBdr>
        <w:top w:val="none" w:sz="0" w:space="0" w:color="auto"/>
        <w:left w:val="none" w:sz="0" w:space="0" w:color="auto"/>
        <w:bottom w:val="none" w:sz="0" w:space="0" w:color="auto"/>
        <w:right w:val="none" w:sz="0" w:space="0" w:color="auto"/>
      </w:divBdr>
    </w:div>
    <w:div w:id="956449420">
      <w:bodyDiv w:val="1"/>
      <w:marLeft w:val="0"/>
      <w:marRight w:val="0"/>
      <w:marTop w:val="0"/>
      <w:marBottom w:val="0"/>
      <w:divBdr>
        <w:top w:val="none" w:sz="0" w:space="0" w:color="auto"/>
        <w:left w:val="none" w:sz="0" w:space="0" w:color="auto"/>
        <w:bottom w:val="none" w:sz="0" w:space="0" w:color="auto"/>
        <w:right w:val="none" w:sz="0" w:space="0" w:color="auto"/>
      </w:divBdr>
    </w:div>
    <w:div w:id="1000698509">
      <w:bodyDiv w:val="1"/>
      <w:marLeft w:val="0"/>
      <w:marRight w:val="0"/>
      <w:marTop w:val="0"/>
      <w:marBottom w:val="0"/>
      <w:divBdr>
        <w:top w:val="none" w:sz="0" w:space="0" w:color="auto"/>
        <w:left w:val="none" w:sz="0" w:space="0" w:color="auto"/>
        <w:bottom w:val="none" w:sz="0" w:space="0" w:color="auto"/>
        <w:right w:val="none" w:sz="0" w:space="0" w:color="auto"/>
      </w:divBdr>
    </w:div>
    <w:div w:id="1040084615">
      <w:bodyDiv w:val="1"/>
      <w:marLeft w:val="0"/>
      <w:marRight w:val="0"/>
      <w:marTop w:val="0"/>
      <w:marBottom w:val="0"/>
      <w:divBdr>
        <w:top w:val="none" w:sz="0" w:space="0" w:color="auto"/>
        <w:left w:val="none" w:sz="0" w:space="0" w:color="auto"/>
        <w:bottom w:val="none" w:sz="0" w:space="0" w:color="auto"/>
        <w:right w:val="none" w:sz="0" w:space="0" w:color="auto"/>
      </w:divBdr>
    </w:div>
    <w:div w:id="1046636910">
      <w:bodyDiv w:val="1"/>
      <w:marLeft w:val="0"/>
      <w:marRight w:val="0"/>
      <w:marTop w:val="0"/>
      <w:marBottom w:val="0"/>
      <w:divBdr>
        <w:top w:val="none" w:sz="0" w:space="0" w:color="auto"/>
        <w:left w:val="none" w:sz="0" w:space="0" w:color="auto"/>
        <w:bottom w:val="none" w:sz="0" w:space="0" w:color="auto"/>
        <w:right w:val="none" w:sz="0" w:space="0" w:color="auto"/>
      </w:divBdr>
    </w:div>
    <w:div w:id="1065953818">
      <w:bodyDiv w:val="1"/>
      <w:marLeft w:val="0"/>
      <w:marRight w:val="0"/>
      <w:marTop w:val="0"/>
      <w:marBottom w:val="0"/>
      <w:divBdr>
        <w:top w:val="none" w:sz="0" w:space="0" w:color="auto"/>
        <w:left w:val="none" w:sz="0" w:space="0" w:color="auto"/>
        <w:bottom w:val="none" w:sz="0" w:space="0" w:color="auto"/>
        <w:right w:val="none" w:sz="0" w:space="0" w:color="auto"/>
      </w:divBdr>
      <w:divsChild>
        <w:div w:id="350574776">
          <w:marLeft w:val="0"/>
          <w:marRight w:val="0"/>
          <w:marTop w:val="0"/>
          <w:marBottom w:val="0"/>
          <w:divBdr>
            <w:top w:val="none" w:sz="0" w:space="0" w:color="auto"/>
            <w:left w:val="none" w:sz="0" w:space="0" w:color="auto"/>
            <w:bottom w:val="none" w:sz="0" w:space="0" w:color="auto"/>
            <w:right w:val="none" w:sz="0" w:space="0" w:color="auto"/>
          </w:divBdr>
          <w:divsChild>
            <w:div w:id="1382827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0628082">
      <w:bodyDiv w:val="1"/>
      <w:marLeft w:val="0"/>
      <w:marRight w:val="0"/>
      <w:marTop w:val="0"/>
      <w:marBottom w:val="0"/>
      <w:divBdr>
        <w:top w:val="none" w:sz="0" w:space="0" w:color="auto"/>
        <w:left w:val="none" w:sz="0" w:space="0" w:color="auto"/>
        <w:bottom w:val="none" w:sz="0" w:space="0" w:color="auto"/>
        <w:right w:val="none" w:sz="0" w:space="0" w:color="auto"/>
      </w:divBdr>
    </w:div>
    <w:div w:id="1351645965">
      <w:bodyDiv w:val="1"/>
      <w:marLeft w:val="0"/>
      <w:marRight w:val="0"/>
      <w:marTop w:val="0"/>
      <w:marBottom w:val="0"/>
      <w:divBdr>
        <w:top w:val="none" w:sz="0" w:space="0" w:color="auto"/>
        <w:left w:val="none" w:sz="0" w:space="0" w:color="auto"/>
        <w:bottom w:val="none" w:sz="0" w:space="0" w:color="auto"/>
        <w:right w:val="none" w:sz="0" w:space="0" w:color="auto"/>
      </w:divBdr>
    </w:div>
    <w:div w:id="1391726902">
      <w:bodyDiv w:val="1"/>
      <w:marLeft w:val="0"/>
      <w:marRight w:val="0"/>
      <w:marTop w:val="0"/>
      <w:marBottom w:val="0"/>
      <w:divBdr>
        <w:top w:val="none" w:sz="0" w:space="0" w:color="auto"/>
        <w:left w:val="none" w:sz="0" w:space="0" w:color="auto"/>
        <w:bottom w:val="none" w:sz="0" w:space="0" w:color="auto"/>
        <w:right w:val="none" w:sz="0" w:space="0" w:color="auto"/>
      </w:divBdr>
    </w:div>
    <w:div w:id="1453012630">
      <w:bodyDiv w:val="1"/>
      <w:marLeft w:val="0"/>
      <w:marRight w:val="0"/>
      <w:marTop w:val="0"/>
      <w:marBottom w:val="0"/>
      <w:divBdr>
        <w:top w:val="none" w:sz="0" w:space="0" w:color="auto"/>
        <w:left w:val="none" w:sz="0" w:space="0" w:color="auto"/>
        <w:bottom w:val="none" w:sz="0" w:space="0" w:color="auto"/>
        <w:right w:val="none" w:sz="0" w:space="0" w:color="auto"/>
      </w:divBdr>
    </w:div>
    <w:div w:id="1543204494">
      <w:bodyDiv w:val="1"/>
      <w:marLeft w:val="0"/>
      <w:marRight w:val="0"/>
      <w:marTop w:val="0"/>
      <w:marBottom w:val="0"/>
      <w:divBdr>
        <w:top w:val="none" w:sz="0" w:space="0" w:color="auto"/>
        <w:left w:val="none" w:sz="0" w:space="0" w:color="auto"/>
        <w:bottom w:val="none" w:sz="0" w:space="0" w:color="auto"/>
        <w:right w:val="none" w:sz="0" w:space="0" w:color="auto"/>
      </w:divBdr>
    </w:div>
    <w:div w:id="1624653721">
      <w:bodyDiv w:val="1"/>
      <w:marLeft w:val="0"/>
      <w:marRight w:val="0"/>
      <w:marTop w:val="0"/>
      <w:marBottom w:val="0"/>
      <w:divBdr>
        <w:top w:val="none" w:sz="0" w:space="0" w:color="auto"/>
        <w:left w:val="none" w:sz="0" w:space="0" w:color="auto"/>
        <w:bottom w:val="none" w:sz="0" w:space="0" w:color="auto"/>
        <w:right w:val="none" w:sz="0" w:space="0" w:color="auto"/>
      </w:divBdr>
    </w:div>
    <w:div w:id="1639064570">
      <w:bodyDiv w:val="1"/>
      <w:marLeft w:val="0"/>
      <w:marRight w:val="0"/>
      <w:marTop w:val="0"/>
      <w:marBottom w:val="0"/>
      <w:divBdr>
        <w:top w:val="none" w:sz="0" w:space="0" w:color="auto"/>
        <w:left w:val="none" w:sz="0" w:space="0" w:color="auto"/>
        <w:bottom w:val="none" w:sz="0" w:space="0" w:color="auto"/>
        <w:right w:val="none" w:sz="0" w:space="0" w:color="auto"/>
      </w:divBdr>
    </w:div>
    <w:div w:id="1673753453">
      <w:bodyDiv w:val="1"/>
      <w:marLeft w:val="0"/>
      <w:marRight w:val="0"/>
      <w:marTop w:val="0"/>
      <w:marBottom w:val="0"/>
      <w:divBdr>
        <w:top w:val="none" w:sz="0" w:space="0" w:color="auto"/>
        <w:left w:val="none" w:sz="0" w:space="0" w:color="auto"/>
        <w:bottom w:val="none" w:sz="0" w:space="0" w:color="auto"/>
        <w:right w:val="none" w:sz="0" w:space="0" w:color="auto"/>
      </w:divBdr>
    </w:div>
    <w:div w:id="1856457937">
      <w:bodyDiv w:val="1"/>
      <w:marLeft w:val="0"/>
      <w:marRight w:val="0"/>
      <w:marTop w:val="0"/>
      <w:marBottom w:val="0"/>
      <w:divBdr>
        <w:top w:val="none" w:sz="0" w:space="0" w:color="auto"/>
        <w:left w:val="none" w:sz="0" w:space="0" w:color="auto"/>
        <w:bottom w:val="none" w:sz="0" w:space="0" w:color="auto"/>
        <w:right w:val="none" w:sz="0" w:space="0" w:color="auto"/>
      </w:divBdr>
    </w:div>
    <w:div w:id="19174688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svg"/><Relationship Id="rId13" Type="http://schemas.openxmlformats.org/officeDocument/2006/relationships/image" Target="media/image7.png"/><Relationship Id="rId18" Type="http://schemas.openxmlformats.org/officeDocument/2006/relationships/image" Target="media/image12.sv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svg"/><Relationship Id="rId17" Type="http://schemas.openxmlformats.org/officeDocument/2006/relationships/image" Target="media/image11.png"/><Relationship Id="rId25"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10.svg"/><Relationship Id="rId20" Type="http://schemas.openxmlformats.org/officeDocument/2006/relationships/image" Target="media/image14.sv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sv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10" Type="http://schemas.openxmlformats.org/officeDocument/2006/relationships/image" Target="media/image4.sv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svg"/><Relationship Id="rId22" Type="http://schemas.openxmlformats.org/officeDocument/2006/relationships/image" Target="media/image16.sv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106</TotalTime>
  <Pages>10</Pages>
  <Words>3004</Words>
  <Characters>17126</Characters>
  <Application>Microsoft Office Word</Application>
  <DocSecurity>0</DocSecurity>
  <Lines>142</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20090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Liladhar Paudel</cp:lastModifiedBy>
  <cp:revision>9</cp:revision>
  <dcterms:created xsi:type="dcterms:W3CDTF">2026-04-08T04:34:00Z</dcterms:created>
  <dcterms:modified xsi:type="dcterms:W3CDTF">2026-04-09T00:22:00Z</dcterms:modified>
</cp:coreProperties>
</file>