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1C1E" w14:textId="77777777" w:rsidR="001A234B" w:rsidRPr="00BF4711" w:rsidRDefault="001A234B" w:rsidP="0026028D">
      <w:pPr>
        <w:pStyle w:val="yiv8714890903msonormal"/>
        <w:shd w:val="clear" w:color="auto" w:fill="FFFFFF"/>
        <w:spacing w:before="0" w:beforeAutospacing="0" w:after="0" w:afterAutospacing="0"/>
        <w:contextualSpacing/>
        <w:rPr>
          <w:b/>
          <w:bCs/>
          <w:color w:val="1D1D1D"/>
        </w:rPr>
      </w:pPr>
    </w:p>
    <w:p w14:paraId="1EF29801" w14:textId="6F1DAB77" w:rsidR="00C9475C" w:rsidRDefault="00F974CB" w:rsidP="00C9475C">
      <w:pPr>
        <w:pStyle w:val="Heading1"/>
        <w:shd w:val="clear" w:color="auto" w:fill="FFFFFF"/>
        <w:spacing w:before="261" w:after="174"/>
        <w:rPr>
          <w:rFonts w:ascii="Segoe UI" w:hAnsi="Segoe UI" w:cs="Segoe UI"/>
          <w:sz w:val="44"/>
          <w:szCs w:val="44"/>
        </w:rPr>
      </w:pPr>
      <w:r w:rsidRPr="00BF4711">
        <w:rPr>
          <w:b/>
          <w:bCs/>
          <w:color w:val="1D1D1D"/>
        </w:rPr>
        <w:t>Title:</w:t>
      </w:r>
      <w:r w:rsidR="001A234B" w:rsidRPr="00BF4711">
        <w:rPr>
          <w:b/>
          <w:bCs/>
          <w:color w:val="1D1D1D"/>
        </w:rPr>
        <w:t xml:space="preserve"> </w:t>
      </w:r>
      <w:r w:rsidR="008F00E4" w:rsidRPr="008F00E4">
        <w:rPr>
          <w:rFonts w:ascii="Times New Roman" w:eastAsiaTheme="minorHAnsi" w:hAnsi="Times New Roman" w:cs="Times New Roman"/>
          <w:color w:val="auto"/>
          <w:sz w:val="24"/>
          <w:szCs w:val="24"/>
        </w:rPr>
        <w:t>Multi-Subject Analysis of Hair Cycle Dynamics: A Sub-compartmentalized SIR-Based ODE Modeling.</w:t>
      </w:r>
    </w:p>
    <w:p w14:paraId="3616224A" w14:textId="00DC4FEB" w:rsidR="008376BF" w:rsidRPr="00BF4711" w:rsidRDefault="008376BF" w:rsidP="0026028D">
      <w:pPr>
        <w:pStyle w:val="yiv8714890903msonormal"/>
        <w:shd w:val="clear" w:color="auto" w:fill="FFFFFF"/>
        <w:spacing w:before="0" w:beforeAutospacing="0" w:after="0" w:afterAutospacing="0"/>
        <w:contextualSpacing/>
        <w:rPr>
          <w:color w:val="1D1D1D"/>
        </w:rPr>
      </w:pPr>
    </w:p>
    <w:p w14:paraId="07C30B76" w14:textId="77777777" w:rsidR="00423836" w:rsidRDefault="00423836" w:rsidP="0026028D">
      <w:pPr>
        <w:pStyle w:val="yiv8714890903msonormal"/>
        <w:shd w:val="clear" w:color="auto" w:fill="FFFFFF"/>
        <w:spacing w:before="0" w:beforeAutospacing="0" w:after="0" w:afterAutospacing="0"/>
        <w:contextualSpacing/>
        <w:rPr>
          <w:rFonts w:eastAsiaTheme="minorHAnsi"/>
        </w:rPr>
      </w:pPr>
    </w:p>
    <w:p w14:paraId="4818F3C8" w14:textId="77777777" w:rsidR="00115B70" w:rsidRPr="00BF4711" w:rsidRDefault="00115B70" w:rsidP="0026028D">
      <w:pPr>
        <w:pStyle w:val="yiv8714890903msonormal"/>
        <w:shd w:val="clear" w:color="auto" w:fill="FFFFFF"/>
        <w:spacing w:before="0" w:beforeAutospacing="0" w:after="0" w:afterAutospacing="0"/>
        <w:contextualSpacing/>
        <w:rPr>
          <w:rFonts w:eastAsiaTheme="minorHAnsi"/>
        </w:rPr>
      </w:pPr>
    </w:p>
    <w:p w14:paraId="1FB97AB1" w14:textId="152DD522" w:rsidR="00486339" w:rsidRPr="00BF4711" w:rsidRDefault="00E16788" w:rsidP="0026028D">
      <w:pPr>
        <w:pStyle w:val="yiv8714890903msonormal"/>
        <w:shd w:val="clear" w:color="auto" w:fill="FFFFFF"/>
        <w:spacing w:before="0" w:beforeAutospacing="0" w:after="0" w:afterAutospacing="0"/>
        <w:contextualSpacing/>
        <w:rPr>
          <w:color w:val="1D1D1D"/>
        </w:rPr>
      </w:pPr>
      <w:r w:rsidRPr="00BF4711">
        <w:rPr>
          <w:b/>
          <w:bCs/>
          <w:color w:val="1D1D1D"/>
        </w:rPr>
        <w:t>Contributors:</w:t>
      </w:r>
    </w:p>
    <w:p w14:paraId="75BDC14C" w14:textId="77777777" w:rsidR="00AB34AC" w:rsidRPr="00BF4711" w:rsidRDefault="00AB34AC" w:rsidP="0026028D">
      <w:pPr>
        <w:pStyle w:val="yiv8714890903msonormal"/>
        <w:shd w:val="clear" w:color="auto" w:fill="FFFFFF"/>
        <w:spacing w:before="0" w:beforeAutospacing="0" w:after="0" w:afterAutospacing="0"/>
        <w:contextualSpacing/>
        <w:rPr>
          <w:color w:val="1D1D1D"/>
        </w:rPr>
      </w:pPr>
    </w:p>
    <w:p w14:paraId="6E31C461" w14:textId="1A56245D" w:rsidR="00486339" w:rsidRPr="00BF4711" w:rsidRDefault="00DB45F6" w:rsidP="0026028D">
      <w:pPr>
        <w:pStyle w:val="yiv8714890903msonormal"/>
        <w:shd w:val="clear" w:color="auto" w:fill="FFFFFF"/>
        <w:spacing w:before="0" w:beforeAutospacing="0" w:after="0" w:afterAutospacing="0"/>
        <w:contextualSpacing/>
        <w:rPr>
          <w:color w:val="1D1D1D"/>
        </w:rPr>
      </w:pPr>
      <w:r w:rsidRPr="00BF4711">
        <w:rPr>
          <w:color w:val="1D1D1D"/>
        </w:rPr>
        <w:t>A</w:t>
      </w:r>
      <w:r w:rsidR="00486339" w:rsidRPr="00BF4711">
        <w:rPr>
          <w:color w:val="1D1D1D"/>
        </w:rPr>
        <w:t>sfaw, Yoseph</w:t>
      </w:r>
    </w:p>
    <w:p w14:paraId="3C8C98EE" w14:textId="6F1E3177" w:rsidR="00E16788" w:rsidRPr="00BF4711" w:rsidRDefault="00486339" w:rsidP="0026028D">
      <w:pPr>
        <w:pStyle w:val="yiv8714890903msonormal"/>
        <w:shd w:val="clear" w:color="auto" w:fill="FFFFFF"/>
        <w:spacing w:before="0" w:beforeAutospacing="0" w:after="0" w:afterAutospacing="0"/>
        <w:contextualSpacing/>
        <w:rPr>
          <w:color w:val="1D1D1D"/>
        </w:rPr>
      </w:pPr>
      <w:r w:rsidRPr="00BF4711">
        <w:rPr>
          <w:color w:val="1D1D1D"/>
        </w:rPr>
        <w:t>Paudel, Liladhar</w:t>
      </w:r>
    </w:p>
    <w:p w14:paraId="197870D0" w14:textId="77777777" w:rsidR="00E16788" w:rsidRPr="00BF4711" w:rsidRDefault="00E16788" w:rsidP="0026028D">
      <w:pPr>
        <w:pStyle w:val="yiv8714890903msonormal"/>
        <w:shd w:val="clear" w:color="auto" w:fill="FFFFFF"/>
        <w:spacing w:before="0" w:beforeAutospacing="0" w:after="0" w:afterAutospacing="0"/>
        <w:contextualSpacing/>
        <w:rPr>
          <w:rFonts w:eastAsiaTheme="minorHAnsi"/>
        </w:rPr>
      </w:pPr>
    </w:p>
    <w:p w14:paraId="29E8A754" w14:textId="77777777" w:rsidR="0047789C" w:rsidRPr="00BF4711" w:rsidRDefault="0047789C" w:rsidP="0026028D">
      <w:pPr>
        <w:pStyle w:val="yiv8714890903msonormal"/>
        <w:shd w:val="clear" w:color="auto" w:fill="FFFFFF"/>
        <w:spacing w:before="0" w:beforeAutospacing="0" w:after="0" w:afterAutospacing="0"/>
        <w:contextualSpacing/>
        <w:rPr>
          <w:b/>
          <w:bCs/>
          <w:color w:val="1D1D1D"/>
        </w:rPr>
      </w:pPr>
    </w:p>
    <w:p w14:paraId="06E8E36B" w14:textId="60F25B00" w:rsidR="00FA24D9" w:rsidRPr="00BF4711" w:rsidRDefault="00FA24D9" w:rsidP="0026028D">
      <w:pPr>
        <w:pStyle w:val="yiv8714890903msonormal"/>
        <w:shd w:val="clear" w:color="auto" w:fill="FFFFFF"/>
        <w:spacing w:before="0" w:beforeAutospacing="0" w:after="0" w:afterAutospacing="0"/>
        <w:contextualSpacing/>
        <w:rPr>
          <w:color w:val="1D1D1D"/>
        </w:rPr>
      </w:pPr>
      <w:r w:rsidRPr="00BF4711">
        <w:rPr>
          <w:b/>
          <w:bCs/>
          <w:color w:val="1D1D1D"/>
        </w:rPr>
        <w:t xml:space="preserve">Abstract </w:t>
      </w:r>
    </w:p>
    <w:p w14:paraId="2F692590" w14:textId="77777777" w:rsidR="00FA24D9" w:rsidRPr="00BF4711" w:rsidRDefault="00FA24D9" w:rsidP="0026028D">
      <w:pPr>
        <w:pStyle w:val="yiv8714890903msonormal"/>
        <w:shd w:val="clear" w:color="auto" w:fill="FFFFFF"/>
        <w:spacing w:before="0" w:beforeAutospacing="0" w:after="0" w:afterAutospacing="0"/>
        <w:contextualSpacing/>
        <w:rPr>
          <w:color w:val="1D1D1D"/>
        </w:rPr>
      </w:pPr>
      <w:r w:rsidRPr="00BF4711">
        <w:rPr>
          <w:color w:val="1D1D1D"/>
        </w:rPr>
        <w:t> </w:t>
      </w:r>
    </w:p>
    <w:p w14:paraId="042176E0" w14:textId="5D16FBFD" w:rsidR="00FA24D9" w:rsidRDefault="00FA24D9" w:rsidP="0026028D">
      <w:pPr>
        <w:contextualSpacing/>
        <w:rPr>
          <w:b/>
        </w:rPr>
      </w:pPr>
    </w:p>
    <w:p w14:paraId="20DE8F8C" w14:textId="77777777" w:rsidR="00115B70" w:rsidRPr="00BF4711" w:rsidRDefault="00115B70" w:rsidP="0026028D">
      <w:pPr>
        <w:contextualSpacing/>
        <w:rPr>
          <w:b/>
        </w:rPr>
      </w:pPr>
    </w:p>
    <w:p w14:paraId="12DA1F1B" w14:textId="77777777" w:rsidR="00306D3B" w:rsidRPr="00BF4711" w:rsidRDefault="00636F80" w:rsidP="0026028D">
      <w:pPr>
        <w:pStyle w:val="ListParagraph"/>
        <w:numPr>
          <w:ilvl w:val="0"/>
          <w:numId w:val="1"/>
        </w:numPr>
        <w:ind w:left="360"/>
        <w:rPr>
          <w:b/>
        </w:rPr>
      </w:pPr>
      <w:r w:rsidRPr="00BF4711">
        <w:rPr>
          <w:b/>
        </w:rPr>
        <w:t>Introduction</w:t>
      </w:r>
    </w:p>
    <w:p w14:paraId="5966A298"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Hair loss is a highly prevalent condition that affects individuals across a wide range of ages and both genders. Beyond its physiological aspects, hair loss has significant psychological and social implications, often impacting self-confidence, mental well-being, and even professional opportunities. As a result, understanding and predicting hair loss progression has become an important problem in both clinical and research settings.</w:t>
      </w:r>
    </w:p>
    <w:p w14:paraId="51788938"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Currently, many clinical procedures for evaluating hair loss and forecasting its future severity rely heavily on manual assessment and expert judgment. These approaches, while valuable, are often subjective and may lack consistency and scalability. This limitation has motivated substantial research into quantitative and computational models that can systematically describe hair follicle behavior over time.</w:t>
      </w:r>
    </w:p>
    <w:p w14:paraId="183507AE"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 xml:space="preserve">Hair follicles undergo a cyclic process consisting of three primary phases: anagen (growth phase), catagen (transition phase), and telogen (resting phase). Transitions between these phases are regulated by complex interactions of biochemical signals, including proteins such as </w:t>
      </w:r>
      <w:proofErr w:type="spellStart"/>
      <w:r w:rsidRPr="00455CCD">
        <w:rPr>
          <w:rFonts w:eastAsiaTheme="minorHAnsi"/>
        </w:rPr>
        <w:t>Wnt</w:t>
      </w:r>
      <w:proofErr w:type="spellEnd"/>
      <w:r w:rsidRPr="00455CCD">
        <w:rPr>
          <w:rFonts w:eastAsiaTheme="minorHAnsi"/>
        </w:rPr>
        <w:t xml:space="preserve"> and various hormones. Over the years, several studies have proposed mathematical models—particularly systems of ordinary differential equations (ODEs)—to capture these dynamics. For example, Al-Nuaimi et al. (2012) introduced a compartment-based model demonstrating oscillatory switching between growth and resting states, while Wang et al. (2017) developed a multi-scale framework to model spatial propagation of follicle activation. More recently, Alzubadi (2024) incorporated immune system interactions to better explain pathological conditions such as alopecia.</w:t>
      </w:r>
    </w:p>
    <w:p w14:paraId="45746BFD"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Despite differences in biological detail, these models share a common structural feature: they describe populations of follicles transitioning between discrete states. This structure closely resembles compartmental models widely used in epidemiology, particularly the SIR model, where individuals transition between susceptible, infected, and recovered states.</w:t>
      </w:r>
    </w:p>
    <w:p w14:paraId="1E5F9138" w14:textId="1BC1CB3B" w:rsidR="00455CCD" w:rsidRDefault="00455CCD" w:rsidP="00455CCD">
      <w:pPr>
        <w:spacing w:before="100" w:beforeAutospacing="1" w:after="100" w:afterAutospacing="1"/>
        <w:jc w:val="both"/>
        <w:rPr>
          <w:rFonts w:eastAsiaTheme="minorHAnsi"/>
        </w:rPr>
      </w:pPr>
      <w:r w:rsidRPr="00455CCD">
        <w:rPr>
          <w:rFonts w:eastAsiaTheme="minorHAnsi"/>
        </w:rPr>
        <w:lastRenderedPageBreak/>
        <w:t>Motivated by this analogy, this work formulates hair follicle dynamics within an SIR-inspired framework. By leveraging the mathematical simplicity and interpretability of compartmental models, we aim to provide a tractable yet insightful representation of follicle state transitions, enabling deeper analysis of hair growth dynamics and potential progression toward hair loss.</w:t>
      </w:r>
    </w:p>
    <w:p w14:paraId="211FE237" w14:textId="77777777" w:rsidR="00C9475C" w:rsidRPr="00C9475C" w:rsidRDefault="00C9475C" w:rsidP="00C9475C">
      <w:pPr>
        <w:pStyle w:val="NormalWeb"/>
        <w:jc w:val="both"/>
        <w:rPr>
          <w:rFonts w:eastAsiaTheme="minorHAnsi"/>
        </w:rPr>
      </w:pPr>
      <w:r w:rsidRPr="00C9475C">
        <w:rPr>
          <w:rFonts w:eastAsiaTheme="minorHAnsi"/>
        </w:rPr>
        <w:t>Due to the lack of accessible longitudinal clinical data, we estimated the parameters of the proposed ODE system using nonlinear regression on synthetically generated data. Specifically, we leveraged the stochastic framework presented in Halloy et al. (2026), which provides statistical characteristics for both alopecic and non-alopecic populations. Using this framework, we implemented an agent-based simulation to generate realistic time-series data for follicle state transitions.</w:t>
      </w:r>
    </w:p>
    <w:p w14:paraId="5F360A7B" w14:textId="77777777" w:rsidR="00C9475C" w:rsidRPr="00C9475C" w:rsidRDefault="00C9475C" w:rsidP="00C9475C">
      <w:pPr>
        <w:pStyle w:val="NormalWeb"/>
        <w:jc w:val="both"/>
        <w:rPr>
          <w:rFonts w:eastAsiaTheme="minorHAnsi"/>
        </w:rPr>
      </w:pPr>
      <w:r w:rsidRPr="00C9475C">
        <w:rPr>
          <w:rFonts w:eastAsiaTheme="minorHAnsi"/>
        </w:rPr>
        <w:t>The proposed model demonstrates a strong fit to the generated data, yielding parameter values that are consistent with known biological interpretations of hair follicle dynamics. However, initial analysis of the residuals indicated that a simple three-compartment formulation fails to capture the full temporal structure of the system, particularly its non-memoryless behavior.</w:t>
      </w:r>
    </w:p>
    <w:p w14:paraId="373CFADC" w14:textId="4AE83358" w:rsidR="00C9475C" w:rsidRPr="00C9475C" w:rsidRDefault="00C9475C" w:rsidP="00C9475C">
      <w:pPr>
        <w:pStyle w:val="NormalWeb"/>
        <w:jc w:val="both"/>
        <w:rPr>
          <w:rFonts w:eastAsiaTheme="minorHAnsi"/>
        </w:rPr>
      </w:pPr>
      <w:r w:rsidRPr="00C9475C">
        <w:rPr>
          <w:rFonts w:eastAsiaTheme="minorHAnsi"/>
        </w:rPr>
        <w:t>To address this limitation, we extended the model by introducing sub</w:t>
      </w:r>
      <w:r>
        <w:rPr>
          <w:rFonts w:eastAsiaTheme="minorHAnsi"/>
        </w:rPr>
        <w:t>-</w:t>
      </w:r>
      <w:r w:rsidRPr="00C9475C">
        <w:rPr>
          <w:rFonts w:eastAsiaTheme="minorHAnsi"/>
        </w:rPr>
        <w:t xml:space="preserve">compartments within the primary states </w:t>
      </w:r>
      <w:r w:rsidR="0072372B">
        <w:rPr>
          <w:rFonts w:eastAsiaTheme="minorHAnsi"/>
        </w:rPr>
        <w:t xml:space="preserve"> of </w:t>
      </w:r>
      <w:r w:rsidRPr="00C9475C">
        <w:rPr>
          <w:rFonts w:eastAsiaTheme="minorHAnsi"/>
        </w:rPr>
        <w:t>anagen</w:t>
      </w:r>
      <w:r w:rsidR="0072372B">
        <w:rPr>
          <w:rFonts w:eastAsiaTheme="minorHAnsi"/>
        </w:rPr>
        <w:t xml:space="preserve"> </w:t>
      </w:r>
      <w:r w:rsidRPr="00C9475C">
        <w:rPr>
          <w:rFonts w:eastAsiaTheme="minorHAnsi"/>
        </w:rPr>
        <w:t>and telogen. This refinement allows the system to better represent delayed transitions and internal phase heterogeneity, resulting in improved alignment with observed follicle dynamics.</w:t>
      </w:r>
    </w:p>
    <w:p w14:paraId="6F0B1824" w14:textId="77777777" w:rsidR="00FA181F" w:rsidRPr="00BF4711" w:rsidRDefault="00FA181F" w:rsidP="0026028D">
      <w:pPr>
        <w:pStyle w:val="NormalWeb"/>
        <w:spacing w:before="0" w:beforeAutospacing="0" w:after="0" w:afterAutospacing="0"/>
        <w:contextualSpacing/>
        <w:jc w:val="both"/>
        <w:rPr>
          <w:rFonts w:eastAsiaTheme="minorHAnsi"/>
        </w:rPr>
      </w:pPr>
    </w:p>
    <w:p w14:paraId="1B940DD7" w14:textId="77777777" w:rsidR="00636F80" w:rsidRPr="00BF4711" w:rsidRDefault="007C27BE" w:rsidP="0026028D">
      <w:pPr>
        <w:pStyle w:val="ListParagraph"/>
        <w:numPr>
          <w:ilvl w:val="0"/>
          <w:numId w:val="1"/>
        </w:numPr>
        <w:ind w:left="360"/>
        <w:rPr>
          <w:b/>
        </w:rPr>
      </w:pPr>
      <w:r w:rsidRPr="00BF4711">
        <w:rPr>
          <w:b/>
        </w:rPr>
        <w:t xml:space="preserve"> </w:t>
      </w:r>
      <w:r w:rsidR="00BF7982" w:rsidRPr="00BF4711">
        <w:rPr>
          <w:b/>
        </w:rPr>
        <w:t>Model Description</w:t>
      </w:r>
    </w:p>
    <w:p w14:paraId="000561EF" w14:textId="77777777" w:rsidR="006E3E30" w:rsidRDefault="006E3E30" w:rsidP="0026028D">
      <w:pPr>
        <w:pStyle w:val="NormalWeb"/>
        <w:spacing w:before="0" w:beforeAutospacing="0" w:after="0" w:afterAutospacing="0"/>
        <w:contextualSpacing/>
        <w:jc w:val="both"/>
        <w:rPr>
          <w:rFonts w:eastAsiaTheme="minorHAnsi"/>
        </w:rPr>
      </w:pPr>
    </w:p>
    <w:p w14:paraId="054CFBE5" w14:textId="77777777" w:rsidR="00276086" w:rsidRDefault="00276086" w:rsidP="00276086">
      <w:pPr>
        <w:tabs>
          <w:tab w:val="left" w:pos="3500"/>
        </w:tabs>
      </w:pPr>
    </w:p>
    <w:p w14:paraId="62B5FF8E" w14:textId="1DCD88DB" w:rsidR="00075ED4" w:rsidRPr="008D090A" w:rsidRDefault="00D276F3" w:rsidP="00FC728E">
      <w:pPr>
        <w:pStyle w:val="ListParagraph"/>
        <w:tabs>
          <w:tab w:val="left" w:pos="3500"/>
        </w:tabs>
        <w:spacing w:after="120"/>
        <w:ind w:left="0"/>
        <w:contextualSpacing w:val="0"/>
        <w:rPr>
          <w:b/>
        </w:rPr>
      </w:pPr>
      <w:r w:rsidRPr="00BF4711">
        <w:rPr>
          <w:b/>
        </w:rPr>
        <w:t>Parameter ranges and descriptions</w:t>
      </w:r>
      <w:r w:rsidR="000420BC" w:rsidRPr="00BF4711">
        <w:rPr>
          <w:b/>
        </w:rPr>
        <w:t>.</w:t>
      </w:r>
      <w:r w:rsidRPr="00BF4711">
        <w:rPr>
          <w:b/>
        </w:rPr>
        <w:t xml:space="preserve"> </w:t>
      </w:r>
    </w:p>
    <w:p w14:paraId="341849CA" w14:textId="3AB23C09" w:rsidR="00D276F3" w:rsidRPr="00BF4711" w:rsidRDefault="00D276F3" w:rsidP="0026028D">
      <w:pPr>
        <w:pStyle w:val="ListParagraph"/>
        <w:tabs>
          <w:tab w:val="left" w:pos="3500"/>
        </w:tabs>
        <w:ind w:left="0"/>
      </w:pPr>
      <w:r w:rsidRPr="00BF4711">
        <w:t xml:space="preserve">Model parameters and their ranges of values are summarized in </w:t>
      </w:r>
      <w:r w:rsidR="000420BC" w:rsidRPr="00BF4711">
        <w:rPr>
          <w:b/>
          <w:bCs/>
          <w:i/>
          <w:iCs/>
        </w:rPr>
        <w:t>T</w:t>
      </w:r>
      <w:r w:rsidRPr="00BF4711">
        <w:rPr>
          <w:b/>
          <w:bCs/>
          <w:i/>
          <w:iCs/>
        </w:rPr>
        <w:t>able 1</w:t>
      </w:r>
      <w:r w:rsidRPr="00BF4711">
        <w:t xml:space="preserve"> below</w:t>
      </w:r>
      <w:r w:rsidR="00E926EC" w:rsidRPr="00BF4711">
        <w:t>.</w:t>
      </w:r>
    </w:p>
    <w:p w14:paraId="3CE9C5EF" w14:textId="3DB8F54F" w:rsidR="000420BC" w:rsidRPr="00BF4711" w:rsidRDefault="000420BC" w:rsidP="0026028D">
      <w:pPr>
        <w:pStyle w:val="ListParagraph"/>
        <w:tabs>
          <w:tab w:val="left" w:pos="3500"/>
        </w:tabs>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93"/>
        <w:gridCol w:w="1398"/>
        <w:gridCol w:w="2229"/>
        <w:gridCol w:w="2229"/>
      </w:tblGrid>
      <w:tr w:rsidR="0072372B" w:rsidRPr="00BF4711" w14:paraId="32497E56" w14:textId="77777777" w:rsidTr="00ED3F70">
        <w:trPr>
          <w:trHeight w:val="122"/>
          <w:tblHeader/>
        </w:trPr>
        <w:tc>
          <w:tcPr>
            <w:tcW w:w="4093" w:type="dxa"/>
            <w:shd w:val="clear" w:color="auto" w:fill="FFFFFF"/>
            <w:tcMar>
              <w:top w:w="120" w:type="dxa"/>
              <w:left w:w="120" w:type="dxa"/>
              <w:bottom w:w="120" w:type="dxa"/>
              <w:right w:w="120" w:type="dxa"/>
            </w:tcMar>
            <w:vAlign w:val="center"/>
            <w:hideMark/>
          </w:tcPr>
          <w:p w14:paraId="22D39490" w14:textId="1D118A1D" w:rsidR="0072372B" w:rsidRPr="00BF4711" w:rsidRDefault="0072372B" w:rsidP="0026028D">
            <w:pPr>
              <w:contextualSpacing/>
              <w:rPr>
                <w:b/>
                <w:bCs/>
              </w:rPr>
            </w:pPr>
            <w:r>
              <w:rPr>
                <w:b/>
                <w:bCs/>
              </w:rPr>
              <w:t>Metrics</w:t>
            </w:r>
          </w:p>
        </w:tc>
        <w:tc>
          <w:tcPr>
            <w:tcW w:w="0" w:type="auto"/>
            <w:shd w:val="clear" w:color="auto" w:fill="FFFFFF"/>
            <w:tcMar>
              <w:top w:w="120" w:type="dxa"/>
              <w:left w:w="120" w:type="dxa"/>
              <w:bottom w:w="120" w:type="dxa"/>
              <w:right w:w="120" w:type="dxa"/>
            </w:tcMar>
            <w:vAlign w:val="center"/>
            <w:hideMark/>
          </w:tcPr>
          <w:p w14:paraId="29F72B69" w14:textId="77777777" w:rsidR="0072372B" w:rsidRPr="00BF4711" w:rsidRDefault="0072372B" w:rsidP="0026028D">
            <w:pPr>
              <w:contextualSpacing/>
              <w:jc w:val="right"/>
              <w:rPr>
                <w:b/>
                <w:bCs/>
              </w:rPr>
            </w:pPr>
            <w:r w:rsidRPr="00BF4711">
              <w:rPr>
                <w:b/>
                <w:bCs/>
              </w:rPr>
              <w:t>Symbol</w:t>
            </w:r>
          </w:p>
        </w:tc>
        <w:tc>
          <w:tcPr>
            <w:tcW w:w="2229" w:type="dxa"/>
            <w:shd w:val="clear" w:color="auto" w:fill="FFFFFF"/>
          </w:tcPr>
          <w:p w14:paraId="52590864" w14:textId="78FD4FF9" w:rsidR="0072372B" w:rsidRPr="00BF4711" w:rsidRDefault="0072372B" w:rsidP="0072372B">
            <w:pPr>
              <w:contextualSpacing/>
              <w:jc w:val="center"/>
              <w:rPr>
                <w:b/>
                <w:bCs/>
              </w:rPr>
            </w:pPr>
            <w:r>
              <w:rPr>
                <w:b/>
                <w:bCs/>
              </w:rPr>
              <w:t>Description</w:t>
            </w:r>
          </w:p>
        </w:tc>
        <w:tc>
          <w:tcPr>
            <w:tcW w:w="2229" w:type="dxa"/>
            <w:shd w:val="clear" w:color="auto" w:fill="FFFFFF"/>
            <w:tcMar>
              <w:top w:w="120" w:type="dxa"/>
              <w:left w:w="120" w:type="dxa"/>
              <w:bottom w:w="120" w:type="dxa"/>
              <w:right w:w="120" w:type="dxa"/>
            </w:tcMar>
            <w:vAlign w:val="center"/>
            <w:hideMark/>
          </w:tcPr>
          <w:p w14:paraId="0A491F7C" w14:textId="4ED60A5B" w:rsidR="0072372B" w:rsidRPr="00BF4711" w:rsidRDefault="0072372B" w:rsidP="0026028D">
            <w:pPr>
              <w:contextualSpacing/>
              <w:jc w:val="right"/>
              <w:rPr>
                <w:b/>
                <w:bCs/>
              </w:rPr>
            </w:pPr>
            <w:r w:rsidRPr="00BF4711">
              <w:rPr>
                <w:b/>
                <w:bCs/>
              </w:rPr>
              <w:t>Typical range</w:t>
            </w:r>
            <w:r>
              <w:rPr>
                <w:b/>
                <w:bCs/>
              </w:rPr>
              <w:t xml:space="preserve"> (per month)</w:t>
            </w:r>
          </w:p>
        </w:tc>
      </w:tr>
      <w:tr w:rsidR="0072372B" w:rsidRPr="00BF4711" w14:paraId="17DD43FF"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45922838" w14:textId="1898B173" w:rsidR="0072372B" w:rsidRPr="0072372B" w:rsidRDefault="0072372B" w:rsidP="0026028D">
            <w:pPr>
              <w:contextualSpacing/>
              <w:rPr>
                <w:bCs/>
              </w:rPr>
            </w:pPr>
            <w:r w:rsidRPr="0072372B">
              <w:rPr>
                <w:bCs/>
              </w:rPr>
              <w:t>gamma</w:t>
            </w:r>
          </w:p>
        </w:tc>
        <w:tc>
          <w:tcPr>
            <w:tcW w:w="0" w:type="auto"/>
            <w:shd w:val="clear" w:color="auto" w:fill="FFFFFF"/>
            <w:tcMar>
              <w:top w:w="120" w:type="dxa"/>
              <w:left w:w="120" w:type="dxa"/>
              <w:bottom w:w="120" w:type="dxa"/>
              <w:right w:w="120" w:type="dxa"/>
            </w:tcMar>
            <w:vAlign w:val="center"/>
          </w:tcPr>
          <w:p w14:paraId="131DC0CA" w14:textId="3985B20E" w:rsidR="0072372B" w:rsidRPr="0072372B" w:rsidRDefault="0072372B" w:rsidP="0026028D">
            <w:pPr>
              <w:contextualSpacing/>
              <w:jc w:val="right"/>
              <w:rPr>
                <w:bCs/>
              </w:rPr>
            </w:pPr>
            <m:oMathPara>
              <m:oMath>
                <m:r>
                  <w:rPr>
                    <w:rFonts w:ascii="Cambria Math" w:hAnsi="Cambria Math"/>
                  </w:rPr>
                  <m:t>γ</m:t>
                </m:r>
              </m:oMath>
            </m:oMathPara>
          </w:p>
        </w:tc>
        <w:tc>
          <w:tcPr>
            <w:tcW w:w="2229" w:type="dxa"/>
            <w:shd w:val="clear" w:color="auto" w:fill="FFFFFF"/>
          </w:tcPr>
          <w:p w14:paraId="7779D40E" w14:textId="5BC4E4F0" w:rsidR="0072372B" w:rsidRPr="0072372B" w:rsidRDefault="0072372B" w:rsidP="0072372B">
            <w:pPr>
              <w:contextualSpacing/>
              <w:jc w:val="center"/>
              <w:rPr>
                <w:bCs/>
              </w:rPr>
            </w:pPr>
            <w:r w:rsidRPr="0072372B">
              <w:rPr>
                <w:bCs/>
              </w:rPr>
              <w:t xml:space="preserve">Catagen to </w:t>
            </w:r>
            <w:proofErr w:type="spellStart"/>
            <w:r w:rsidRPr="0072372B">
              <w:rPr>
                <w:bCs/>
              </w:rPr>
              <w:t>Telogent</w:t>
            </w:r>
            <w:proofErr w:type="spellEnd"/>
            <w:r w:rsidRPr="0072372B">
              <w:rPr>
                <w:bCs/>
              </w:rPr>
              <w:t xml:space="preserve"> transit rate</w:t>
            </w:r>
          </w:p>
        </w:tc>
        <w:tc>
          <w:tcPr>
            <w:tcW w:w="2229" w:type="dxa"/>
            <w:shd w:val="clear" w:color="auto" w:fill="FFFFFF"/>
            <w:tcMar>
              <w:top w:w="120" w:type="dxa"/>
              <w:left w:w="120" w:type="dxa"/>
              <w:bottom w:w="120" w:type="dxa"/>
              <w:right w:w="120" w:type="dxa"/>
            </w:tcMar>
            <w:vAlign w:val="center"/>
          </w:tcPr>
          <w:p w14:paraId="17C912A7" w14:textId="198631F3" w:rsidR="0072372B" w:rsidRPr="0072372B" w:rsidRDefault="0072372B" w:rsidP="0026028D">
            <w:pPr>
              <w:contextualSpacing/>
              <w:jc w:val="right"/>
              <w:rPr>
                <w:bCs/>
              </w:rPr>
            </w:pPr>
            <w:r w:rsidRPr="0072372B">
              <w:rPr>
                <w:bCs/>
              </w:rPr>
              <w:t>1.3 to 1.5</w:t>
            </w:r>
          </w:p>
        </w:tc>
      </w:tr>
      <w:tr w:rsidR="0072372B" w:rsidRPr="00BF4711" w14:paraId="6648BBB9"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A5E62CA" w14:textId="5AE98F3E" w:rsidR="0072372B" w:rsidRPr="0072372B" w:rsidRDefault="0072372B" w:rsidP="0026028D">
            <w:pPr>
              <w:contextualSpacing/>
              <w:rPr>
                <w:bCs/>
              </w:rPr>
            </w:pPr>
            <w:r w:rsidRPr="0072372B">
              <w:rPr>
                <w:bCs/>
              </w:rPr>
              <w:t>Telogen base rate</w:t>
            </w:r>
          </w:p>
        </w:tc>
        <w:tc>
          <w:tcPr>
            <w:tcW w:w="0" w:type="auto"/>
            <w:shd w:val="clear" w:color="auto" w:fill="FFFFFF"/>
            <w:tcMar>
              <w:top w:w="120" w:type="dxa"/>
              <w:left w:w="120" w:type="dxa"/>
              <w:bottom w:w="120" w:type="dxa"/>
              <w:right w:w="120" w:type="dxa"/>
            </w:tcMar>
            <w:vAlign w:val="center"/>
          </w:tcPr>
          <w:p w14:paraId="5200A537" w14:textId="542B336B" w:rsidR="0072372B" w:rsidRPr="0072372B"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wake</m:t>
                    </m:r>
                  </m:sub>
                </m:sSub>
              </m:oMath>
            </m:oMathPara>
          </w:p>
        </w:tc>
        <w:tc>
          <w:tcPr>
            <w:tcW w:w="2229" w:type="dxa"/>
            <w:shd w:val="clear" w:color="auto" w:fill="FFFFFF"/>
          </w:tcPr>
          <w:p w14:paraId="7DCF13E8" w14:textId="09D50E65" w:rsidR="0072372B" w:rsidRPr="0072372B" w:rsidRDefault="0072372B" w:rsidP="0072372B">
            <w:pPr>
              <w:contextualSpacing/>
              <w:jc w:val="center"/>
              <w:rPr>
                <w:bCs/>
              </w:rPr>
            </w:pPr>
            <w:r w:rsidRPr="0072372B">
              <w:rPr>
                <w:bCs/>
              </w:rPr>
              <w:t>Telogen to Anagen transfer rate</w:t>
            </w:r>
          </w:p>
        </w:tc>
        <w:tc>
          <w:tcPr>
            <w:tcW w:w="2229" w:type="dxa"/>
            <w:shd w:val="clear" w:color="auto" w:fill="FFFFFF"/>
            <w:tcMar>
              <w:top w:w="120" w:type="dxa"/>
              <w:left w:w="120" w:type="dxa"/>
              <w:bottom w:w="120" w:type="dxa"/>
              <w:right w:w="120" w:type="dxa"/>
            </w:tcMar>
            <w:vAlign w:val="center"/>
          </w:tcPr>
          <w:p w14:paraId="0C3B9ED3" w14:textId="5985696F" w:rsidR="0072372B" w:rsidRPr="0072372B" w:rsidRDefault="0072372B" w:rsidP="0026028D">
            <w:pPr>
              <w:contextualSpacing/>
              <w:jc w:val="right"/>
              <w:rPr>
                <w:bCs/>
              </w:rPr>
            </w:pPr>
            <w:r w:rsidRPr="0072372B">
              <w:rPr>
                <w:bCs/>
              </w:rPr>
              <w:t xml:space="preserve">0.25 to 0.33 </w:t>
            </w:r>
          </w:p>
        </w:tc>
      </w:tr>
      <w:tr w:rsidR="0072372B" w:rsidRPr="00BF4711" w14:paraId="09061AE1"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D1C600E" w14:textId="07A84272" w:rsidR="0072372B" w:rsidRPr="0072372B" w:rsidRDefault="0072372B" w:rsidP="0026028D">
            <w:pPr>
              <w:contextualSpacing/>
              <w:rPr>
                <w:bCs/>
              </w:rPr>
            </w:pPr>
            <w:r w:rsidRPr="0072372B">
              <w:rPr>
                <w:bCs/>
              </w:rPr>
              <w:t>Anagen base rate</w:t>
            </w:r>
          </w:p>
        </w:tc>
        <w:tc>
          <w:tcPr>
            <w:tcW w:w="0" w:type="auto"/>
            <w:shd w:val="clear" w:color="auto" w:fill="FFFFFF"/>
            <w:tcMar>
              <w:top w:w="120" w:type="dxa"/>
              <w:left w:w="120" w:type="dxa"/>
              <w:bottom w:w="120" w:type="dxa"/>
              <w:right w:w="120" w:type="dxa"/>
            </w:tcMar>
            <w:vAlign w:val="center"/>
          </w:tcPr>
          <w:p w14:paraId="049DCCC9" w14:textId="4BA77C28" w:rsidR="0072372B" w:rsidRPr="0072372B"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β</m:t>
                    </m:r>
                  </m:e>
                  <m:sub>
                    <m:r>
                      <w:rPr>
                        <w:rFonts w:ascii="Cambria Math" w:hAnsi="Cambria Math"/>
                      </w:rPr>
                      <m:t>base</m:t>
                    </m:r>
                  </m:sub>
                </m:sSub>
              </m:oMath>
            </m:oMathPara>
          </w:p>
        </w:tc>
        <w:tc>
          <w:tcPr>
            <w:tcW w:w="2229" w:type="dxa"/>
            <w:shd w:val="clear" w:color="auto" w:fill="FFFFFF"/>
          </w:tcPr>
          <w:p w14:paraId="34C5F5D7" w14:textId="12A929C4" w:rsidR="0072372B" w:rsidRPr="0072372B" w:rsidRDefault="0072372B" w:rsidP="0072372B">
            <w:pPr>
              <w:contextualSpacing/>
              <w:jc w:val="center"/>
              <w:rPr>
                <w:bCs/>
              </w:rPr>
            </w:pPr>
            <w:r w:rsidRPr="0072372B">
              <w:rPr>
                <w:bCs/>
              </w:rPr>
              <w:t>Anagen to Catagen transfer rate</w:t>
            </w:r>
          </w:p>
        </w:tc>
        <w:tc>
          <w:tcPr>
            <w:tcW w:w="2229" w:type="dxa"/>
            <w:shd w:val="clear" w:color="auto" w:fill="FFFFFF"/>
            <w:tcMar>
              <w:top w:w="120" w:type="dxa"/>
              <w:left w:w="120" w:type="dxa"/>
              <w:bottom w:w="120" w:type="dxa"/>
              <w:right w:w="120" w:type="dxa"/>
            </w:tcMar>
            <w:vAlign w:val="center"/>
          </w:tcPr>
          <w:p w14:paraId="29750323" w14:textId="725ECBBD" w:rsidR="0072372B" w:rsidRPr="0072372B" w:rsidRDefault="0072372B" w:rsidP="0026028D">
            <w:pPr>
              <w:contextualSpacing/>
              <w:jc w:val="right"/>
              <w:rPr>
                <w:bCs/>
              </w:rPr>
            </w:pPr>
            <w:r w:rsidRPr="0072372B">
              <w:rPr>
                <w:bCs/>
              </w:rPr>
              <w:t>0.027</w:t>
            </w:r>
          </w:p>
        </w:tc>
      </w:tr>
      <w:tr w:rsidR="0072372B" w:rsidRPr="00BF4711" w14:paraId="0616E86C"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51817743" w14:textId="59177830" w:rsidR="0072372B" w:rsidRPr="0072372B" w:rsidRDefault="0072372B" w:rsidP="0026028D">
            <w:pPr>
              <w:contextualSpacing/>
              <w:rPr>
                <w:bCs/>
              </w:rPr>
            </w:pPr>
            <w:proofErr w:type="spellStart"/>
            <w:r w:rsidRPr="0072372B">
              <w:rPr>
                <w:bCs/>
              </w:rPr>
              <w:t>Wnt</w:t>
            </w:r>
            <w:proofErr w:type="spellEnd"/>
            <w:r w:rsidRPr="0072372B">
              <w:rPr>
                <w:bCs/>
              </w:rPr>
              <w:t>/FGF5</w:t>
            </w:r>
            <w:r>
              <w:rPr>
                <w:bCs/>
              </w:rPr>
              <w:t>/DHT</w:t>
            </w:r>
          </w:p>
        </w:tc>
        <w:tc>
          <w:tcPr>
            <w:tcW w:w="0" w:type="auto"/>
            <w:shd w:val="clear" w:color="auto" w:fill="FFFFFF"/>
            <w:tcMar>
              <w:top w:w="120" w:type="dxa"/>
              <w:left w:w="120" w:type="dxa"/>
              <w:bottom w:w="120" w:type="dxa"/>
              <w:right w:w="120" w:type="dxa"/>
            </w:tcMar>
            <w:vAlign w:val="center"/>
          </w:tcPr>
          <w:p w14:paraId="6EC913CA" w14:textId="77777777" w:rsidR="0072372B" w:rsidRPr="0072372B" w:rsidRDefault="0072372B" w:rsidP="0026028D">
            <w:pPr>
              <w:contextualSpacing/>
              <w:jc w:val="right"/>
              <w:rPr>
                <w:bCs/>
              </w:rPr>
            </w:pPr>
          </w:p>
        </w:tc>
        <w:tc>
          <w:tcPr>
            <w:tcW w:w="2229" w:type="dxa"/>
            <w:shd w:val="clear" w:color="auto" w:fill="FFFFFF"/>
          </w:tcPr>
          <w:p w14:paraId="33090D0B" w14:textId="05B7269D" w:rsidR="0072372B" w:rsidRPr="0072372B" w:rsidRDefault="0072372B" w:rsidP="0072372B">
            <w:pPr>
              <w:contextualSpacing/>
              <w:jc w:val="center"/>
              <w:rPr>
                <w:bCs/>
              </w:rPr>
            </w:pPr>
            <w:r w:rsidRPr="0072372B">
              <w:rPr>
                <w:bCs/>
              </w:rPr>
              <w:t>Signal strength</w:t>
            </w:r>
          </w:p>
        </w:tc>
        <w:tc>
          <w:tcPr>
            <w:tcW w:w="2229" w:type="dxa"/>
            <w:shd w:val="clear" w:color="auto" w:fill="FFFFFF"/>
            <w:tcMar>
              <w:top w:w="120" w:type="dxa"/>
              <w:left w:w="120" w:type="dxa"/>
              <w:bottom w:w="120" w:type="dxa"/>
              <w:right w:w="120" w:type="dxa"/>
            </w:tcMar>
            <w:vAlign w:val="center"/>
          </w:tcPr>
          <w:p w14:paraId="7D461EC2" w14:textId="4CF0E286" w:rsidR="0072372B" w:rsidRPr="0072372B" w:rsidRDefault="0072372B" w:rsidP="0026028D">
            <w:pPr>
              <w:contextualSpacing/>
              <w:jc w:val="right"/>
              <w:rPr>
                <w:bCs/>
              </w:rPr>
            </w:pPr>
            <w:r w:rsidRPr="0072372B">
              <w:rPr>
                <w:bCs/>
              </w:rPr>
              <w:t>Normalized to 1</w:t>
            </w:r>
          </w:p>
        </w:tc>
      </w:tr>
      <w:tr w:rsidR="0072372B" w:rsidRPr="00BF4711" w14:paraId="6C31F80B"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C99392F" w14:textId="716C8F8F" w:rsidR="0072372B" w:rsidRPr="0072372B" w:rsidRDefault="0072372B" w:rsidP="0026028D">
            <w:pPr>
              <w:contextualSpacing/>
              <w:rPr>
                <w:bCs/>
              </w:rPr>
            </w:pPr>
            <w:r w:rsidRPr="0072372B">
              <w:rPr>
                <w:bCs/>
              </w:rPr>
              <w:t>Biological Threshold</w:t>
            </w:r>
          </w:p>
        </w:tc>
        <w:tc>
          <w:tcPr>
            <w:tcW w:w="0" w:type="auto"/>
            <w:shd w:val="clear" w:color="auto" w:fill="FFFFFF"/>
            <w:tcMar>
              <w:top w:w="120" w:type="dxa"/>
              <w:left w:w="120" w:type="dxa"/>
              <w:bottom w:w="120" w:type="dxa"/>
              <w:right w:w="120" w:type="dxa"/>
            </w:tcMar>
            <w:vAlign w:val="center"/>
          </w:tcPr>
          <w:p w14:paraId="5D338648" w14:textId="18820A40" w:rsidR="0072372B" w:rsidRPr="0072372B"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wnt</m:t>
                    </m:r>
                  </m:sub>
                </m:sSub>
                <m:r>
                  <w:rPr>
                    <w:rFonts w:ascii="Cambria Math" w:hAnsi="Cambria Math"/>
                  </w:rPr>
                  <m:t xml:space="preserve">, </m:t>
                </m:r>
                <m:sSub>
                  <m:sSubPr>
                    <m:ctrlPr>
                      <w:rPr>
                        <w:rFonts w:ascii="Cambria Math" w:hAnsi="Cambria Math"/>
                        <w:bCs/>
                        <w:i/>
                      </w:rPr>
                    </m:ctrlPr>
                  </m:sSubPr>
                  <m:e>
                    <m:r>
                      <w:rPr>
                        <w:rFonts w:ascii="Cambria Math" w:hAnsi="Cambria Math"/>
                      </w:rPr>
                      <m:t>K</m:t>
                    </m:r>
                  </m:e>
                  <m:sub>
                    <m:r>
                      <w:rPr>
                        <w:rFonts w:ascii="Cambria Math" w:hAnsi="Cambria Math"/>
                      </w:rPr>
                      <m:t>FGF5</m:t>
                    </m:r>
                  </m:sub>
                </m:sSub>
              </m:oMath>
            </m:oMathPara>
          </w:p>
        </w:tc>
        <w:tc>
          <w:tcPr>
            <w:tcW w:w="2229" w:type="dxa"/>
            <w:shd w:val="clear" w:color="auto" w:fill="FFFFFF"/>
          </w:tcPr>
          <w:p w14:paraId="1CB35991" w14:textId="77777777" w:rsidR="0072372B" w:rsidRPr="0072372B" w:rsidRDefault="0072372B" w:rsidP="0072372B">
            <w:pPr>
              <w:contextualSpacing/>
              <w:jc w:val="center"/>
              <w:rPr>
                <w:bCs/>
              </w:rPr>
            </w:pPr>
          </w:p>
        </w:tc>
        <w:tc>
          <w:tcPr>
            <w:tcW w:w="2229" w:type="dxa"/>
            <w:shd w:val="clear" w:color="auto" w:fill="FFFFFF"/>
            <w:tcMar>
              <w:top w:w="120" w:type="dxa"/>
              <w:left w:w="120" w:type="dxa"/>
              <w:bottom w:w="120" w:type="dxa"/>
              <w:right w:w="120" w:type="dxa"/>
            </w:tcMar>
            <w:vAlign w:val="center"/>
          </w:tcPr>
          <w:p w14:paraId="277FC840" w14:textId="2E9D1747" w:rsidR="0072372B" w:rsidRPr="0072372B" w:rsidRDefault="0072372B" w:rsidP="0026028D">
            <w:pPr>
              <w:contextualSpacing/>
              <w:jc w:val="right"/>
              <w:rPr>
                <w:bCs/>
              </w:rPr>
            </w:pPr>
            <w:r>
              <w:rPr>
                <w:bCs/>
              </w:rPr>
              <w:t>0.4 to 0.6 normalized</w:t>
            </w:r>
          </w:p>
        </w:tc>
      </w:tr>
      <w:tr w:rsidR="0072372B" w:rsidRPr="00BF4711" w14:paraId="710E71DF"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10DECA22" w14:textId="397F928B" w:rsidR="0072372B" w:rsidRPr="0072372B" w:rsidRDefault="0072372B" w:rsidP="0026028D">
            <w:pPr>
              <w:contextualSpacing/>
              <w:rPr>
                <w:bCs/>
              </w:rPr>
            </w:pPr>
            <w:r w:rsidRPr="0072372B">
              <w:rPr>
                <w:bCs/>
              </w:rPr>
              <w:t>Biological Threshold</w:t>
            </w:r>
          </w:p>
        </w:tc>
        <w:tc>
          <w:tcPr>
            <w:tcW w:w="0" w:type="auto"/>
            <w:shd w:val="clear" w:color="auto" w:fill="FFFFFF"/>
            <w:tcMar>
              <w:top w:w="120" w:type="dxa"/>
              <w:left w:w="120" w:type="dxa"/>
              <w:bottom w:w="120" w:type="dxa"/>
              <w:right w:w="120" w:type="dxa"/>
            </w:tcMar>
            <w:vAlign w:val="center"/>
          </w:tcPr>
          <w:p w14:paraId="4DFD3B64" w14:textId="595310AF" w:rsidR="0072372B" w:rsidRPr="00FF5DD3"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DHT</m:t>
                    </m:r>
                  </m:sub>
                </m:sSub>
              </m:oMath>
            </m:oMathPara>
          </w:p>
        </w:tc>
        <w:tc>
          <w:tcPr>
            <w:tcW w:w="2229" w:type="dxa"/>
            <w:shd w:val="clear" w:color="auto" w:fill="FFFFFF"/>
          </w:tcPr>
          <w:p w14:paraId="06DC4F49" w14:textId="77777777" w:rsidR="0072372B" w:rsidRPr="0072372B" w:rsidRDefault="0072372B" w:rsidP="0072372B">
            <w:pPr>
              <w:contextualSpacing/>
              <w:jc w:val="center"/>
              <w:rPr>
                <w:bCs/>
              </w:rPr>
            </w:pPr>
          </w:p>
        </w:tc>
        <w:tc>
          <w:tcPr>
            <w:tcW w:w="2229" w:type="dxa"/>
            <w:shd w:val="clear" w:color="auto" w:fill="FFFFFF"/>
            <w:tcMar>
              <w:top w:w="120" w:type="dxa"/>
              <w:left w:w="120" w:type="dxa"/>
              <w:bottom w:w="120" w:type="dxa"/>
              <w:right w:w="120" w:type="dxa"/>
            </w:tcMar>
            <w:vAlign w:val="center"/>
          </w:tcPr>
          <w:p w14:paraId="4CDA62D5" w14:textId="03240F0C" w:rsidR="0072372B" w:rsidRDefault="0072372B" w:rsidP="0026028D">
            <w:pPr>
              <w:contextualSpacing/>
              <w:jc w:val="right"/>
              <w:rPr>
                <w:bCs/>
              </w:rPr>
            </w:pPr>
            <w:r>
              <w:rPr>
                <w:bCs/>
              </w:rPr>
              <w:t>0.2 to 0.8 normalized</w:t>
            </w:r>
          </w:p>
        </w:tc>
      </w:tr>
    </w:tbl>
    <w:p w14:paraId="31FB1406" w14:textId="77777777" w:rsidR="00D276F3" w:rsidRPr="00BF4711" w:rsidRDefault="00D276F3" w:rsidP="0026028D">
      <w:pPr>
        <w:pStyle w:val="ListParagraph"/>
        <w:tabs>
          <w:tab w:val="left" w:pos="3500"/>
        </w:tabs>
      </w:pPr>
    </w:p>
    <w:p w14:paraId="083BF2B7" w14:textId="3C860C73" w:rsidR="00172740" w:rsidRPr="00BF4711" w:rsidRDefault="0079552D" w:rsidP="0026028D">
      <w:pPr>
        <w:contextualSpacing/>
        <w:jc w:val="both"/>
        <w:rPr>
          <w:rFonts w:eastAsiaTheme="minorHAnsi"/>
        </w:rPr>
      </w:pPr>
      <w:r w:rsidRPr="00BF4711">
        <w:rPr>
          <w:rFonts w:eastAsiaTheme="minorHAnsi"/>
        </w:rPr>
        <w:t>The parameter ranges used in this model correspond to typical values reported in the hemodialysis literature and clinical practice</w:t>
      </w:r>
      <w:r w:rsidR="00E926EC" w:rsidRPr="00BF4711">
        <w:rPr>
          <w:rFonts w:eastAsiaTheme="minorHAnsi"/>
        </w:rPr>
        <w:t xml:space="preserve"> ([1], [4])</w:t>
      </w:r>
      <w:r w:rsidRPr="00BF4711">
        <w:rPr>
          <w:rFonts w:eastAsiaTheme="minorHAnsi"/>
        </w:rPr>
        <w:t xml:space="preserve">. Blood flow rates typically range between 200 and 500 mL/min, while dialysate flow rates are commonly maintained between 500 and 800 mL/min. The overall mass transfer coefficient, which depends on membrane permeability and surface area, generally lies between 400 and 1200 mL/min. The effective patient distribution </w:t>
      </w:r>
      <w:r w:rsidR="000F4186" w:rsidRPr="00BF4711">
        <w:rPr>
          <w:rFonts w:eastAsiaTheme="minorHAnsi"/>
        </w:rPr>
        <w:t>volume</w:t>
      </w:r>
      <w:r w:rsidRPr="00BF4711">
        <w:rPr>
          <w:rFonts w:eastAsiaTheme="minorHAnsi"/>
        </w:rPr>
        <w:t xml:space="preserve"> typically ranges from 30 to 50 L depending on patient size</w:t>
      </w:r>
      <w:r w:rsidR="006F12B3" w:rsidRPr="00BF4711">
        <w:rPr>
          <w:rFonts w:eastAsiaTheme="minorHAnsi"/>
        </w:rPr>
        <w:t xml:space="preserve"> and </w:t>
      </w:r>
      <w:r w:rsidR="00AD79D5" w:rsidRPr="00BF4711">
        <w:rPr>
          <w:rFonts w:eastAsiaTheme="minorHAnsi"/>
        </w:rPr>
        <w:t>the Urea solute initial concentration ranges from 20-25mmol/L</w:t>
      </w:r>
      <w:r w:rsidRPr="00BF4711">
        <w:rPr>
          <w:rFonts w:eastAsiaTheme="minorHAnsi"/>
        </w:rPr>
        <w:t>. In this project, we assumed those parameters to remain constant during the dialysis session</w:t>
      </w:r>
      <w:r w:rsidR="00E926EC" w:rsidRPr="00BF4711">
        <w:rPr>
          <w:rFonts w:eastAsiaTheme="minorHAnsi"/>
        </w:rPr>
        <w:t>.</w:t>
      </w:r>
    </w:p>
    <w:p w14:paraId="6E943253" w14:textId="77777777" w:rsidR="00840BB6" w:rsidRPr="00BF4711" w:rsidRDefault="00840BB6" w:rsidP="0026028D">
      <w:pPr>
        <w:contextualSpacing/>
        <w:jc w:val="both"/>
        <w:rPr>
          <w:rFonts w:eastAsiaTheme="minorHAnsi"/>
        </w:rPr>
      </w:pPr>
    </w:p>
    <w:p w14:paraId="2735714C" w14:textId="5A6C2558" w:rsidR="00853AE7" w:rsidRPr="00BF4711" w:rsidRDefault="00BC2B04" w:rsidP="0026028D">
      <w:pPr>
        <w:pStyle w:val="ListParagraph"/>
        <w:numPr>
          <w:ilvl w:val="0"/>
          <w:numId w:val="1"/>
        </w:numPr>
        <w:ind w:left="360"/>
        <w:rPr>
          <w:b/>
        </w:rPr>
      </w:pPr>
      <w:r w:rsidRPr="00BF4711">
        <w:rPr>
          <w:b/>
        </w:rPr>
        <w:t>Results &amp; Discussion</w:t>
      </w:r>
    </w:p>
    <w:p w14:paraId="23752C39" w14:textId="77777777" w:rsidR="00C91902" w:rsidRDefault="00C91902" w:rsidP="0026028D">
      <w:pPr>
        <w:pStyle w:val="NormalWeb"/>
        <w:spacing w:before="0" w:beforeAutospacing="0" w:after="0" w:afterAutospacing="0"/>
        <w:contextualSpacing/>
        <w:jc w:val="both"/>
        <w:rPr>
          <w:rFonts w:eastAsiaTheme="minorHAnsi"/>
        </w:rPr>
      </w:pPr>
    </w:p>
    <w:p w14:paraId="5FB10E66" w14:textId="3AB5D0A9" w:rsidR="00CF264E" w:rsidRDefault="00DF2004" w:rsidP="0026028D">
      <w:pPr>
        <w:pStyle w:val="NormalWeb"/>
        <w:spacing w:before="0" w:beforeAutospacing="0" w:after="0" w:afterAutospacing="0"/>
        <w:contextualSpacing/>
        <w:jc w:val="both"/>
        <w:rPr>
          <w:rFonts w:eastAsiaTheme="minorHAnsi"/>
        </w:rPr>
      </w:pPr>
      <w:r>
        <w:rPr>
          <w:rFonts w:eastAsiaTheme="minorHAnsi"/>
        </w:rPr>
        <w:t>&lt;</w:t>
      </w:r>
      <w:r w:rsidRPr="00DF2004">
        <w:t xml:space="preserve"> </w:t>
      </w:r>
      <w:r w:rsidR="007D219A" w:rsidRPr="007D219A">
        <w:rPr>
          <w:rFonts w:eastAsiaTheme="minorHAnsi"/>
        </w:rPr>
        <w:t>Figure 6. Subject Level Population Dynamics (Simulated vs. ODE fit)</w:t>
      </w:r>
      <w:r>
        <w:rPr>
          <w:rFonts w:eastAsiaTheme="minorHAnsi"/>
        </w:rPr>
        <w:t>&gt;</w:t>
      </w:r>
    </w:p>
    <w:p w14:paraId="61B8B0A1" w14:textId="526AEF31" w:rsidR="00DF2004" w:rsidRDefault="00835EE2" w:rsidP="0026028D">
      <w:pPr>
        <w:pStyle w:val="NormalWeb"/>
        <w:spacing w:before="0" w:beforeAutospacing="0" w:after="0" w:afterAutospacing="0"/>
        <w:contextualSpacing/>
        <w:jc w:val="both"/>
        <w:rPr>
          <w:rFonts w:eastAsiaTheme="minorHAnsi"/>
        </w:rPr>
      </w:pPr>
      <w:r>
        <w:rPr>
          <w:rFonts w:eastAsiaTheme="minorHAnsi"/>
        </w:rPr>
        <w:t>&lt;</w:t>
      </w:r>
      <w:r w:rsidR="00527098" w:rsidRPr="00527098">
        <w:t xml:space="preserve"> </w:t>
      </w:r>
      <w:r w:rsidR="00527098" w:rsidRPr="00527098">
        <w:rPr>
          <w:rFonts w:eastAsiaTheme="minorHAnsi"/>
        </w:rPr>
        <w:t>Table 2: Parameter Uncertainty (Standard Errors)</w:t>
      </w:r>
      <w:r>
        <w:rPr>
          <w:rFonts w:eastAsiaTheme="minorHAnsi"/>
        </w:rPr>
        <w:t>&gt;</w:t>
      </w:r>
    </w:p>
    <w:p w14:paraId="67A0973F" w14:textId="34BE6582" w:rsidR="00835EE2" w:rsidRDefault="00835EE2" w:rsidP="0026028D">
      <w:pPr>
        <w:pStyle w:val="NormalWeb"/>
        <w:spacing w:before="0" w:beforeAutospacing="0" w:after="0" w:afterAutospacing="0"/>
        <w:contextualSpacing/>
        <w:jc w:val="both"/>
        <w:rPr>
          <w:rFonts w:eastAsiaTheme="minorHAnsi"/>
        </w:rPr>
      </w:pPr>
      <w:r>
        <w:rPr>
          <w:rFonts w:eastAsiaTheme="minorHAnsi"/>
        </w:rPr>
        <w:t>&lt;</w:t>
      </w:r>
      <w:r w:rsidR="008A5184" w:rsidRPr="008A5184">
        <w:t xml:space="preserve"> </w:t>
      </w:r>
      <w:r w:rsidR="008A5184" w:rsidRPr="008A5184">
        <w:rPr>
          <w:rFonts w:eastAsiaTheme="minorHAnsi"/>
        </w:rPr>
        <w:t>Figure 8. Residuals (Line Plots), Subject Level Population Dynamics</w:t>
      </w:r>
      <w:r>
        <w:rPr>
          <w:rFonts w:eastAsiaTheme="minorHAnsi"/>
        </w:rPr>
        <w:t>&gt;</w:t>
      </w:r>
    </w:p>
    <w:p w14:paraId="677A0B7E" w14:textId="78860882" w:rsidR="00835EE2" w:rsidRDefault="00835EE2" w:rsidP="0026028D">
      <w:pPr>
        <w:pStyle w:val="NormalWeb"/>
        <w:spacing w:before="0" w:beforeAutospacing="0" w:after="0" w:afterAutospacing="0"/>
        <w:contextualSpacing/>
        <w:jc w:val="both"/>
        <w:rPr>
          <w:rFonts w:eastAsiaTheme="minorHAnsi"/>
        </w:rPr>
      </w:pPr>
      <w:r>
        <w:rPr>
          <w:rFonts w:eastAsiaTheme="minorHAnsi"/>
        </w:rPr>
        <w:t>&lt;</w:t>
      </w:r>
      <w:r w:rsidR="002D26D4" w:rsidRPr="002D26D4">
        <w:t xml:space="preserve"> </w:t>
      </w:r>
      <w:r w:rsidR="002D26D4" w:rsidRPr="002D26D4">
        <w:rPr>
          <w:rFonts w:eastAsiaTheme="minorHAnsi"/>
        </w:rPr>
        <w:t>Figure 9. Residuals (Autocorrelation), Subject Level Population Dynamics</w:t>
      </w:r>
      <w:r>
        <w:rPr>
          <w:rFonts w:eastAsiaTheme="minorHAnsi"/>
        </w:rPr>
        <w:t>&gt;</w:t>
      </w:r>
    </w:p>
    <w:p w14:paraId="200BD75C" w14:textId="36A111A9" w:rsidR="00835EE2" w:rsidRDefault="00835EE2" w:rsidP="0026028D">
      <w:pPr>
        <w:pStyle w:val="NormalWeb"/>
        <w:spacing w:before="0" w:beforeAutospacing="0" w:after="0" w:afterAutospacing="0"/>
        <w:contextualSpacing/>
        <w:jc w:val="both"/>
        <w:rPr>
          <w:rFonts w:eastAsiaTheme="minorHAnsi"/>
        </w:rPr>
      </w:pPr>
      <w:r>
        <w:rPr>
          <w:rFonts w:eastAsiaTheme="minorHAnsi"/>
        </w:rPr>
        <w:t>&lt;&gt;</w:t>
      </w:r>
    </w:p>
    <w:p w14:paraId="1F916DD7" w14:textId="77777777" w:rsidR="00835EE2" w:rsidRDefault="00835EE2" w:rsidP="0026028D">
      <w:pPr>
        <w:pStyle w:val="NormalWeb"/>
        <w:spacing w:before="0" w:beforeAutospacing="0" w:after="0" w:afterAutospacing="0"/>
        <w:contextualSpacing/>
        <w:jc w:val="both"/>
        <w:rPr>
          <w:rFonts w:eastAsiaTheme="minorHAnsi"/>
        </w:rPr>
      </w:pPr>
    </w:p>
    <w:p w14:paraId="4A2828A0" w14:textId="77777777" w:rsidR="00DF2004" w:rsidRPr="00BF4711" w:rsidRDefault="00DF2004" w:rsidP="0026028D">
      <w:pPr>
        <w:pStyle w:val="NormalWeb"/>
        <w:spacing w:before="0" w:beforeAutospacing="0" w:after="0" w:afterAutospacing="0"/>
        <w:contextualSpacing/>
        <w:jc w:val="both"/>
        <w:rPr>
          <w:rFonts w:eastAsiaTheme="minorHAnsi"/>
        </w:rPr>
      </w:pPr>
    </w:p>
    <w:tbl>
      <w:tblPr>
        <w:tblStyle w:val="TableGrid"/>
        <w:tblW w:w="0" w:type="auto"/>
        <w:tblCellMar>
          <w:left w:w="43" w:type="dxa"/>
          <w:right w:w="43" w:type="dxa"/>
        </w:tblCellMar>
        <w:tblLook w:val="04A0" w:firstRow="1" w:lastRow="0" w:firstColumn="1" w:lastColumn="0" w:noHBand="0" w:noVBand="1"/>
      </w:tblPr>
      <w:tblGrid>
        <w:gridCol w:w="5035"/>
        <w:gridCol w:w="5035"/>
      </w:tblGrid>
      <w:tr w:rsidR="003F6FC6" w:rsidRPr="00BF4711" w14:paraId="3236663F" w14:textId="77777777" w:rsidTr="00A53C63">
        <w:trPr>
          <w:trHeight w:val="3392"/>
        </w:trPr>
        <w:tc>
          <w:tcPr>
            <w:tcW w:w="5035" w:type="dxa"/>
          </w:tcPr>
          <w:p w14:paraId="714B49AB" w14:textId="5F9173BB" w:rsidR="00764E4B" w:rsidRPr="00BF4711" w:rsidRDefault="00764E4B" w:rsidP="0026028D">
            <w:pPr>
              <w:pStyle w:val="NormalWeb"/>
              <w:spacing w:before="0" w:beforeAutospacing="0" w:after="0" w:afterAutospacing="0"/>
              <w:contextualSpacing/>
              <w:jc w:val="both"/>
              <w:rPr>
                <w:rFonts w:eastAsiaTheme="minorHAnsi"/>
              </w:rPr>
            </w:pPr>
          </w:p>
        </w:tc>
        <w:tc>
          <w:tcPr>
            <w:tcW w:w="5035" w:type="dxa"/>
          </w:tcPr>
          <w:p w14:paraId="70561A28" w14:textId="37F49058" w:rsidR="00764E4B" w:rsidRPr="00BF4711" w:rsidRDefault="00764E4B" w:rsidP="0026028D">
            <w:pPr>
              <w:pStyle w:val="NormalWeb"/>
              <w:spacing w:before="0" w:beforeAutospacing="0" w:after="0" w:afterAutospacing="0"/>
              <w:contextualSpacing/>
              <w:jc w:val="both"/>
              <w:rPr>
                <w:rFonts w:eastAsiaTheme="minorHAnsi"/>
              </w:rPr>
            </w:pPr>
          </w:p>
        </w:tc>
      </w:tr>
      <w:tr w:rsidR="00F93CF2" w:rsidRPr="00BF4711" w14:paraId="34CEDCED" w14:textId="77777777" w:rsidTr="00A53C63">
        <w:tc>
          <w:tcPr>
            <w:tcW w:w="10070" w:type="dxa"/>
            <w:gridSpan w:val="2"/>
          </w:tcPr>
          <w:p w14:paraId="6D92D3A9" w14:textId="01AB4FC1" w:rsidR="00F93CF2" w:rsidRPr="00BF4711" w:rsidRDefault="00070F28"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104517">
              <w:rPr>
                <w:rFonts w:eastAsiaTheme="minorHAnsi"/>
                <w:b/>
                <w:bCs/>
                <w:i/>
                <w:iCs/>
              </w:rPr>
              <w:t>xx</w:t>
            </w:r>
            <w:r w:rsidR="00333342" w:rsidRPr="00BF4711">
              <w:rPr>
                <w:rFonts w:eastAsiaTheme="minorHAnsi"/>
                <w:b/>
                <w:bCs/>
                <w:i/>
                <w:iCs/>
              </w:rPr>
              <w:t>.</w:t>
            </w:r>
            <w:r w:rsidR="00333342" w:rsidRPr="00BF4711">
              <w:rPr>
                <w:rFonts w:eastAsiaTheme="minorHAnsi"/>
              </w:rPr>
              <w:t xml:space="preserve"> </w:t>
            </w:r>
          </w:p>
        </w:tc>
      </w:tr>
    </w:tbl>
    <w:p w14:paraId="3F421EA1" w14:textId="77777777" w:rsidR="0091372F" w:rsidRPr="00BF4711" w:rsidRDefault="0091372F" w:rsidP="0026028D">
      <w:pPr>
        <w:pStyle w:val="NormalWeb"/>
        <w:spacing w:before="0" w:beforeAutospacing="0" w:after="0" w:afterAutospacing="0"/>
        <w:contextualSpacing/>
        <w:jc w:val="both"/>
        <w:rPr>
          <w:rFonts w:eastAsiaTheme="minorHAnsi"/>
        </w:rPr>
      </w:pPr>
    </w:p>
    <w:p w14:paraId="5EE623F6" w14:textId="30A79112" w:rsidR="00164712" w:rsidRPr="00631250" w:rsidRDefault="006E37A6" w:rsidP="00DC030F">
      <w:pPr>
        <w:pStyle w:val="NormalWeb"/>
        <w:spacing w:before="0" w:beforeAutospacing="0" w:after="120" w:afterAutospacing="0"/>
        <w:jc w:val="both"/>
        <w:rPr>
          <w:rFonts w:eastAsiaTheme="minorEastAsia"/>
          <w:b/>
          <w:bCs/>
        </w:rPr>
      </w:pPr>
      <w:r w:rsidRPr="00BF4711">
        <w:rPr>
          <w:rFonts w:eastAsiaTheme="minorEastAsia"/>
          <w:b/>
          <w:bCs/>
        </w:rPr>
        <w:t>Sensitivity to K</w:t>
      </w:r>
      <w:r w:rsidRPr="00BF4711">
        <w:rPr>
          <w:rFonts w:eastAsiaTheme="minorEastAsia"/>
          <w:b/>
          <w:bCs/>
          <w:vertAlign w:val="subscript"/>
        </w:rPr>
        <w:t>0</w:t>
      </w:r>
      <w:r w:rsidRPr="00BF4711">
        <w:rPr>
          <w:rFonts w:eastAsiaTheme="minorEastAsia"/>
          <w:b/>
          <w:bCs/>
        </w:rPr>
        <w:t>A.</w:t>
      </w:r>
    </w:p>
    <w:p w14:paraId="7357FC2B" w14:textId="20289DB0" w:rsidR="0098210B" w:rsidRPr="00BF4711" w:rsidRDefault="001E2FED"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sensitivity of </w:t>
      </w:r>
      <w:r w:rsidR="00CA5DF7" w:rsidRPr="00BF4711">
        <w:rPr>
          <w:rFonts w:eastAsiaTheme="minorEastAsia"/>
        </w:rPr>
        <w:t>the box model to changes in mass-transfer capacity K</w:t>
      </w:r>
      <w:r w:rsidR="00CA5DF7" w:rsidRPr="00BF4711">
        <w:rPr>
          <w:rFonts w:eastAsiaTheme="minorEastAsia"/>
          <w:vertAlign w:val="subscript"/>
        </w:rPr>
        <w:t>0</w:t>
      </w:r>
      <w:r w:rsidR="00CA5DF7" w:rsidRPr="00BF4711">
        <w:rPr>
          <w:rFonts w:eastAsiaTheme="minorEastAsia"/>
        </w:rPr>
        <w:t>A</w:t>
      </w:r>
      <w:r w:rsidR="00A620D1" w:rsidRPr="00BF4711">
        <w:rPr>
          <w:rFonts w:eastAsiaTheme="minorEastAsia"/>
        </w:rPr>
        <w:t xml:space="preserve"> is illustrated in </w:t>
      </w:r>
      <w:r w:rsidR="00A620D1" w:rsidRPr="00BF4711">
        <w:rPr>
          <w:rFonts w:eastAsiaTheme="minorEastAsia"/>
          <w:b/>
          <w:bCs/>
        </w:rPr>
        <w:t xml:space="preserve">Figure </w:t>
      </w:r>
      <w:r w:rsidR="00802886">
        <w:rPr>
          <w:rFonts w:eastAsiaTheme="minorEastAsia"/>
          <w:b/>
          <w:bCs/>
        </w:rPr>
        <w:t>3</w:t>
      </w:r>
      <w:r w:rsidR="00A620D1" w:rsidRPr="00BF4711">
        <w:rPr>
          <w:rFonts w:eastAsiaTheme="minorEastAsia"/>
        </w:rPr>
        <w:t xml:space="preserve">. These plots show how the concentration difference </w:t>
      </w:r>
      <w:r w:rsidR="00CA5DF7" w:rsidRPr="00BF4711">
        <w:rPr>
          <w:rFonts w:eastAsiaTheme="minorEastAsia"/>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F013EA" w:rsidRPr="00BF4711">
        <w:rPr>
          <w:rFonts w:eastAsiaTheme="minorEastAsia"/>
        </w:rPr>
        <w:t xml:space="preserve"> evolves along the fiber axis for both CO and CC</w:t>
      </w:r>
      <w:r w:rsidR="005877DE" w:rsidRPr="00BF4711">
        <w:rPr>
          <w:rFonts w:eastAsiaTheme="minorEastAsia"/>
        </w:rPr>
        <w:t xml:space="preserve"> flow when K</w:t>
      </w:r>
      <w:r w:rsidR="005877DE" w:rsidRPr="00BF4711">
        <w:rPr>
          <w:rFonts w:eastAsiaTheme="minorEastAsia"/>
          <w:vertAlign w:val="subscript"/>
        </w:rPr>
        <w:t>0</w:t>
      </w:r>
      <w:r w:rsidR="005877DE" w:rsidRPr="00BF4711">
        <w:rPr>
          <w:rFonts w:eastAsiaTheme="minorEastAsia"/>
        </w:rPr>
        <w:t xml:space="preserve">A is varied. </w:t>
      </w:r>
      <w:r w:rsidR="002015CD" w:rsidRPr="00BF4711">
        <w:rPr>
          <w:rFonts w:eastAsiaTheme="minorEastAsia"/>
        </w:rPr>
        <w:t>Changing K</w:t>
      </w:r>
      <w:r w:rsidR="002015CD" w:rsidRPr="00BF4711">
        <w:rPr>
          <w:rFonts w:eastAsiaTheme="minorEastAsia"/>
          <w:vertAlign w:val="subscript"/>
        </w:rPr>
        <w:t>0</w:t>
      </w:r>
      <w:r w:rsidR="002015CD" w:rsidRPr="00BF4711">
        <w:rPr>
          <w:rFonts w:eastAsiaTheme="minorEastAsia"/>
        </w:rPr>
        <w:t>A</w:t>
      </w:r>
      <w:r w:rsidR="0083568C" w:rsidRPr="00BF4711">
        <w:rPr>
          <w:rFonts w:eastAsiaTheme="minorEastAsia"/>
        </w:rPr>
        <w:t xml:space="preserve"> effectively mimics the behavior of </w:t>
      </w:r>
      <w:r w:rsidR="0075004A" w:rsidRPr="00BF4711">
        <w:rPr>
          <w:rFonts w:eastAsiaTheme="minorEastAsia"/>
        </w:rPr>
        <w:t>solutes with different diffusi</w:t>
      </w:r>
      <w:r w:rsidR="002729E7" w:rsidRPr="00BF4711">
        <w:rPr>
          <w:rFonts w:eastAsiaTheme="minorEastAsia"/>
        </w:rPr>
        <w:t>vities</w:t>
      </w:r>
      <w:r w:rsidR="0071519A" w:rsidRPr="00BF4711">
        <w:rPr>
          <w:rFonts w:eastAsiaTheme="minorEastAsia"/>
        </w:rPr>
        <w:t xml:space="preserve">: </w:t>
      </w:r>
      <w:r w:rsidR="002729E7" w:rsidRPr="00BF4711">
        <w:rPr>
          <w:rFonts w:eastAsiaTheme="minorEastAsia"/>
        </w:rPr>
        <w:t>lower K</w:t>
      </w:r>
      <w:r w:rsidR="002729E7" w:rsidRPr="00BF4711">
        <w:rPr>
          <w:rFonts w:eastAsiaTheme="minorEastAsia"/>
          <w:vertAlign w:val="subscript"/>
        </w:rPr>
        <w:t>0</w:t>
      </w:r>
      <w:r w:rsidR="002729E7" w:rsidRPr="00BF4711">
        <w:rPr>
          <w:rFonts w:eastAsiaTheme="minorEastAsia"/>
        </w:rPr>
        <w:t>A values resemble larger</w:t>
      </w:r>
      <w:r w:rsidR="007D1FB1" w:rsidRPr="00BF4711">
        <w:rPr>
          <w:rFonts w:eastAsiaTheme="minorEastAsia"/>
        </w:rPr>
        <w:t xml:space="preserve"> </w:t>
      </w:r>
      <w:r w:rsidR="00B006DB" w:rsidRPr="00BF4711">
        <w:rPr>
          <w:rFonts w:eastAsiaTheme="minorEastAsia"/>
        </w:rPr>
        <w:t xml:space="preserve">(slower diffusive) </w:t>
      </w:r>
      <w:r w:rsidR="00991804" w:rsidRPr="00BF4711">
        <w:rPr>
          <w:rFonts w:eastAsiaTheme="minorEastAsia"/>
        </w:rPr>
        <w:t>solutes</w:t>
      </w:r>
      <w:r w:rsidR="004157D5" w:rsidRPr="00BF4711">
        <w:rPr>
          <w:rFonts w:eastAsiaTheme="minorEastAsia"/>
        </w:rPr>
        <w:t xml:space="preserve"> such as phosphate</w:t>
      </w:r>
      <w:r w:rsidR="0000425B" w:rsidRPr="00BF4711">
        <w:rPr>
          <w:rFonts w:eastAsiaTheme="minorEastAsia"/>
        </w:rPr>
        <w:t xml:space="preserve"> (PO</w:t>
      </w:r>
      <w:r w:rsidR="0000425B" w:rsidRPr="00BF4711">
        <w:rPr>
          <w:rFonts w:eastAsiaTheme="minorEastAsia"/>
          <w:vertAlign w:val="subscript"/>
        </w:rPr>
        <w:t>4</w:t>
      </w:r>
      <w:r w:rsidR="0000425B" w:rsidRPr="00BF4711">
        <w:rPr>
          <w:rFonts w:eastAsiaTheme="minorEastAsia"/>
          <w:vertAlign w:val="superscript"/>
        </w:rPr>
        <w:t>2-</w:t>
      </w:r>
      <w:r w:rsidR="0000425B" w:rsidRPr="00BF4711">
        <w:rPr>
          <w:rFonts w:eastAsiaTheme="minorEastAsia"/>
        </w:rPr>
        <w:t>)</w:t>
      </w:r>
      <w:r w:rsidR="00DC5DF9" w:rsidRPr="00BF4711">
        <w:rPr>
          <w:rFonts w:eastAsiaTheme="minorEastAsia"/>
        </w:rPr>
        <w:t>, mid-range values correspond to solutes like crea</w:t>
      </w:r>
      <w:r w:rsidR="00553F53" w:rsidRPr="00BF4711">
        <w:rPr>
          <w:rFonts w:eastAsiaTheme="minorEastAsia"/>
        </w:rPr>
        <w:t>tinine, and high K</w:t>
      </w:r>
      <w:r w:rsidR="00553F53" w:rsidRPr="00BF4711">
        <w:rPr>
          <w:rFonts w:eastAsiaTheme="minorEastAsia"/>
          <w:vertAlign w:val="subscript"/>
        </w:rPr>
        <w:t>0</w:t>
      </w:r>
      <w:r w:rsidR="00553F53" w:rsidRPr="00BF4711">
        <w:rPr>
          <w:rFonts w:eastAsiaTheme="minorEastAsia"/>
        </w:rPr>
        <w:t>A</w:t>
      </w:r>
      <w:r w:rsidR="00980A07" w:rsidRPr="00BF4711">
        <w:rPr>
          <w:rFonts w:eastAsiaTheme="minorEastAsia"/>
        </w:rPr>
        <w:t xml:space="preserve"> values reflect small (fast diffusing) solutes such as urea. By comparing these</w:t>
      </w:r>
      <w:r w:rsidR="002A6B71" w:rsidRPr="00BF4711">
        <w:rPr>
          <w:rFonts w:eastAsiaTheme="minorEastAsia"/>
        </w:rPr>
        <w:t xml:space="preserve"> three representative cases, the </w:t>
      </w:r>
      <w:r w:rsidR="009B6071" w:rsidRPr="00BF4711">
        <w:rPr>
          <w:rFonts w:eastAsiaTheme="minorEastAsia"/>
        </w:rPr>
        <w:t>f</w:t>
      </w:r>
      <w:r w:rsidR="002A6B71" w:rsidRPr="00BF4711">
        <w:rPr>
          <w:rFonts w:eastAsiaTheme="minorEastAsia"/>
        </w:rPr>
        <w:t>igure highlights how strongly the predicted CO</w:t>
      </w:r>
      <w:r w:rsidR="0098210B" w:rsidRPr="00BF4711">
        <w:rPr>
          <w:rFonts w:eastAsiaTheme="minorEastAsia"/>
        </w:rPr>
        <w:t xml:space="preserve"> and CC gradients depend on the underlying mass-transfer capacity of the system.</w:t>
      </w:r>
      <w:r w:rsidR="00731F14" w:rsidRPr="00BF4711">
        <w:rPr>
          <w:rFonts w:eastAsiaTheme="minorEastAsia"/>
        </w:rPr>
        <w:t xml:space="preserve"> This interpretation is consistent </w:t>
      </w:r>
      <w:r w:rsidR="00456FC5" w:rsidRPr="00BF4711">
        <w:rPr>
          <w:rFonts w:eastAsiaTheme="minorEastAsia"/>
        </w:rPr>
        <w:t>with in vivo</w:t>
      </w:r>
      <w:r w:rsidR="00731F14" w:rsidRPr="00BF4711">
        <w:rPr>
          <w:rFonts w:eastAsiaTheme="minorEastAsia"/>
        </w:rPr>
        <w:t xml:space="preserve"> measurements reported in the HEMO Study (Depner et al., 2004</w:t>
      </w:r>
      <w:r w:rsidR="00B361A2" w:rsidRPr="00BF4711">
        <w:rPr>
          <w:rFonts w:eastAsiaTheme="minorEastAsia"/>
        </w:rPr>
        <w:t xml:space="preserve"> [</w:t>
      </w:r>
      <w:r w:rsidR="00A45B25" w:rsidRPr="00BF4711">
        <w:rPr>
          <w:rFonts w:eastAsiaTheme="minorEastAsia"/>
        </w:rPr>
        <w:t>5</w:t>
      </w:r>
      <w:r w:rsidR="00B361A2" w:rsidRPr="00BF4711">
        <w:rPr>
          <w:rFonts w:eastAsiaTheme="minorEastAsia"/>
        </w:rPr>
        <w:t>]</w:t>
      </w:r>
      <w:r w:rsidR="00731F14" w:rsidRPr="00BF4711">
        <w:rPr>
          <w:rFonts w:eastAsiaTheme="minorEastAsia"/>
        </w:rPr>
        <w:t>).</w:t>
      </w:r>
    </w:p>
    <w:p w14:paraId="5BB20644" w14:textId="1845978E" w:rsidR="002A73E7" w:rsidRDefault="002A73E7" w:rsidP="0026028D">
      <w:pPr>
        <w:pStyle w:val="NormalWeb"/>
        <w:spacing w:before="0" w:beforeAutospacing="0" w:after="0" w:afterAutospacing="0"/>
        <w:contextualSpacing/>
        <w:jc w:val="both"/>
        <w:rPr>
          <w:rFonts w:eastAsiaTheme="minorEastAsia"/>
        </w:rPr>
      </w:pPr>
    </w:p>
    <w:p w14:paraId="4FBE5AC6" w14:textId="1C67DBC6" w:rsidR="00554766" w:rsidRPr="00BF4711" w:rsidRDefault="00554766" w:rsidP="0026028D">
      <w:pPr>
        <w:pStyle w:val="NormalWeb"/>
        <w:spacing w:before="0" w:beforeAutospacing="0" w:after="0" w:afterAutospacing="0"/>
        <w:contextualSpacing/>
        <w:jc w:val="both"/>
        <w:rPr>
          <w:rFonts w:eastAsiaTheme="minorEastAsia"/>
        </w:rPr>
      </w:pPr>
      <w:r w:rsidRPr="00BF4711">
        <w:rPr>
          <w:rFonts w:eastAsiaTheme="minorHAnsi"/>
        </w:rPr>
        <w:t>At low K</w:t>
      </w:r>
      <w:r w:rsidRPr="00BF4711">
        <w:rPr>
          <w:rFonts w:eastAsiaTheme="minorHAnsi"/>
          <w:vertAlign w:val="subscript"/>
        </w:rPr>
        <w:t>0</w:t>
      </w:r>
      <w:r w:rsidRPr="00BF4711">
        <w:rPr>
          <w:rFonts w:eastAsiaTheme="minorHAnsi"/>
        </w:rPr>
        <w:t>A (400 mL/min) (</w:t>
      </w:r>
      <w:r w:rsidRPr="00BF4711">
        <w:rPr>
          <w:rFonts w:eastAsiaTheme="minorHAnsi"/>
          <w:b/>
          <w:bCs/>
          <w:i/>
          <w:iCs/>
        </w:rPr>
        <w:t xml:space="preserve">Figure </w:t>
      </w:r>
      <w:r w:rsidR="007D7A72">
        <w:rPr>
          <w:rFonts w:eastAsiaTheme="minorHAnsi"/>
          <w:b/>
          <w:bCs/>
          <w:i/>
          <w:iCs/>
        </w:rPr>
        <w:t>3</w:t>
      </w:r>
      <w:r w:rsidRPr="00BF4711">
        <w:rPr>
          <w:rFonts w:eastAsiaTheme="minorHAnsi"/>
          <w:b/>
          <w:bCs/>
          <w:i/>
          <w:iCs/>
        </w:rPr>
        <w:t>a</w:t>
      </w:r>
      <w:r w:rsidRPr="00BF4711">
        <w:rPr>
          <w:rFonts w:eastAsiaTheme="minorHAnsi"/>
        </w:rPr>
        <w:t xml:space="preserve">), both CO and CC flows show a slow, gradual decline in </w:t>
      </w:r>
      <m:oMath>
        <m:r>
          <w:rPr>
            <w:rFonts w:ascii="Cambria Math" w:hAnsi="Cambria Math"/>
          </w:rPr>
          <m:t>∆</m:t>
        </m:r>
        <m:d>
          <m:dPr>
            <m:ctrlPr>
              <w:rPr>
                <w:rFonts w:ascii="Cambria Math" w:hAnsi="Cambria Math"/>
                <w:i/>
              </w:rPr>
            </m:ctrlPr>
          </m:dPr>
          <m:e>
            <m:r>
              <w:rPr>
                <w:rFonts w:ascii="Cambria Math" w:hAnsi="Cambria Math"/>
              </w:rPr>
              <m:t>x</m:t>
            </m:r>
          </m:e>
        </m:d>
      </m:oMath>
      <w:r w:rsidRPr="00BF4711">
        <w:rPr>
          <w:rFonts w:eastAsiaTheme="minorEastAsia"/>
        </w:rPr>
        <w:t>. CC maintains a slightly higher gradient, but the difference between the two configurations is small. This behavior is typical of larger or slower-diffusing solutes, where membrane transport is the limiting step and equilibration occurs slowly.</w:t>
      </w:r>
    </w:p>
    <w:p w14:paraId="54AD4C00" w14:textId="77777777" w:rsidR="00554766" w:rsidRPr="00BF4711" w:rsidRDefault="00554766" w:rsidP="0026028D">
      <w:pPr>
        <w:pStyle w:val="NormalWeb"/>
        <w:spacing w:before="0" w:beforeAutospacing="0" w:after="0" w:afterAutospacing="0"/>
        <w:contextualSpacing/>
        <w:jc w:val="both"/>
        <w:rPr>
          <w:rFonts w:eastAsiaTheme="minorEastAsia"/>
        </w:rPr>
      </w:pPr>
    </w:p>
    <w:p w14:paraId="17496F53" w14:textId="22E8FC8D" w:rsidR="00554766" w:rsidRPr="00BF4711" w:rsidRDefault="00554766" w:rsidP="0026028D">
      <w:pPr>
        <w:pStyle w:val="NormalWeb"/>
        <w:spacing w:before="0" w:beforeAutospacing="0" w:after="0" w:afterAutospacing="0"/>
        <w:contextualSpacing/>
        <w:jc w:val="both"/>
        <w:rPr>
          <w:rFonts w:eastAsiaTheme="minorEastAsia"/>
        </w:rPr>
      </w:pPr>
      <w:r w:rsidRPr="00BF4711">
        <w:rPr>
          <w:rFonts w:eastAsiaTheme="minorEastAsia"/>
        </w:rPr>
        <w:t>At moderate K</w:t>
      </w:r>
      <w:r w:rsidRPr="00D30D4E">
        <w:rPr>
          <w:rFonts w:eastAsiaTheme="minorEastAsia"/>
          <w:vertAlign w:val="subscript"/>
        </w:rPr>
        <w:t>0</w:t>
      </w:r>
      <w:r w:rsidRPr="00BF4711">
        <w:rPr>
          <w:rFonts w:eastAsiaTheme="minorEastAsia"/>
        </w:rPr>
        <w:t>A (800 mL/min) (</w:t>
      </w:r>
      <w:r w:rsidRPr="00BF4711">
        <w:rPr>
          <w:rFonts w:eastAsiaTheme="minorEastAsia"/>
          <w:b/>
          <w:bCs/>
          <w:i/>
          <w:iCs/>
        </w:rPr>
        <w:t xml:space="preserve">Figure </w:t>
      </w:r>
      <w:r w:rsidR="007D7A72">
        <w:rPr>
          <w:rFonts w:eastAsiaTheme="minorEastAsia"/>
          <w:b/>
          <w:bCs/>
          <w:i/>
          <w:iCs/>
        </w:rPr>
        <w:t>3</w:t>
      </w:r>
      <w:r w:rsidRPr="00BF4711">
        <w:rPr>
          <w:rFonts w:eastAsiaTheme="minorEastAsia"/>
          <w:b/>
          <w:bCs/>
          <w:i/>
          <w:iCs/>
        </w:rPr>
        <w:t>b</w:t>
      </w:r>
      <w:r w:rsidRPr="00BF4711">
        <w:rPr>
          <w:rFonts w:eastAsiaTheme="minorEastAsia"/>
        </w:rPr>
        <w:t>), the gradients decay more quickly. The CO curve collapses early, reaching near-equilibrium within the first half of the fiber, while CC still preserves a meaningful gradient over a longer distance. This pattern resembles mid-range solutes like creatinine, where the membrane is more effective and the advantage of CC becomes more noticeable.</w:t>
      </w:r>
    </w:p>
    <w:p w14:paraId="08556989" w14:textId="77777777" w:rsidR="00554766" w:rsidRDefault="00554766" w:rsidP="0026028D">
      <w:pPr>
        <w:pStyle w:val="NormalWeb"/>
        <w:spacing w:before="0" w:beforeAutospacing="0" w:after="0" w:afterAutospacing="0"/>
        <w:contextualSpacing/>
        <w:jc w:val="both"/>
        <w:rPr>
          <w:rFonts w:eastAsiaTheme="minorEastAsia"/>
        </w:rPr>
      </w:pPr>
    </w:p>
    <w:p w14:paraId="61148C49" w14:textId="6C3F550C" w:rsidR="001C54E9" w:rsidRPr="00BF4711" w:rsidRDefault="001C54E9" w:rsidP="001C54E9">
      <w:pPr>
        <w:pStyle w:val="NormalWeb"/>
        <w:spacing w:before="0" w:beforeAutospacing="0" w:after="0" w:afterAutospacing="0"/>
        <w:contextualSpacing/>
        <w:jc w:val="both"/>
        <w:rPr>
          <w:rFonts w:eastAsiaTheme="minorEastAsia"/>
        </w:rPr>
      </w:pPr>
      <w:r w:rsidRPr="00BF4711">
        <w:rPr>
          <w:rFonts w:eastAsiaTheme="minorEastAsia"/>
        </w:rPr>
        <w:t>At high K</w:t>
      </w:r>
      <w:r w:rsidRPr="00BF4711">
        <w:rPr>
          <w:rFonts w:eastAsiaTheme="minorEastAsia"/>
          <w:vertAlign w:val="subscript"/>
        </w:rPr>
        <w:t>0</w:t>
      </w:r>
      <w:r w:rsidRPr="00BF4711">
        <w:rPr>
          <w:rFonts w:eastAsiaTheme="minorEastAsia"/>
        </w:rPr>
        <w:t>A (</w:t>
      </w:r>
      <w:r w:rsidRPr="00BF4711">
        <w:rPr>
          <w:rFonts w:eastAsiaTheme="minorEastAsia"/>
          <w:b/>
          <w:bCs/>
          <w:i/>
          <w:iCs/>
        </w:rPr>
        <w:t xml:space="preserve">Figure </w:t>
      </w:r>
      <w:r w:rsidR="007D7A72">
        <w:rPr>
          <w:rFonts w:eastAsiaTheme="minorEastAsia"/>
          <w:b/>
          <w:bCs/>
          <w:i/>
          <w:iCs/>
        </w:rPr>
        <w:t>3</w:t>
      </w:r>
      <w:r w:rsidRPr="00BF4711">
        <w:rPr>
          <w:rFonts w:eastAsiaTheme="minorEastAsia"/>
          <w:b/>
          <w:bCs/>
          <w:i/>
          <w:iCs/>
        </w:rPr>
        <w:t>c</w:t>
      </w:r>
      <w:r w:rsidRPr="00BF4711">
        <w:rPr>
          <w:rFonts w:eastAsiaTheme="minorEastAsia"/>
        </w:rPr>
        <w:t xml:space="preserve">), equilibrium happens rapidly. The CO gradient drops almost immediately near the inlet, leaving little driving force downstream. CC also decays faster than before, but it still maintains a larger gradient across most of the fiber. This behavior mirrors small, fast-diffusing solutes like urea, where the membrane is highly effective and CC flow shows a clear performance advantage. </w:t>
      </w:r>
    </w:p>
    <w:p w14:paraId="7ED589CD" w14:textId="77777777" w:rsidR="001C54E9" w:rsidRPr="00BF4711" w:rsidRDefault="001C54E9" w:rsidP="0026028D">
      <w:pPr>
        <w:pStyle w:val="NormalWeb"/>
        <w:spacing w:before="0" w:beforeAutospacing="0" w:after="0" w:afterAutospacing="0"/>
        <w:contextualSpacing/>
        <w:jc w:val="both"/>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5040"/>
        <w:gridCol w:w="5040"/>
      </w:tblGrid>
      <w:tr w:rsidR="00FB5D17" w:rsidRPr="00BF4711" w14:paraId="5E49E58F" w14:textId="77777777" w:rsidTr="00F70B24">
        <w:tc>
          <w:tcPr>
            <w:tcW w:w="5035" w:type="dxa"/>
          </w:tcPr>
          <w:p w14:paraId="7DF0309B" w14:textId="79528523" w:rsidR="00FB5D17" w:rsidRPr="00BF4711" w:rsidRDefault="00890BE8"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6DCA904A" wp14:editId="1EDF01B9">
                  <wp:extent cx="3227832" cy="2569464"/>
                  <wp:effectExtent l="0" t="0" r="0" b="2540"/>
                  <wp:docPr id="32077101" name="Graphic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101" name="Graphic 32077101"/>
                          <pic:cNvPicPr/>
                        </pic:nvPicPr>
                        <pic:blipFill>
                          <a:blip r:embed="rId7">
                            <a:extLst>
                              <a:ext uri="{96DAC541-7B7A-43D3-8B79-37D633B846F1}">
                                <asvg:svgBlip xmlns:asvg="http://schemas.microsoft.com/office/drawing/2016/SVG/main" r:embed="rId8"/>
                              </a:ext>
                            </a:extLst>
                          </a:blip>
                          <a:stretch>
                            <a:fillRect/>
                          </a:stretch>
                        </pic:blipFill>
                        <pic:spPr>
                          <a:xfrm>
                            <a:off x="0" y="0"/>
                            <a:ext cx="3227832" cy="2569464"/>
                          </a:xfrm>
                          <a:prstGeom prst="rect">
                            <a:avLst/>
                          </a:prstGeom>
                        </pic:spPr>
                      </pic:pic>
                    </a:graphicData>
                  </a:graphic>
                </wp:inline>
              </w:drawing>
            </w:r>
          </w:p>
        </w:tc>
        <w:tc>
          <w:tcPr>
            <w:tcW w:w="5035" w:type="dxa"/>
          </w:tcPr>
          <w:p w14:paraId="0285B3A8" w14:textId="56A01E77" w:rsidR="00FB5D17" w:rsidRPr="00BF4711" w:rsidRDefault="00AF23F4"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57BDA0C2" wp14:editId="6C51C94E">
                  <wp:extent cx="3227832" cy="2569464"/>
                  <wp:effectExtent l="0" t="0" r="0" b="2540"/>
                  <wp:docPr id="59473965" name="Graphic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3965" name="Graphic 59473965"/>
                          <pic:cNvPicPr/>
                        </pic:nvPicPr>
                        <pic:blipFill>
                          <a:blip r:embed="rId9">
                            <a:extLst>
                              <a:ext uri="{96DAC541-7B7A-43D3-8B79-37D633B846F1}">
                                <asvg:svgBlip xmlns:asvg="http://schemas.microsoft.com/office/drawing/2016/SVG/main" r:embed="rId10"/>
                              </a:ext>
                            </a:extLst>
                          </a:blip>
                          <a:stretch>
                            <a:fillRect/>
                          </a:stretch>
                        </pic:blipFill>
                        <pic:spPr>
                          <a:xfrm>
                            <a:off x="0" y="0"/>
                            <a:ext cx="3227832" cy="2569464"/>
                          </a:xfrm>
                          <a:prstGeom prst="rect">
                            <a:avLst/>
                          </a:prstGeom>
                        </pic:spPr>
                      </pic:pic>
                    </a:graphicData>
                  </a:graphic>
                </wp:inline>
              </w:drawing>
            </w:r>
          </w:p>
        </w:tc>
      </w:tr>
      <w:tr w:rsidR="00257840" w:rsidRPr="00BF4711" w14:paraId="0054A42B" w14:textId="77777777" w:rsidTr="00F70B24">
        <w:trPr>
          <w:trHeight w:val="3932"/>
        </w:trPr>
        <w:tc>
          <w:tcPr>
            <w:tcW w:w="10070" w:type="dxa"/>
            <w:gridSpan w:val="2"/>
          </w:tcPr>
          <w:p w14:paraId="7E9DA1C9" w14:textId="2978FD18" w:rsidR="00257840" w:rsidRPr="00BF4711" w:rsidRDefault="00257840" w:rsidP="0026028D">
            <w:pPr>
              <w:pStyle w:val="NormalWeb"/>
              <w:spacing w:before="0" w:beforeAutospacing="0" w:after="0" w:afterAutospacing="0"/>
              <w:contextualSpacing/>
              <w:jc w:val="center"/>
              <w:rPr>
                <w:rFonts w:eastAsiaTheme="minorHAnsi"/>
              </w:rPr>
            </w:pPr>
            <w:r w:rsidRPr="00BF4711">
              <w:rPr>
                <w:rFonts w:eastAsiaTheme="minorHAnsi"/>
                <w:noProof/>
              </w:rPr>
              <w:drawing>
                <wp:inline distT="0" distB="0" distL="0" distR="0" wp14:anchorId="21923D97" wp14:editId="1F9A3C50">
                  <wp:extent cx="3227832" cy="2569464"/>
                  <wp:effectExtent l="0" t="0" r="0" b="2540"/>
                  <wp:docPr id="1897750937" name="Graphic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50937" name="Graphic 1897750937"/>
                          <pic:cNvPicPr/>
                        </pic:nvPicPr>
                        <pic:blipFill>
                          <a:blip r:embed="rId11">
                            <a:extLst>
                              <a:ext uri="{96DAC541-7B7A-43D3-8B79-37D633B846F1}">
                                <asvg:svgBlip xmlns:asvg="http://schemas.microsoft.com/office/drawing/2016/SVG/main" r:embed="rId12"/>
                              </a:ext>
                            </a:extLst>
                          </a:blip>
                          <a:stretch>
                            <a:fillRect/>
                          </a:stretch>
                        </pic:blipFill>
                        <pic:spPr>
                          <a:xfrm>
                            <a:off x="0" y="0"/>
                            <a:ext cx="3227832" cy="2569464"/>
                          </a:xfrm>
                          <a:prstGeom prst="rect">
                            <a:avLst/>
                          </a:prstGeom>
                        </pic:spPr>
                      </pic:pic>
                    </a:graphicData>
                  </a:graphic>
                </wp:inline>
              </w:drawing>
            </w:r>
          </w:p>
        </w:tc>
      </w:tr>
      <w:tr w:rsidR="00070F28" w:rsidRPr="00BF4711" w14:paraId="2CBB7E7C" w14:textId="77777777" w:rsidTr="00F70B24">
        <w:trPr>
          <w:trHeight w:val="602"/>
        </w:trPr>
        <w:tc>
          <w:tcPr>
            <w:tcW w:w="10070" w:type="dxa"/>
            <w:gridSpan w:val="2"/>
          </w:tcPr>
          <w:p w14:paraId="644B02E9" w14:textId="33F9D15F" w:rsidR="00070F28" w:rsidRPr="00BF4711" w:rsidRDefault="007169F7"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7014EF">
              <w:rPr>
                <w:rFonts w:eastAsiaTheme="minorHAnsi"/>
                <w:b/>
                <w:bCs/>
                <w:i/>
                <w:iCs/>
              </w:rPr>
              <w:t>3</w:t>
            </w:r>
            <w:r w:rsidRPr="00BF4711">
              <w:rPr>
                <w:rFonts w:eastAsiaTheme="minorHAnsi"/>
                <w:b/>
                <w:bCs/>
                <w:i/>
                <w:iCs/>
              </w:rPr>
              <w:t>.</w:t>
            </w:r>
            <w:r w:rsidRPr="00BF4711">
              <w:rPr>
                <w:rFonts w:eastAsiaTheme="minorHAnsi"/>
              </w:rPr>
              <w:t xml:space="preserve"> </w:t>
            </w:r>
            <w:r w:rsidR="005304C9" w:rsidRPr="00BF4711">
              <w:rPr>
                <w:rFonts w:eastAsiaTheme="minorHAnsi"/>
              </w:rPr>
              <w:t>S</w:t>
            </w:r>
            <w:r w:rsidR="0058617E" w:rsidRPr="00BF4711">
              <w:rPr>
                <w:rFonts w:eastAsiaTheme="minorHAnsi"/>
              </w:rPr>
              <w:t xml:space="preserve">ensitivity of the box model </w:t>
            </w:r>
            <w:r w:rsidR="00470802" w:rsidRPr="00BF4711">
              <w:rPr>
                <w:rFonts w:eastAsiaTheme="minorHAnsi"/>
              </w:rPr>
              <w:t xml:space="preserve">predicted </w:t>
            </w:r>
            <w:r w:rsidR="00F87166" w:rsidRPr="00BF4711">
              <w:rPr>
                <w:rFonts w:eastAsiaTheme="minorHAnsi"/>
              </w:rPr>
              <w:t xml:space="preserve">spatial concentration profiles </w:t>
            </w:r>
            <w:r w:rsidR="0058617E" w:rsidRPr="00BF4711">
              <w:rPr>
                <w:rFonts w:eastAsiaTheme="minorHAnsi"/>
              </w:rPr>
              <w:t>to changes in mass-transfer capacity K</w:t>
            </w:r>
            <w:r w:rsidR="0058617E" w:rsidRPr="00BF4711">
              <w:rPr>
                <w:rFonts w:eastAsiaTheme="minorHAnsi"/>
                <w:vertAlign w:val="subscript"/>
              </w:rPr>
              <w:t>0</w:t>
            </w:r>
            <w:r w:rsidR="0058617E" w:rsidRPr="00BF4711">
              <w:rPr>
                <w:rFonts w:eastAsiaTheme="minorHAnsi"/>
              </w:rPr>
              <w:t xml:space="preserve">A </w:t>
            </w:r>
            <w:r w:rsidR="00F87166" w:rsidRPr="00BF4711">
              <w:rPr>
                <w:rFonts w:eastAsiaTheme="minorHAnsi"/>
              </w:rPr>
              <w:t xml:space="preserve">during co-current and counter-current </w:t>
            </w:r>
            <w:r w:rsidR="00297AF9" w:rsidRPr="00BF4711">
              <w:rPr>
                <w:rFonts w:eastAsiaTheme="minorHAnsi"/>
              </w:rPr>
              <w:t xml:space="preserve">kidney </w:t>
            </w:r>
            <w:r w:rsidR="00F87166" w:rsidRPr="00BF4711">
              <w:rPr>
                <w:rFonts w:eastAsiaTheme="minorHAnsi"/>
              </w:rPr>
              <w:t>dialysis</w:t>
            </w:r>
            <w:r w:rsidR="00297AF9" w:rsidRPr="00BF4711">
              <w:rPr>
                <w:rFonts w:eastAsiaTheme="minorHAnsi"/>
              </w:rPr>
              <w:t>.</w:t>
            </w:r>
          </w:p>
        </w:tc>
      </w:tr>
    </w:tbl>
    <w:p w14:paraId="1EC4B225" w14:textId="77777777" w:rsidR="00FB5D17" w:rsidRPr="00BF4711" w:rsidRDefault="00FB5D17" w:rsidP="0026028D">
      <w:pPr>
        <w:pStyle w:val="NormalWeb"/>
        <w:spacing w:before="0" w:beforeAutospacing="0" w:after="0" w:afterAutospacing="0"/>
        <w:contextualSpacing/>
        <w:jc w:val="both"/>
        <w:rPr>
          <w:rFonts w:eastAsiaTheme="minorHAnsi"/>
        </w:rPr>
      </w:pPr>
    </w:p>
    <w:p w14:paraId="34C2466B" w14:textId="77777777" w:rsidR="0086415E" w:rsidRPr="00BF4711" w:rsidRDefault="0086415E" w:rsidP="0026028D">
      <w:pPr>
        <w:pStyle w:val="NormalWeb"/>
        <w:spacing w:before="0" w:beforeAutospacing="0" w:after="0" w:afterAutospacing="0"/>
        <w:contextualSpacing/>
        <w:jc w:val="both"/>
        <w:rPr>
          <w:rFonts w:eastAsiaTheme="minorHAnsi"/>
        </w:rPr>
      </w:pPr>
    </w:p>
    <w:p w14:paraId="5C24DC15" w14:textId="64C51D71" w:rsidR="00FA64CC" w:rsidRPr="00A67114" w:rsidRDefault="00CB5ADC" w:rsidP="001C54E9">
      <w:pPr>
        <w:pStyle w:val="NormalWeb"/>
        <w:spacing w:before="0" w:beforeAutospacing="0" w:after="120" w:afterAutospacing="0"/>
        <w:jc w:val="both"/>
        <w:rPr>
          <w:rFonts w:eastAsiaTheme="minorEastAsia"/>
          <w:b/>
          <w:bCs/>
        </w:rPr>
      </w:pPr>
      <w:r w:rsidRPr="00BF4711">
        <w:rPr>
          <w:rFonts w:eastAsiaTheme="minorEastAsia"/>
          <w:b/>
          <w:bCs/>
        </w:rPr>
        <w:t xml:space="preserve">Sensitivity to </w:t>
      </w:r>
      <w:r w:rsidR="00C55AEE" w:rsidRPr="00BF4711">
        <w:rPr>
          <w:rFonts w:eastAsiaTheme="minorEastAsia"/>
          <w:b/>
          <w:bCs/>
        </w:rPr>
        <w:t>Dialysate Flow Rate</w:t>
      </w:r>
      <w:r w:rsidR="00F670C2" w:rsidRPr="00BF4711">
        <w:rPr>
          <w:rFonts w:eastAsiaTheme="minorEastAsia"/>
          <w:b/>
          <w:bCs/>
        </w:rPr>
        <w:t xml:space="preserve"> </w:t>
      </w:r>
      <w:r w:rsidR="005023F0" w:rsidRPr="00BF4711">
        <w:rPr>
          <w:rFonts w:eastAsiaTheme="minorEastAsia"/>
          <w:b/>
          <w:bCs/>
        </w:rPr>
        <w:t>Q</w:t>
      </w:r>
      <w:r w:rsidR="005023F0" w:rsidRPr="00BF4711">
        <w:rPr>
          <w:rFonts w:eastAsiaTheme="minorEastAsia"/>
          <w:b/>
          <w:bCs/>
          <w:vertAlign w:val="subscript"/>
        </w:rPr>
        <w:t>d</w:t>
      </w:r>
      <w:r w:rsidRPr="00BF4711">
        <w:rPr>
          <w:rFonts w:eastAsiaTheme="minorEastAsia"/>
          <w:b/>
          <w:bCs/>
        </w:rPr>
        <w:t>.</w:t>
      </w:r>
    </w:p>
    <w:p w14:paraId="62CEDD6F" w14:textId="1BC2EF70" w:rsidR="00361DE0" w:rsidRPr="00BF4711" w:rsidRDefault="00CB5ADC" w:rsidP="0026028D">
      <w:pPr>
        <w:pStyle w:val="NormalWeb"/>
        <w:spacing w:before="0" w:beforeAutospacing="0" w:after="0" w:afterAutospacing="0"/>
        <w:contextualSpacing/>
        <w:jc w:val="both"/>
        <w:rPr>
          <w:rFonts w:eastAsiaTheme="minorEastAsia"/>
        </w:rPr>
      </w:pPr>
      <w:r w:rsidRPr="00BF4711">
        <w:rPr>
          <w:rFonts w:eastAsiaTheme="minorEastAsia"/>
        </w:rPr>
        <w:lastRenderedPageBreak/>
        <w:t xml:space="preserve">The </w:t>
      </w:r>
      <w:r w:rsidR="00544360" w:rsidRPr="00BF4711">
        <w:rPr>
          <w:rFonts w:eastAsiaTheme="minorEastAsia"/>
        </w:rPr>
        <w:t>influence of dialysate flow rate Q</w:t>
      </w:r>
      <w:r w:rsidR="00544360" w:rsidRPr="00BF4711">
        <w:rPr>
          <w:rFonts w:eastAsiaTheme="minorEastAsia"/>
          <w:vertAlign w:val="subscript"/>
        </w:rPr>
        <w:t>d</w:t>
      </w:r>
      <w:r w:rsidR="003768AF" w:rsidRPr="00BF4711">
        <w:rPr>
          <w:rFonts w:eastAsiaTheme="minorEastAsia"/>
        </w:rPr>
        <w:t xml:space="preserve"> on the axial concentration profiles is shown </w:t>
      </w:r>
      <w:r w:rsidRPr="00BF4711">
        <w:rPr>
          <w:rFonts w:eastAsiaTheme="minorEastAsia"/>
        </w:rPr>
        <w:t xml:space="preserve">in </w:t>
      </w:r>
      <w:r w:rsidRPr="00BF4711">
        <w:rPr>
          <w:rFonts w:eastAsiaTheme="minorEastAsia"/>
          <w:b/>
          <w:bCs/>
        </w:rPr>
        <w:t xml:space="preserve">Figure </w:t>
      </w:r>
      <w:r w:rsidR="00754E70">
        <w:rPr>
          <w:rFonts w:eastAsiaTheme="minorEastAsia"/>
          <w:b/>
          <w:bCs/>
        </w:rPr>
        <w:t>4</w:t>
      </w:r>
      <w:r w:rsidRPr="00BF4711">
        <w:rPr>
          <w:rFonts w:eastAsiaTheme="minorEastAsia"/>
        </w:rPr>
        <w:t xml:space="preserve">. </w:t>
      </w:r>
      <w:r w:rsidR="009F3A56" w:rsidRPr="00BF4711">
        <w:rPr>
          <w:rFonts w:eastAsiaTheme="minorEastAsia"/>
        </w:rPr>
        <w:t>As Q</w:t>
      </w:r>
      <w:r w:rsidR="009F3A56" w:rsidRPr="00BF4711">
        <w:rPr>
          <w:rFonts w:eastAsiaTheme="minorEastAsia"/>
          <w:vertAlign w:val="subscript"/>
        </w:rPr>
        <w:t>d</w:t>
      </w:r>
      <w:r w:rsidR="009F3A56" w:rsidRPr="00BF4711">
        <w:rPr>
          <w:rFonts w:eastAsiaTheme="minorEastAsia"/>
        </w:rPr>
        <w:t xml:space="preserve"> is </w:t>
      </w:r>
      <w:r w:rsidR="003E4E59" w:rsidRPr="00BF4711">
        <w:rPr>
          <w:rFonts w:eastAsiaTheme="minorEastAsia"/>
        </w:rPr>
        <w:t>altered</w:t>
      </w:r>
      <w:r w:rsidR="009F3A56" w:rsidRPr="00BF4711">
        <w:rPr>
          <w:rFonts w:eastAsiaTheme="minorEastAsia"/>
        </w:rPr>
        <w:t>, the model predicts clear changes in how the concentration</w:t>
      </w:r>
      <w:r w:rsidR="00E9256F" w:rsidRPr="00BF4711">
        <w:rPr>
          <w:rFonts w:eastAsiaTheme="minorEastAsia"/>
        </w:rPr>
        <w:t xml:space="preserve"> difference</w:t>
      </w:r>
      <w:r w:rsidR="00E00629" w:rsidRPr="00BF4711">
        <w:rPr>
          <w:rFonts w:eastAsiaTheme="minorEastAsia"/>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E00629" w:rsidRPr="00BF4711">
        <w:rPr>
          <w:rFonts w:eastAsiaTheme="minorEastAsia"/>
        </w:rPr>
        <w:t xml:space="preserve"> develops along the fiber for </w:t>
      </w:r>
      <w:r w:rsidRPr="00BF4711">
        <w:rPr>
          <w:rFonts w:eastAsiaTheme="minorEastAsia"/>
        </w:rPr>
        <w:t xml:space="preserve">both CO and CC </w:t>
      </w:r>
      <w:r w:rsidR="000F4CE1" w:rsidRPr="00BF4711">
        <w:rPr>
          <w:rFonts w:eastAsiaTheme="minorEastAsia"/>
        </w:rPr>
        <w:t>operation</w:t>
      </w:r>
      <w:r w:rsidR="00483017" w:rsidRPr="00BF4711">
        <w:rPr>
          <w:rFonts w:eastAsiaTheme="minorEastAsia"/>
        </w:rPr>
        <w:t>. Higher Q</w:t>
      </w:r>
      <w:r w:rsidR="00483017" w:rsidRPr="00BF4711">
        <w:rPr>
          <w:rFonts w:eastAsiaTheme="minorEastAsia"/>
          <w:vertAlign w:val="subscript"/>
        </w:rPr>
        <w:t>d</w:t>
      </w:r>
      <w:r w:rsidR="00483017" w:rsidRPr="00BF4711">
        <w:rPr>
          <w:rFonts w:eastAsiaTheme="minorEastAsia"/>
        </w:rPr>
        <w:t xml:space="preserve"> supplies </w:t>
      </w:r>
      <w:r w:rsidR="00A87026" w:rsidRPr="00BF4711">
        <w:rPr>
          <w:rFonts w:eastAsiaTheme="minorEastAsia"/>
        </w:rPr>
        <w:t xml:space="preserve">cleaner dialysate more rapidly, limiting solute buildup on the </w:t>
      </w:r>
      <w:r w:rsidR="00027E47" w:rsidRPr="00BF4711">
        <w:rPr>
          <w:rFonts w:eastAsiaTheme="minorEastAsia"/>
        </w:rPr>
        <w:t>dialysate side and helping maintain a stronger driving force for diffusion. Comparing</w:t>
      </w:r>
      <w:r w:rsidR="007F3EF0" w:rsidRPr="00BF4711">
        <w:rPr>
          <w:rFonts w:eastAsiaTheme="minorEastAsia"/>
        </w:rPr>
        <w:t xml:space="preserve"> </w:t>
      </w:r>
      <w:r w:rsidR="00AD5B28" w:rsidRPr="00BF4711">
        <w:rPr>
          <w:rFonts w:eastAsiaTheme="minorEastAsia"/>
        </w:rPr>
        <w:t xml:space="preserve">the predictions at </w:t>
      </w:r>
      <w:r w:rsidR="007F3EF0" w:rsidRPr="00BF4711">
        <w:rPr>
          <w:rFonts w:eastAsiaTheme="minorEastAsia"/>
        </w:rPr>
        <w:t>the high, intermediate, and low Q</w:t>
      </w:r>
      <w:r w:rsidR="007F3EF0" w:rsidRPr="00BF4711">
        <w:rPr>
          <w:rFonts w:eastAsiaTheme="minorEastAsia"/>
          <w:vertAlign w:val="subscript"/>
        </w:rPr>
        <w:t>d</w:t>
      </w:r>
      <w:r w:rsidR="007F3EF0" w:rsidRPr="00BF4711">
        <w:rPr>
          <w:rFonts w:eastAsiaTheme="minorEastAsia"/>
        </w:rPr>
        <w:t xml:space="preserve"> reveals how dialysate flow redistributes the available driving force</w:t>
      </w:r>
      <w:r w:rsidR="00361DE0" w:rsidRPr="00BF4711">
        <w:rPr>
          <w:rFonts w:eastAsiaTheme="minorEastAsia"/>
        </w:rPr>
        <w:t xml:space="preserve"> along the device and how the performance gap between CC and CO shifts with flow rate.</w:t>
      </w:r>
    </w:p>
    <w:p w14:paraId="0A7FD77D" w14:textId="77777777" w:rsidR="00361DE0" w:rsidRPr="00BF4711" w:rsidRDefault="00361DE0" w:rsidP="0026028D">
      <w:pPr>
        <w:pStyle w:val="NormalWeb"/>
        <w:spacing w:before="0" w:beforeAutospacing="0" w:after="0" w:afterAutospacing="0"/>
        <w:contextualSpacing/>
        <w:jc w:val="both"/>
        <w:rPr>
          <w:rFonts w:eastAsiaTheme="minorEastAsia"/>
        </w:rPr>
      </w:pPr>
    </w:p>
    <w:p w14:paraId="74CE7BB1" w14:textId="4BD1687D" w:rsidR="001C238A" w:rsidRPr="00BF4711" w:rsidRDefault="00443240" w:rsidP="0026028D">
      <w:pPr>
        <w:pStyle w:val="NormalWeb"/>
        <w:spacing w:before="0" w:beforeAutospacing="0" w:after="0" w:afterAutospacing="0"/>
        <w:contextualSpacing/>
        <w:jc w:val="both"/>
        <w:rPr>
          <w:rFonts w:eastAsiaTheme="minorEastAsia"/>
        </w:rPr>
      </w:pPr>
      <w:r w:rsidRPr="00BF4711">
        <w:rPr>
          <w:rFonts w:eastAsiaTheme="minorEastAsia"/>
          <w:b/>
          <w:bCs/>
          <w:i/>
          <w:iCs/>
        </w:rPr>
        <w:t>F</w:t>
      </w:r>
      <w:r w:rsidR="003D3D5B" w:rsidRPr="00BF4711">
        <w:rPr>
          <w:rFonts w:eastAsiaTheme="minorEastAsia"/>
          <w:b/>
          <w:bCs/>
          <w:i/>
          <w:iCs/>
        </w:rPr>
        <w:t xml:space="preserve">igures </w:t>
      </w:r>
      <w:r w:rsidR="00754E70">
        <w:rPr>
          <w:rFonts w:eastAsiaTheme="minorEastAsia"/>
          <w:b/>
          <w:bCs/>
          <w:i/>
          <w:iCs/>
        </w:rPr>
        <w:t>4</w:t>
      </w:r>
      <w:r w:rsidR="003D3D5B" w:rsidRPr="00BF4711">
        <w:rPr>
          <w:rFonts w:eastAsiaTheme="minorEastAsia"/>
          <w:b/>
          <w:bCs/>
          <w:i/>
          <w:iCs/>
        </w:rPr>
        <w:t>a-</w:t>
      </w:r>
      <w:r w:rsidR="00754E70">
        <w:rPr>
          <w:rFonts w:eastAsiaTheme="minorEastAsia"/>
          <w:b/>
          <w:bCs/>
          <w:i/>
          <w:iCs/>
        </w:rPr>
        <w:t>4</w:t>
      </w:r>
      <w:r w:rsidR="003D3D5B" w:rsidRPr="00BF4711">
        <w:rPr>
          <w:rFonts w:eastAsiaTheme="minorEastAsia"/>
          <w:b/>
          <w:bCs/>
          <w:i/>
          <w:iCs/>
        </w:rPr>
        <w:t>c</w:t>
      </w:r>
      <w:r w:rsidR="003D3D5B" w:rsidRPr="00BF4711">
        <w:rPr>
          <w:rFonts w:eastAsiaTheme="minorEastAsia"/>
        </w:rPr>
        <w:t xml:space="preserve"> show a clear progression in the axial concentration </w:t>
      </w:r>
      <w:r w:rsidR="00447ABF" w:rsidRPr="00BF4711">
        <w:rPr>
          <w:rFonts w:eastAsiaTheme="minorEastAsia"/>
        </w:rPr>
        <w:t>profiles as the dialysate flow rate is reduced from 1000 to 400 mL/min</w:t>
      </w:r>
      <w:r w:rsidR="002F4442" w:rsidRPr="00BF4711">
        <w:rPr>
          <w:rFonts w:eastAsiaTheme="minorEastAsia"/>
        </w:rPr>
        <w:t>. At the highest flow</w:t>
      </w:r>
      <w:r w:rsidR="000437C7" w:rsidRPr="00BF4711">
        <w:rPr>
          <w:rFonts w:eastAsiaTheme="minorEastAsia"/>
        </w:rPr>
        <w:t xml:space="preserve">, the dialysate remains close to its inlet concentration, causing both CO and CC gradients to fall sharply and leaving CO with very little driving force beyond </w:t>
      </w:r>
      <w:r w:rsidR="00581F71" w:rsidRPr="00BF4711">
        <w:rPr>
          <w:rFonts w:eastAsiaTheme="minorEastAsia"/>
        </w:rPr>
        <w:t xml:space="preserve">the inlet region. As the flow is lowered to 700 mL/min, the decay of </w:t>
      </w:r>
      <m:oMath>
        <m:r>
          <w:rPr>
            <w:rFonts w:ascii="Cambria Math" w:hAnsi="Cambria Math"/>
          </w:rPr>
          <m:t>∆</m:t>
        </m:r>
        <m:d>
          <m:dPr>
            <m:ctrlPr>
              <w:rPr>
                <w:rFonts w:ascii="Cambria Math" w:hAnsi="Cambria Math"/>
                <w:i/>
              </w:rPr>
            </m:ctrlPr>
          </m:dPr>
          <m:e>
            <m:r>
              <w:rPr>
                <w:rFonts w:ascii="Cambria Math" w:hAnsi="Cambria Math"/>
              </w:rPr>
              <m:t>x</m:t>
            </m:r>
          </m:e>
        </m:d>
      </m:oMath>
      <w:r w:rsidR="00862268" w:rsidRPr="00BF4711">
        <w:rPr>
          <w:rFonts w:eastAsiaTheme="minorEastAsia"/>
        </w:rPr>
        <w:t xml:space="preserve"> becomes less abrupt</w:t>
      </w:r>
      <w:r w:rsidR="003857E4" w:rsidRPr="00BF4711">
        <w:rPr>
          <w:rFonts w:eastAsiaTheme="minorEastAsia"/>
        </w:rPr>
        <w:t>, a</w:t>
      </w:r>
      <w:r w:rsidR="00862268" w:rsidRPr="00BF4711">
        <w:rPr>
          <w:rFonts w:eastAsiaTheme="minorEastAsia"/>
        </w:rPr>
        <w:t xml:space="preserve">nd the distinction between CO and CC becomes more evident as CC maintains a usable gradient over a </w:t>
      </w:r>
      <w:r w:rsidR="00496CFA" w:rsidRPr="00BF4711">
        <w:rPr>
          <w:rFonts w:eastAsiaTheme="minorEastAsia"/>
        </w:rPr>
        <w:t>larger</w:t>
      </w:r>
      <w:r w:rsidR="00862268" w:rsidRPr="00BF4711">
        <w:rPr>
          <w:rFonts w:eastAsiaTheme="minorEastAsia"/>
        </w:rPr>
        <w:t xml:space="preserve"> portion of the fiber. At the lowest flow of 400 mL/min</w:t>
      </w:r>
      <w:r w:rsidR="0003617B" w:rsidRPr="00BF4711">
        <w:rPr>
          <w:rFonts w:eastAsiaTheme="minorEastAsia"/>
        </w:rPr>
        <w:t xml:space="preserve">, dialysate-side solute accumulation slows the decline of </w:t>
      </w:r>
      <m:oMath>
        <m:r>
          <w:rPr>
            <w:rFonts w:ascii="Cambria Math" w:hAnsi="Cambria Math"/>
          </w:rPr>
          <m:t>∆</m:t>
        </m:r>
        <m:d>
          <m:dPr>
            <m:ctrlPr>
              <w:rPr>
                <w:rFonts w:ascii="Cambria Math" w:hAnsi="Cambria Math"/>
                <w:i/>
              </w:rPr>
            </m:ctrlPr>
          </m:dPr>
          <m:e>
            <m:r>
              <w:rPr>
                <w:rFonts w:ascii="Cambria Math" w:hAnsi="Cambria Math"/>
              </w:rPr>
              <m:t>x</m:t>
            </m:r>
          </m:e>
        </m:d>
      </m:oMath>
      <w:r w:rsidR="00B57090" w:rsidRPr="00BF4711">
        <w:rPr>
          <w:rFonts w:eastAsiaTheme="minorEastAsia"/>
        </w:rPr>
        <w:t xml:space="preserve">, producing more gradual profiles in both configurations and revealing a regime where dialysate flow increasingly limits transport. Across </w:t>
      </w:r>
      <w:r w:rsidR="001C25D9" w:rsidRPr="00BF4711">
        <w:rPr>
          <w:rFonts w:eastAsiaTheme="minorEastAsia"/>
        </w:rPr>
        <w:t>the three figures</w:t>
      </w:r>
      <w:r w:rsidR="00622A58" w:rsidRPr="00BF4711">
        <w:rPr>
          <w:rFonts w:eastAsiaTheme="minorEastAsia"/>
        </w:rPr>
        <w:t>, CC consistently preserves a higher driving force</w:t>
      </w:r>
      <w:r w:rsidR="001C25D9" w:rsidRPr="00BF4711">
        <w:rPr>
          <w:rFonts w:eastAsiaTheme="minorEastAsia"/>
        </w:rPr>
        <w:t xml:space="preserve"> than CO, and its relative </w:t>
      </w:r>
      <w:r w:rsidR="00A959F4" w:rsidRPr="00BF4711">
        <w:rPr>
          <w:rFonts w:eastAsiaTheme="minorEastAsia"/>
        </w:rPr>
        <w:t>advantage</w:t>
      </w:r>
      <w:r w:rsidR="001C25D9" w:rsidRPr="00BF4711">
        <w:rPr>
          <w:rFonts w:eastAsiaTheme="minorEastAsia"/>
        </w:rPr>
        <w:t xml:space="preserve"> becomes more pronounced as Q</w:t>
      </w:r>
      <w:r w:rsidR="001C25D9" w:rsidRPr="00BF4711">
        <w:rPr>
          <w:rFonts w:eastAsiaTheme="minorEastAsia"/>
          <w:vertAlign w:val="subscript"/>
        </w:rPr>
        <w:t>d</w:t>
      </w:r>
      <w:r w:rsidR="001C25D9" w:rsidRPr="00BF4711">
        <w:rPr>
          <w:rFonts w:eastAsiaTheme="minorEastAsia"/>
        </w:rPr>
        <w:t xml:space="preserve"> decreases.</w:t>
      </w:r>
      <w:r w:rsidR="00622A58" w:rsidRPr="00BF4711">
        <w:rPr>
          <w:rFonts w:eastAsiaTheme="minorEastAsia"/>
        </w:rPr>
        <w:t xml:space="preserve"> </w:t>
      </w:r>
    </w:p>
    <w:p w14:paraId="1164A296" w14:textId="77777777" w:rsidR="00E76ED9" w:rsidRPr="00BF4711" w:rsidRDefault="00E76ED9" w:rsidP="0026028D">
      <w:pPr>
        <w:pStyle w:val="NormalWeb"/>
        <w:spacing w:before="0" w:beforeAutospacing="0" w:after="0" w:afterAutospacing="0"/>
        <w:contextualSpacing/>
        <w:jc w:val="both"/>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5040"/>
        <w:gridCol w:w="5040"/>
      </w:tblGrid>
      <w:tr w:rsidR="00E76ED9" w:rsidRPr="00BF4711" w14:paraId="3ED9CAA8" w14:textId="77777777" w:rsidTr="00F70B24">
        <w:tc>
          <w:tcPr>
            <w:tcW w:w="5035" w:type="dxa"/>
          </w:tcPr>
          <w:p w14:paraId="5CBE0AAA" w14:textId="3B2626C3" w:rsidR="00E76ED9" w:rsidRPr="00BF4711" w:rsidRDefault="00F245DD"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41A9E0FB" wp14:editId="0EA8B95A">
                  <wp:extent cx="3227832" cy="2569464"/>
                  <wp:effectExtent l="0" t="0" r="0" b="2540"/>
                  <wp:docPr id="1662527537" name="Graphic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27537" name="Graphic 1662527537"/>
                          <pic:cNvPicPr/>
                        </pic:nvPicPr>
                        <pic:blipFill>
                          <a:blip r:embed="rId13">
                            <a:extLst>
                              <a:ext uri="{96DAC541-7B7A-43D3-8B79-37D633B846F1}">
                                <asvg:svgBlip xmlns:asvg="http://schemas.microsoft.com/office/drawing/2016/SVG/main" r:embed="rId14"/>
                              </a:ext>
                            </a:extLst>
                          </a:blip>
                          <a:stretch>
                            <a:fillRect/>
                          </a:stretch>
                        </pic:blipFill>
                        <pic:spPr>
                          <a:xfrm>
                            <a:off x="0" y="0"/>
                            <a:ext cx="3227832" cy="2569464"/>
                          </a:xfrm>
                          <a:prstGeom prst="rect">
                            <a:avLst/>
                          </a:prstGeom>
                        </pic:spPr>
                      </pic:pic>
                    </a:graphicData>
                  </a:graphic>
                </wp:inline>
              </w:drawing>
            </w:r>
          </w:p>
        </w:tc>
        <w:tc>
          <w:tcPr>
            <w:tcW w:w="5035" w:type="dxa"/>
          </w:tcPr>
          <w:p w14:paraId="01AC021D" w14:textId="79F579F2" w:rsidR="00E76ED9" w:rsidRPr="00BF4711" w:rsidRDefault="00444D7D"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5954300D" wp14:editId="79DB714E">
                  <wp:extent cx="3227832" cy="2569464"/>
                  <wp:effectExtent l="0" t="0" r="0" b="2540"/>
                  <wp:docPr id="508509892" name="Graphic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09892" name="Graphic 508509892"/>
                          <pic:cNvPicPr/>
                        </pic:nvPicPr>
                        <pic:blipFill>
                          <a:blip r:embed="rId15">
                            <a:extLst>
                              <a:ext uri="{96DAC541-7B7A-43D3-8B79-37D633B846F1}">
                                <asvg:svgBlip xmlns:asvg="http://schemas.microsoft.com/office/drawing/2016/SVG/main" r:embed="rId16"/>
                              </a:ext>
                            </a:extLst>
                          </a:blip>
                          <a:stretch>
                            <a:fillRect/>
                          </a:stretch>
                        </pic:blipFill>
                        <pic:spPr>
                          <a:xfrm>
                            <a:off x="0" y="0"/>
                            <a:ext cx="3227832" cy="2569464"/>
                          </a:xfrm>
                          <a:prstGeom prst="rect">
                            <a:avLst/>
                          </a:prstGeom>
                        </pic:spPr>
                      </pic:pic>
                    </a:graphicData>
                  </a:graphic>
                </wp:inline>
              </w:drawing>
            </w:r>
          </w:p>
        </w:tc>
      </w:tr>
      <w:tr w:rsidR="00E76ED9" w:rsidRPr="00BF4711" w14:paraId="764BF873" w14:textId="77777777" w:rsidTr="00F70B24">
        <w:tc>
          <w:tcPr>
            <w:tcW w:w="10070" w:type="dxa"/>
            <w:gridSpan w:val="2"/>
          </w:tcPr>
          <w:p w14:paraId="44406ABF" w14:textId="2F96ECD7" w:rsidR="00E76ED9" w:rsidRPr="00BF4711" w:rsidRDefault="00444D7D" w:rsidP="0026028D">
            <w:pPr>
              <w:pStyle w:val="NormalWeb"/>
              <w:spacing w:before="0" w:beforeAutospacing="0" w:after="0" w:afterAutospacing="0"/>
              <w:contextualSpacing/>
              <w:jc w:val="center"/>
              <w:rPr>
                <w:rFonts w:eastAsiaTheme="minorHAnsi"/>
              </w:rPr>
            </w:pPr>
            <w:r w:rsidRPr="00BF4711">
              <w:rPr>
                <w:rFonts w:eastAsiaTheme="minorHAnsi"/>
                <w:noProof/>
              </w:rPr>
              <w:drawing>
                <wp:inline distT="0" distB="0" distL="0" distR="0" wp14:anchorId="4C08AF4C" wp14:editId="7296C5B4">
                  <wp:extent cx="3227832" cy="2569464"/>
                  <wp:effectExtent l="0" t="0" r="0" b="2540"/>
                  <wp:docPr id="1757408215" name="Graphi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08215" name="Graphic 1757408215"/>
                          <pic:cNvPicPr/>
                        </pic:nvPicPr>
                        <pic:blipFill>
                          <a:blip r:embed="rId17">
                            <a:extLst>
                              <a:ext uri="{96DAC541-7B7A-43D3-8B79-37D633B846F1}">
                                <asvg:svgBlip xmlns:asvg="http://schemas.microsoft.com/office/drawing/2016/SVG/main" r:embed="rId18"/>
                              </a:ext>
                            </a:extLst>
                          </a:blip>
                          <a:stretch>
                            <a:fillRect/>
                          </a:stretch>
                        </pic:blipFill>
                        <pic:spPr>
                          <a:xfrm>
                            <a:off x="0" y="0"/>
                            <a:ext cx="3227832" cy="2569464"/>
                          </a:xfrm>
                          <a:prstGeom prst="rect">
                            <a:avLst/>
                          </a:prstGeom>
                        </pic:spPr>
                      </pic:pic>
                    </a:graphicData>
                  </a:graphic>
                </wp:inline>
              </w:drawing>
            </w:r>
          </w:p>
        </w:tc>
      </w:tr>
      <w:tr w:rsidR="00E76ED9" w:rsidRPr="00BF4711" w14:paraId="720F5188" w14:textId="77777777" w:rsidTr="00F70B24">
        <w:tc>
          <w:tcPr>
            <w:tcW w:w="10070" w:type="dxa"/>
            <w:gridSpan w:val="2"/>
          </w:tcPr>
          <w:p w14:paraId="5B875687" w14:textId="4096137B" w:rsidR="00E76ED9" w:rsidRPr="00BF4711" w:rsidRDefault="00E76ED9" w:rsidP="0026028D">
            <w:pPr>
              <w:pStyle w:val="NormalWeb"/>
              <w:spacing w:before="0" w:beforeAutospacing="0" w:after="0" w:afterAutospacing="0"/>
              <w:contextualSpacing/>
              <w:rPr>
                <w:rFonts w:eastAsiaTheme="minorHAnsi"/>
              </w:rPr>
            </w:pPr>
            <w:r w:rsidRPr="00BF4711">
              <w:rPr>
                <w:rFonts w:eastAsiaTheme="minorHAnsi"/>
                <w:b/>
                <w:bCs/>
                <w:i/>
                <w:iCs/>
              </w:rPr>
              <w:lastRenderedPageBreak/>
              <w:t xml:space="preserve">Figure </w:t>
            </w:r>
            <w:r w:rsidR="00086BB0">
              <w:rPr>
                <w:rFonts w:eastAsiaTheme="minorHAnsi"/>
                <w:b/>
                <w:bCs/>
                <w:i/>
                <w:iCs/>
              </w:rPr>
              <w:t>4</w:t>
            </w:r>
            <w:r w:rsidRPr="00BF4711">
              <w:rPr>
                <w:rFonts w:eastAsiaTheme="minorHAnsi"/>
                <w:b/>
                <w:bCs/>
                <w:i/>
                <w:iCs/>
              </w:rPr>
              <w:t>.</w:t>
            </w:r>
            <w:r w:rsidRPr="00BF4711">
              <w:rPr>
                <w:rFonts w:eastAsiaTheme="minorHAnsi"/>
              </w:rPr>
              <w:t xml:space="preserve"> </w:t>
            </w:r>
            <w:r w:rsidR="00386989" w:rsidRPr="00BF4711">
              <w:rPr>
                <w:rFonts w:eastAsiaTheme="minorHAnsi"/>
              </w:rPr>
              <w:t>Influence of dialysate flow rate Q</w:t>
            </w:r>
            <w:r w:rsidR="00386989" w:rsidRPr="00BF4711">
              <w:rPr>
                <w:rFonts w:eastAsiaTheme="minorHAnsi"/>
                <w:vertAlign w:val="subscript"/>
              </w:rPr>
              <w:t>d</w:t>
            </w:r>
            <w:r w:rsidR="008E2A1C" w:rsidRPr="00BF4711">
              <w:rPr>
                <w:rFonts w:eastAsiaTheme="minorHAnsi"/>
              </w:rPr>
              <w:t xml:space="preserve"> on model predicted </w:t>
            </w:r>
            <w:r w:rsidR="00CF3F83" w:rsidRPr="00BF4711">
              <w:rPr>
                <w:rFonts w:eastAsiaTheme="minorHAnsi"/>
              </w:rPr>
              <w:t xml:space="preserve">spatial concentration profile during co-current and counter-current </w:t>
            </w:r>
            <w:r w:rsidR="00297AF9" w:rsidRPr="00BF4711">
              <w:rPr>
                <w:rFonts w:eastAsiaTheme="minorHAnsi"/>
              </w:rPr>
              <w:t xml:space="preserve">kidney </w:t>
            </w:r>
            <w:r w:rsidR="00CF3F83" w:rsidRPr="00BF4711">
              <w:rPr>
                <w:rFonts w:eastAsiaTheme="minorHAnsi"/>
              </w:rPr>
              <w:t>dialysis.</w:t>
            </w:r>
          </w:p>
        </w:tc>
      </w:tr>
    </w:tbl>
    <w:p w14:paraId="50B7BC1A" w14:textId="77777777" w:rsidR="00E76ED9" w:rsidRPr="00BF4711" w:rsidRDefault="00E76ED9" w:rsidP="0026028D">
      <w:pPr>
        <w:pStyle w:val="NormalWeb"/>
        <w:spacing w:before="0" w:beforeAutospacing="0" w:after="0" w:afterAutospacing="0"/>
        <w:contextualSpacing/>
        <w:jc w:val="both"/>
        <w:rPr>
          <w:rFonts w:eastAsiaTheme="minorHAnsi"/>
        </w:rPr>
      </w:pPr>
    </w:p>
    <w:p w14:paraId="6C79A2BA" w14:textId="3A2E6DA4" w:rsidR="00E76ED9" w:rsidRPr="00BF4711" w:rsidRDefault="00B06542" w:rsidP="0026028D">
      <w:pPr>
        <w:pStyle w:val="NormalWeb"/>
        <w:spacing w:before="0" w:beforeAutospacing="0" w:after="0" w:afterAutospacing="0"/>
        <w:contextualSpacing/>
        <w:jc w:val="both"/>
        <w:rPr>
          <w:rFonts w:eastAsiaTheme="minorHAnsi"/>
        </w:rPr>
      </w:pPr>
      <w:r w:rsidRPr="00BF4711">
        <w:rPr>
          <w:rFonts w:eastAsiaTheme="minorHAnsi"/>
        </w:rPr>
        <w:t xml:space="preserve">In this </w:t>
      </w:r>
      <w:r w:rsidR="002A4D8C" w:rsidRPr="00BF4711">
        <w:rPr>
          <w:rFonts w:eastAsiaTheme="minorHAnsi"/>
        </w:rPr>
        <w:t>model</w:t>
      </w:r>
      <w:r w:rsidRPr="00BF4711">
        <w:rPr>
          <w:rFonts w:eastAsiaTheme="minorHAnsi"/>
        </w:rPr>
        <w:t xml:space="preserve">, </w:t>
      </w:r>
      <w:r w:rsidR="009C2081" w:rsidRPr="00BF4711">
        <w:rPr>
          <w:rFonts w:eastAsiaTheme="minorHAnsi"/>
        </w:rPr>
        <w:t>K</w:t>
      </w:r>
      <w:r w:rsidR="009C2081" w:rsidRPr="00BF4711">
        <w:rPr>
          <w:rFonts w:eastAsiaTheme="minorHAnsi"/>
          <w:vertAlign w:val="subscript"/>
        </w:rPr>
        <w:t>0</w:t>
      </w:r>
      <w:r w:rsidR="009C2081" w:rsidRPr="00BF4711">
        <w:rPr>
          <w:rFonts w:eastAsiaTheme="minorHAnsi"/>
        </w:rPr>
        <w:t>A is held constant</w:t>
      </w:r>
      <w:r w:rsidR="00E00BFD" w:rsidRPr="00BF4711">
        <w:rPr>
          <w:rFonts w:eastAsiaTheme="minorHAnsi"/>
        </w:rPr>
        <w:t xml:space="preserve"> while we examine how changes in dialysate flow rate</w:t>
      </w:r>
      <w:r w:rsidR="006D0DC2" w:rsidRPr="00BF4711">
        <w:rPr>
          <w:rFonts w:eastAsiaTheme="minorHAnsi"/>
        </w:rPr>
        <w:t xml:space="preserve"> Q</w:t>
      </w:r>
      <w:r w:rsidR="006D0DC2" w:rsidRPr="00C7141F">
        <w:rPr>
          <w:rFonts w:eastAsiaTheme="minorHAnsi"/>
          <w:vertAlign w:val="subscript"/>
        </w:rPr>
        <w:t>d</w:t>
      </w:r>
      <w:r w:rsidR="006D0DC2" w:rsidRPr="00BF4711">
        <w:rPr>
          <w:rFonts w:eastAsiaTheme="minorHAnsi"/>
        </w:rPr>
        <w:t xml:space="preserve"> reshape the axial concentration difference</w:t>
      </w:r>
      <w:r w:rsidR="00A66990" w:rsidRPr="00BF4711">
        <w:rPr>
          <w:rFonts w:eastAsiaTheme="minorHAnsi"/>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A66990" w:rsidRPr="00BF4711">
        <w:rPr>
          <w:rFonts w:eastAsiaTheme="minorEastAsia"/>
        </w:rPr>
        <w:t xml:space="preserve"> for CO and CC</w:t>
      </w:r>
      <w:r w:rsidR="00B946C3" w:rsidRPr="00BF4711">
        <w:rPr>
          <w:rFonts w:eastAsiaTheme="minorEastAsia"/>
        </w:rPr>
        <w:t xml:space="preserve"> configurations. This isolates the geometric and convective effects of Q</w:t>
      </w:r>
      <w:r w:rsidR="00B946C3" w:rsidRPr="00A53F3C">
        <w:rPr>
          <w:rFonts w:eastAsiaTheme="minorEastAsia"/>
          <w:vertAlign w:val="subscript"/>
        </w:rPr>
        <w:t>d</w:t>
      </w:r>
      <w:r w:rsidR="00B946C3" w:rsidRPr="00BF4711">
        <w:rPr>
          <w:rFonts w:eastAsiaTheme="minorEastAsia"/>
        </w:rPr>
        <w:t xml:space="preserve"> on the transmembrane driving force for the solute transport</w:t>
      </w:r>
      <w:r w:rsidR="00F66AA8" w:rsidRPr="00BF4711">
        <w:rPr>
          <w:rFonts w:eastAsiaTheme="minorEastAsia"/>
        </w:rPr>
        <w:t>. In clinical dialyzers, however, the effective mass-transfer area coefficient K</w:t>
      </w:r>
      <w:r w:rsidR="00F66AA8" w:rsidRPr="00A53F3C">
        <w:rPr>
          <w:rFonts w:eastAsiaTheme="minorEastAsia"/>
          <w:vertAlign w:val="subscript"/>
        </w:rPr>
        <w:t>0</w:t>
      </w:r>
      <w:r w:rsidR="00F66AA8" w:rsidRPr="00BF4711">
        <w:rPr>
          <w:rFonts w:eastAsiaTheme="minorEastAsia"/>
        </w:rPr>
        <w:t>A</w:t>
      </w:r>
      <w:r w:rsidR="0020711D" w:rsidRPr="00BF4711">
        <w:rPr>
          <w:rFonts w:eastAsiaTheme="minorEastAsia"/>
        </w:rPr>
        <w:t xml:space="preserve"> can itself increase with dialysate flow, particularly for small solutes such as urea</w:t>
      </w:r>
      <w:r w:rsidR="00E14B65" w:rsidRPr="00BF4711">
        <w:rPr>
          <w:rFonts w:eastAsiaTheme="minorEastAsia"/>
        </w:rPr>
        <w:t>, so the present simulations likely underestimate the full impact of higher Q</w:t>
      </w:r>
      <w:r w:rsidR="00E14B65" w:rsidRPr="00936FBB">
        <w:rPr>
          <w:rFonts w:eastAsiaTheme="minorEastAsia"/>
          <w:vertAlign w:val="subscript"/>
        </w:rPr>
        <w:t>d</w:t>
      </w:r>
      <w:r w:rsidR="00E14B65" w:rsidRPr="00BF4711">
        <w:rPr>
          <w:rFonts w:eastAsiaTheme="minorEastAsia"/>
        </w:rPr>
        <w:t xml:space="preserve"> on solute removal (</w:t>
      </w:r>
      <w:r w:rsidR="006C4C66" w:rsidRPr="00BF4711">
        <w:rPr>
          <w:rFonts w:eastAsiaTheme="minorEastAsia"/>
        </w:rPr>
        <w:t>Leypoldt et al., HEMO Study [6]).</w:t>
      </w:r>
    </w:p>
    <w:p w14:paraId="701CDF83" w14:textId="77777777" w:rsidR="00E76ED9" w:rsidRDefault="00E76ED9" w:rsidP="0026028D">
      <w:pPr>
        <w:pStyle w:val="NormalWeb"/>
        <w:spacing w:before="0" w:beforeAutospacing="0" w:after="0" w:afterAutospacing="0"/>
        <w:contextualSpacing/>
        <w:jc w:val="both"/>
        <w:rPr>
          <w:rFonts w:eastAsiaTheme="minorHAnsi"/>
        </w:rPr>
      </w:pPr>
    </w:p>
    <w:p w14:paraId="2A9FF928" w14:textId="480BE3C9" w:rsidR="00FA64CC" w:rsidRPr="00FB5943" w:rsidRDefault="00850576" w:rsidP="005B6D0A">
      <w:pPr>
        <w:pStyle w:val="NormalWeb"/>
        <w:spacing w:before="0" w:beforeAutospacing="0" w:after="120" w:afterAutospacing="0"/>
        <w:jc w:val="both"/>
        <w:rPr>
          <w:rFonts w:eastAsiaTheme="minorEastAsia"/>
          <w:b/>
          <w:bCs/>
        </w:rPr>
      </w:pPr>
      <w:r w:rsidRPr="00BF4711">
        <w:rPr>
          <w:rFonts w:eastAsiaTheme="minorEastAsia"/>
          <w:b/>
          <w:bCs/>
        </w:rPr>
        <w:t>Temporal Concentration C(t)</w:t>
      </w:r>
      <w:r w:rsidR="005A0029" w:rsidRPr="00BF4711">
        <w:rPr>
          <w:rFonts w:eastAsiaTheme="minorEastAsia"/>
          <w:b/>
          <w:bCs/>
        </w:rPr>
        <w:t>.</w:t>
      </w:r>
    </w:p>
    <w:p w14:paraId="1F59CEC0" w14:textId="2B5B0FD6" w:rsidR="003A2AB4" w:rsidRPr="00BF4711" w:rsidRDefault="00C94971" w:rsidP="0026028D">
      <w:pPr>
        <w:pStyle w:val="NormalWeb"/>
        <w:spacing w:before="0" w:beforeAutospacing="0" w:after="0" w:afterAutospacing="0"/>
        <w:contextualSpacing/>
        <w:jc w:val="both"/>
        <w:rPr>
          <w:rFonts w:eastAsiaTheme="minorEastAsia"/>
        </w:rPr>
      </w:pPr>
      <w:r w:rsidRPr="00BF4711">
        <w:rPr>
          <w:rFonts w:eastAsiaTheme="minorEastAsia"/>
          <w:b/>
          <w:bCs/>
          <w:i/>
          <w:iCs/>
        </w:rPr>
        <w:t xml:space="preserve">Figure </w:t>
      </w:r>
      <w:r w:rsidR="00936FBB">
        <w:rPr>
          <w:rFonts w:eastAsiaTheme="minorEastAsia"/>
          <w:b/>
          <w:bCs/>
          <w:i/>
          <w:iCs/>
        </w:rPr>
        <w:t>5</w:t>
      </w:r>
      <w:r w:rsidRPr="00BF4711">
        <w:rPr>
          <w:rFonts w:eastAsiaTheme="minorEastAsia"/>
        </w:rPr>
        <w:t xml:space="preserve"> shows the model-predicted time course of the normalized solute concentration</w:t>
      </w:r>
      <w:r w:rsidR="003A2AB4" w:rsidRPr="00BF4711">
        <w:rPr>
          <w:rFonts w:eastAsiaTheme="minorEastAsia"/>
        </w:rPr>
        <w:t xml:space="preserve"> in the patient’s blood compartment, </w:t>
      </w:r>
      <m:oMath>
        <m:r>
          <w:rPr>
            <w:rFonts w:ascii="Cambria Math" w:hAnsi="Cambria Math"/>
          </w:rPr>
          <m:t>C</m:t>
        </m:r>
        <m:d>
          <m:dPr>
            <m:ctrlPr>
              <w:rPr>
                <w:rFonts w:ascii="Cambria Math" w:hAnsi="Cambria Math"/>
                <w:i/>
              </w:rPr>
            </m:ctrlPr>
          </m:dPr>
          <m:e>
            <m:r>
              <w:rPr>
                <w:rFonts w:ascii="Cambria Math" w:hAnsi="Cambria Math"/>
              </w:rPr>
              <m:t>t</m:t>
            </m:r>
          </m:e>
        </m:d>
      </m:oMath>
      <w:r w:rsidR="0058205F" w:rsidRPr="00BF4711">
        <w:rPr>
          <w:rFonts w:eastAsiaTheme="minorEastAsia"/>
        </w:rPr>
        <w:t>,</w:t>
      </w:r>
      <w:r w:rsidR="002F7605" w:rsidRPr="00BF4711">
        <w:rPr>
          <w:rFonts w:eastAsiaTheme="minorEastAsia"/>
        </w:rPr>
        <w:t xml:space="preserve"> during dialysis for CO and CC flow. </w:t>
      </w:r>
      <w:r w:rsidR="00F5542B" w:rsidRPr="00BF4711">
        <w:rPr>
          <w:rFonts w:eastAsiaTheme="minorEastAsia"/>
        </w:rPr>
        <w:t>Because a</w:t>
      </w:r>
      <w:r w:rsidR="00414F9A" w:rsidRPr="00BF4711">
        <w:rPr>
          <w:rFonts w:eastAsiaTheme="minorEastAsia"/>
        </w:rPr>
        <w:t>t</w:t>
      </w:r>
      <w:r w:rsidR="002F7605" w:rsidRPr="00BF4711">
        <w:rPr>
          <w:rFonts w:eastAsiaTheme="minorEastAsia"/>
        </w:rPr>
        <w:t xml:space="preserve"> </w:t>
      </w:r>
      <m:oMath>
        <m:r>
          <w:rPr>
            <w:rFonts w:ascii="Cambria Math" w:hAnsi="Cambria Math"/>
          </w:rPr>
          <m:t>C</m:t>
        </m:r>
        <m:d>
          <m:dPr>
            <m:ctrlPr>
              <w:rPr>
                <w:rFonts w:ascii="Cambria Math" w:hAnsi="Cambria Math"/>
                <w:i/>
              </w:rPr>
            </m:ctrlPr>
          </m:dPr>
          <m:e>
            <m:r>
              <w:rPr>
                <w:rFonts w:ascii="Cambria Math" w:hAnsi="Cambria Math"/>
              </w:rPr>
              <m:t>0</m:t>
            </m:r>
          </m:e>
        </m:d>
        <m:r>
          <w:rPr>
            <w:rFonts w:ascii="Cambria Math" w:eastAsiaTheme="minorEastAsia" w:hAnsi="Cambria Math"/>
          </w:rPr>
          <m:t>=1</m:t>
        </m:r>
      </m:oMath>
      <w:r w:rsidR="0058415C" w:rsidRPr="00BF4711">
        <w:rPr>
          <w:rFonts w:eastAsiaTheme="minorEastAsia"/>
        </w:rPr>
        <w:t xml:space="preserve"> </w:t>
      </w:r>
      <w:r w:rsidR="009B489E" w:rsidRPr="00BF4711">
        <w:rPr>
          <w:rFonts w:eastAsiaTheme="minorEastAsia"/>
        </w:rPr>
        <w:t xml:space="preserve">the curves represent the fraction of the initial solute load remaining in the </w:t>
      </w:r>
      <w:r w:rsidR="00FE3B4E" w:rsidRPr="00BF4711">
        <w:rPr>
          <w:rFonts w:eastAsiaTheme="minorEastAsia"/>
        </w:rPr>
        <w:t>body</w:t>
      </w:r>
      <w:r w:rsidR="0096152A" w:rsidRPr="00BF4711">
        <w:rPr>
          <w:rFonts w:eastAsiaTheme="minorEastAsia"/>
        </w:rPr>
        <w:t xml:space="preserve"> as</w:t>
      </w:r>
      <w:r w:rsidR="00B63A35" w:rsidRPr="00BF4711">
        <w:rPr>
          <w:rFonts w:eastAsiaTheme="minorEastAsia"/>
        </w:rPr>
        <w:t xml:space="preserve"> treatment progresses, consistent with standard single-pool</w:t>
      </w:r>
      <w:r w:rsidR="004B1268" w:rsidRPr="00BF4711">
        <w:rPr>
          <w:rFonts w:eastAsiaTheme="minorEastAsia"/>
        </w:rPr>
        <w:t xml:space="preserve"> mass-balance formulations used in dialysis kinetics</w:t>
      </w:r>
      <w:r w:rsidR="00FE3B4E" w:rsidRPr="00BF4711">
        <w:rPr>
          <w:rFonts w:eastAsiaTheme="minorEastAsia"/>
        </w:rPr>
        <w:t>.</w:t>
      </w:r>
      <w:r w:rsidR="008C0122" w:rsidRPr="00BF4711">
        <w:rPr>
          <w:rFonts w:eastAsiaTheme="minorEastAsia"/>
        </w:rPr>
        <w:t xml:space="preserve"> </w:t>
      </w:r>
      <w:r w:rsidR="00874651" w:rsidRPr="00BF4711">
        <w:rPr>
          <w:rFonts w:eastAsiaTheme="minorEastAsia"/>
        </w:rPr>
        <w:t>B</w:t>
      </w:r>
      <w:r w:rsidR="008C0122" w:rsidRPr="00BF4711">
        <w:rPr>
          <w:rFonts w:eastAsiaTheme="minorEastAsia"/>
        </w:rPr>
        <w:t>oth configurations exhibit a</w:t>
      </w:r>
      <w:r w:rsidR="0058415C" w:rsidRPr="00BF4711">
        <w:rPr>
          <w:rFonts w:eastAsiaTheme="minorEastAsia"/>
        </w:rPr>
        <w:t xml:space="preserve"> </w:t>
      </w:r>
      <w:r w:rsidR="008C0122" w:rsidRPr="00BF4711">
        <w:rPr>
          <w:rFonts w:eastAsiaTheme="minorEastAsia"/>
        </w:rPr>
        <w:t>monotonic</w:t>
      </w:r>
      <w:r w:rsidR="0058415C" w:rsidRPr="00BF4711">
        <w:rPr>
          <w:rFonts w:eastAsiaTheme="minorEastAsia"/>
        </w:rPr>
        <w:t xml:space="preserve"> </w:t>
      </w:r>
      <w:r w:rsidR="00BC18AC" w:rsidRPr="00BF4711">
        <w:rPr>
          <w:rFonts w:eastAsiaTheme="minorEastAsia"/>
        </w:rPr>
        <w:t xml:space="preserve">decline in </w:t>
      </w:r>
      <m:oMath>
        <m:r>
          <w:rPr>
            <w:rFonts w:ascii="Cambria Math" w:hAnsi="Cambria Math"/>
          </w:rPr>
          <m:t>C</m:t>
        </m:r>
        <m:d>
          <m:dPr>
            <m:ctrlPr>
              <w:rPr>
                <w:rFonts w:ascii="Cambria Math" w:hAnsi="Cambria Math"/>
                <w:i/>
              </w:rPr>
            </m:ctrlPr>
          </m:dPr>
          <m:e>
            <m:r>
              <w:rPr>
                <w:rFonts w:ascii="Cambria Math" w:hAnsi="Cambria Math"/>
              </w:rPr>
              <m:t>t</m:t>
            </m:r>
          </m:e>
        </m:d>
      </m:oMath>
      <w:r w:rsidR="0058205F" w:rsidRPr="00BF4711">
        <w:rPr>
          <w:rFonts w:eastAsiaTheme="minorEastAsia"/>
        </w:rPr>
        <w:t>, reflecting</w:t>
      </w:r>
      <w:r w:rsidR="0091368F" w:rsidRPr="00BF4711">
        <w:rPr>
          <w:rFonts w:eastAsiaTheme="minorEastAsia"/>
        </w:rPr>
        <w:t xml:space="preserve"> net solute removal driven by the transmembrane concentration difference </w:t>
      </w:r>
      <m:oMath>
        <m:r>
          <w:rPr>
            <w:rFonts w:ascii="Cambria Math" w:hAnsi="Cambria Math"/>
          </w:rPr>
          <m:t>∆</m:t>
        </m:r>
        <m:d>
          <m:dPr>
            <m:ctrlPr>
              <w:rPr>
                <w:rFonts w:ascii="Cambria Math" w:hAnsi="Cambria Math"/>
                <w:i/>
              </w:rPr>
            </m:ctrlPr>
          </m:dPr>
          <m:e>
            <m:r>
              <w:rPr>
                <w:rFonts w:ascii="Cambria Math" w:hAnsi="Cambria Math"/>
              </w:rPr>
              <m:t>x</m:t>
            </m:r>
          </m:e>
        </m:d>
      </m:oMath>
      <w:r w:rsidR="00FC108B" w:rsidRPr="00BF4711">
        <w:rPr>
          <w:rFonts w:eastAsiaTheme="minorEastAsia"/>
        </w:rPr>
        <w:t xml:space="preserve"> established within the dialyzer</w:t>
      </w:r>
      <w:r w:rsidR="00FA0C13" w:rsidRPr="00BF4711">
        <w:rPr>
          <w:rFonts w:eastAsiaTheme="minorEastAsia"/>
        </w:rPr>
        <w:t xml:space="preserve"> (Sargent et al. Biophysics of Dialysis [7])</w:t>
      </w:r>
      <w:r w:rsidR="00FC108B" w:rsidRPr="00BF4711">
        <w:rPr>
          <w:rFonts w:eastAsiaTheme="minorEastAsia"/>
        </w:rPr>
        <w:t>.</w:t>
      </w:r>
    </w:p>
    <w:p w14:paraId="440ACE37" w14:textId="77777777" w:rsidR="00741A95" w:rsidRPr="00BF4711" w:rsidRDefault="00741A95" w:rsidP="0026028D">
      <w:pPr>
        <w:pStyle w:val="NormalWeb"/>
        <w:spacing w:before="0" w:beforeAutospacing="0" w:after="0" w:afterAutospacing="0"/>
        <w:contextualSpacing/>
        <w:jc w:val="both"/>
        <w:rPr>
          <w:rFonts w:eastAsia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10070"/>
      </w:tblGrid>
      <w:tr w:rsidR="006F4D06" w:rsidRPr="00BF4711" w14:paraId="3667B2A8" w14:textId="77777777" w:rsidTr="00F70B24">
        <w:trPr>
          <w:trHeight w:val="3392"/>
        </w:trPr>
        <w:tc>
          <w:tcPr>
            <w:tcW w:w="10070" w:type="dxa"/>
          </w:tcPr>
          <w:p w14:paraId="2BA36508" w14:textId="1F55A5EF" w:rsidR="006F4D06" w:rsidRPr="00BF4711" w:rsidRDefault="00091495" w:rsidP="0026028D">
            <w:pPr>
              <w:pStyle w:val="NormalWeb"/>
              <w:spacing w:before="0" w:beforeAutospacing="0" w:after="0" w:afterAutospacing="0"/>
              <w:contextualSpacing/>
              <w:jc w:val="center"/>
              <w:rPr>
                <w:rFonts w:eastAsiaTheme="minorHAnsi"/>
              </w:rPr>
            </w:pPr>
            <w:r w:rsidRPr="00BF4711">
              <w:rPr>
                <w:rFonts w:eastAsiaTheme="minorHAnsi"/>
                <w:noProof/>
              </w:rPr>
              <w:drawing>
                <wp:inline distT="0" distB="0" distL="0" distR="0" wp14:anchorId="33CB7C1F" wp14:editId="4362308E">
                  <wp:extent cx="3495675" cy="2343150"/>
                  <wp:effectExtent l="0" t="0" r="9525" b="0"/>
                  <wp:docPr id="1065795322" name="Graphic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95322" name="Graphic 1065795322"/>
                          <pic:cNvPicPr/>
                        </pic:nvPicPr>
                        <pic:blipFill>
                          <a:blip r:embed="rId19">
                            <a:extLst>
                              <a:ext uri="{96DAC541-7B7A-43D3-8B79-37D633B846F1}">
                                <asvg:svgBlip xmlns:asvg="http://schemas.microsoft.com/office/drawing/2016/SVG/main" r:embed="rId20"/>
                              </a:ext>
                            </a:extLst>
                          </a:blip>
                          <a:stretch>
                            <a:fillRect/>
                          </a:stretch>
                        </pic:blipFill>
                        <pic:spPr>
                          <a:xfrm>
                            <a:off x="0" y="0"/>
                            <a:ext cx="3495675" cy="2343150"/>
                          </a:xfrm>
                          <a:prstGeom prst="rect">
                            <a:avLst/>
                          </a:prstGeom>
                        </pic:spPr>
                      </pic:pic>
                    </a:graphicData>
                  </a:graphic>
                </wp:inline>
              </w:drawing>
            </w:r>
          </w:p>
        </w:tc>
      </w:tr>
      <w:tr w:rsidR="00741A95" w:rsidRPr="00BF4711" w14:paraId="302A5306" w14:textId="77777777" w:rsidTr="00F70B24">
        <w:tc>
          <w:tcPr>
            <w:tcW w:w="10070" w:type="dxa"/>
          </w:tcPr>
          <w:p w14:paraId="433DAD33" w14:textId="1B5866C2" w:rsidR="00741A95" w:rsidRPr="00BF4711" w:rsidRDefault="00741A95"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936FBB">
              <w:rPr>
                <w:rFonts w:eastAsiaTheme="minorHAnsi"/>
                <w:b/>
                <w:bCs/>
                <w:i/>
                <w:iCs/>
              </w:rPr>
              <w:t>5</w:t>
            </w:r>
            <w:r w:rsidRPr="00BF4711">
              <w:rPr>
                <w:rFonts w:eastAsiaTheme="minorHAnsi"/>
                <w:b/>
                <w:bCs/>
                <w:i/>
                <w:iCs/>
              </w:rPr>
              <w:t>.</w:t>
            </w:r>
            <w:r w:rsidRPr="00BF4711">
              <w:rPr>
                <w:rFonts w:eastAsiaTheme="minorHAnsi"/>
              </w:rPr>
              <w:t xml:space="preserve"> </w:t>
            </w:r>
            <w:r w:rsidR="00260A4D" w:rsidRPr="00BF4711">
              <w:rPr>
                <w:rFonts w:eastAsiaTheme="minorHAnsi"/>
              </w:rPr>
              <w:t xml:space="preserve">Model </w:t>
            </w:r>
            <w:r w:rsidR="001A67CD" w:rsidRPr="00BF4711">
              <w:rPr>
                <w:rFonts w:eastAsiaTheme="minorHAnsi"/>
              </w:rPr>
              <w:t>p</w:t>
            </w:r>
            <w:r w:rsidR="00260A4D" w:rsidRPr="00BF4711">
              <w:rPr>
                <w:rFonts w:eastAsiaTheme="minorHAnsi"/>
              </w:rPr>
              <w:t xml:space="preserve">redicted </w:t>
            </w:r>
            <w:r w:rsidR="001A67CD" w:rsidRPr="00BF4711">
              <w:rPr>
                <w:rFonts w:eastAsiaTheme="minorHAnsi"/>
              </w:rPr>
              <w:t>t</w:t>
            </w:r>
            <w:r w:rsidR="005B3741" w:rsidRPr="00BF4711">
              <w:rPr>
                <w:rFonts w:eastAsiaTheme="minorHAnsi"/>
              </w:rPr>
              <w:t>empo</w:t>
            </w:r>
            <w:r w:rsidR="00260A4D" w:rsidRPr="00BF4711">
              <w:rPr>
                <w:rFonts w:eastAsiaTheme="minorHAnsi"/>
              </w:rPr>
              <w:t xml:space="preserve">ral </w:t>
            </w:r>
            <w:r w:rsidR="001A67CD" w:rsidRPr="00BF4711">
              <w:rPr>
                <w:rFonts w:eastAsiaTheme="minorHAnsi"/>
              </w:rPr>
              <w:t>c</w:t>
            </w:r>
            <w:r w:rsidR="00260A4D" w:rsidRPr="00BF4711">
              <w:rPr>
                <w:rFonts w:eastAsiaTheme="minorHAnsi"/>
              </w:rPr>
              <w:t xml:space="preserve">oncentration profile </w:t>
            </w:r>
            <w:r w:rsidR="001A67CD" w:rsidRPr="00BF4711">
              <w:rPr>
                <w:rFonts w:eastAsiaTheme="minorHAnsi"/>
              </w:rPr>
              <w:t xml:space="preserve">during </w:t>
            </w:r>
            <w:r w:rsidR="00592B71" w:rsidRPr="00BF4711">
              <w:rPr>
                <w:rFonts w:eastAsiaTheme="minorHAnsi"/>
              </w:rPr>
              <w:t>co-current and counter-current</w:t>
            </w:r>
            <w:r w:rsidR="007332D4" w:rsidRPr="00BF4711">
              <w:rPr>
                <w:rFonts w:eastAsiaTheme="minorHAnsi"/>
              </w:rPr>
              <w:t xml:space="preserve"> </w:t>
            </w:r>
            <w:r w:rsidR="00297AF9" w:rsidRPr="00BF4711">
              <w:rPr>
                <w:rFonts w:eastAsiaTheme="minorHAnsi"/>
              </w:rPr>
              <w:t xml:space="preserve">kidney </w:t>
            </w:r>
            <w:r w:rsidR="007332D4" w:rsidRPr="00BF4711">
              <w:rPr>
                <w:rFonts w:eastAsiaTheme="minorHAnsi"/>
              </w:rPr>
              <w:t>dialysis.</w:t>
            </w:r>
          </w:p>
        </w:tc>
      </w:tr>
    </w:tbl>
    <w:p w14:paraId="62F1F42C" w14:textId="77777777" w:rsidR="00DC234B" w:rsidRPr="00BF4711" w:rsidRDefault="00DC234B" w:rsidP="0026028D">
      <w:pPr>
        <w:pStyle w:val="NormalWeb"/>
        <w:spacing w:before="0" w:beforeAutospacing="0" w:after="0" w:afterAutospacing="0"/>
        <w:contextualSpacing/>
        <w:jc w:val="both"/>
        <w:rPr>
          <w:rFonts w:eastAsiaTheme="minorHAnsi"/>
        </w:rPr>
      </w:pPr>
    </w:p>
    <w:p w14:paraId="5298B58E" w14:textId="77777777" w:rsidR="0007029B" w:rsidRPr="00BF4711" w:rsidRDefault="00D73E36"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two curves diverge because the flow configuration determines how effectively the dialyzer maintains a driving force for diffusion. In the CC arrangement, the blood is continually exposed to dialysate that is closer to its inlet concentration, preserving a larger </w:t>
      </w:r>
      <m:oMath>
        <m:r>
          <w:rPr>
            <w:rFonts w:ascii="Cambria Math" w:hAnsi="Cambria Math"/>
          </w:rPr>
          <m:t>∆</m:t>
        </m:r>
        <m:d>
          <m:dPr>
            <m:ctrlPr>
              <w:rPr>
                <w:rFonts w:ascii="Cambria Math" w:hAnsi="Cambria Math"/>
                <w:i/>
              </w:rPr>
            </m:ctrlPr>
          </m:dPr>
          <m:e>
            <m:r>
              <w:rPr>
                <w:rFonts w:ascii="Cambria Math" w:hAnsi="Cambria Math"/>
              </w:rPr>
              <m:t>x</m:t>
            </m:r>
          </m:e>
        </m:d>
      </m:oMath>
      <w:r w:rsidRPr="00BF4711">
        <w:rPr>
          <w:rFonts w:eastAsiaTheme="minorEastAsia"/>
        </w:rPr>
        <w:t xml:space="preserve"> along the entire fiber. This sustained gradient produces a higher effective clearance at each moment in time, causing the CC curve to fall more rapidly and remains consistently below the CO curve. In contrast, the CO configuration experiences early equilibration between blood and dialysate, leading to a faster collapse of the driving force and a correspondingly slower decline in </w:t>
      </w:r>
      <m:oMath>
        <m:r>
          <w:rPr>
            <w:rFonts w:ascii="Cambria Math" w:hAnsi="Cambria Math"/>
          </w:rPr>
          <m:t>∆</m:t>
        </m:r>
        <m:d>
          <m:dPr>
            <m:ctrlPr>
              <w:rPr>
                <w:rFonts w:ascii="Cambria Math" w:hAnsi="Cambria Math"/>
                <w:i/>
              </w:rPr>
            </m:ctrlPr>
          </m:dPr>
          <m:e>
            <m:r>
              <w:rPr>
                <w:rFonts w:ascii="Cambria Math" w:hAnsi="Cambria Math"/>
              </w:rPr>
              <m:t>x</m:t>
            </m:r>
          </m:e>
        </m:d>
      </m:oMath>
      <w:r w:rsidR="001E734D" w:rsidRPr="00BF4711">
        <w:rPr>
          <w:rFonts w:eastAsiaTheme="minorEastAsia"/>
        </w:rPr>
        <w:t xml:space="preserve">, a behavior </w:t>
      </w:r>
      <w:r w:rsidR="0038506A" w:rsidRPr="00BF4711">
        <w:rPr>
          <w:rFonts w:eastAsiaTheme="minorEastAsia"/>
        </w:rPr>
        <w:t>long recognized in CC vs. CO mass-transfer</w:t>
      </w:r>
      <w:r w:rsidR="00B432E3" w:rsidRPr="00BF4711">
        <w:rPr>
          <w:rFonts w:eastAsiaTheme="minorEastAsia"/>
        </w:rPr>
        <w:t xml:space="preserve"> comparisons in hemodialysis [7]</w:t>
      </w:r>
      <w:r w:rsidRPr="00BF4711">
        <w:rPr>
          <w:rFonts w:eastAsiaTheme="minorEastAsia"/>
        </w:rPr>
        <w:t>.</w:t>
      </w:r>
    </w:p>
    <w:p w14:paraId="2DBEB56E" w14:textId="77777777" w:rsidR="0007029B" w:rsidRPr="00BF4711" w:rsidRDefault="0007029B" w:rsidP="0026028D">
      <w:pPr>
        <w:pStyle w:val="NormalWeb"/>
        <w:spacing w:before="0" w:beforeAutospacing="0" w:after="0" w:afterAutospacing="0"/>
        <w:contextualSpacing/>
        <w:jc w:val="both"/>
        <w:rPr>
          <w:rFonts w:eastAsiaTheme="minorEastAsia"/>
        </w:rPr>
      </w:pPr>
    </w:p>
    <w:p w14:paraId="1C0EFD57" w14:textId="61F38648" w:rsidR="00815D44" w:rsidRPr="00BF4711" w:rsidRDefault="00042510" w:rsidP="005B6D0A">
      <w:pPr>
        <w:pStyle w:val="NormalWeb"/>
        <w:spacing w:before="0" w:beforeAutospacing="0" w:after="120" w:afterAutospacing="0"/>
        <w:jc w:val="both"/>
        <w:rPr>
          <w:rFonts w:eastAsiaTheme="minorEastAsia"/>
          <w:b/>
          <w:bCs/>
        </w:rPr>
      </w:pPr>
      <w:r w:rsidRPr="00BF4711">
        <w:rPr>
          <w:rFonts w:eastAsiaTheme="minorEastAsia"/>
          <w:b/>
          <w:bCs/>
        </w:rPr>
        <w:t>Comparison with</w:t>
      </w:r>
      <w:r w:rsidR="00052EA5" w:rsidRPr="00BF4711">
        <w:rPr>
          <w:rFonts w:eastAsiaTheme="minorEastAsia"/>
          <w:b/>
          <w:bCs/>
        </w:rPr>
        <w:t xml:space="preserve"> Experimental Results</w:t>
      </w:r>
      <w:r w:rsidR="00815D44" w:rsidRPr="00BF4711">
        <w:rPr>
          <w:rFonts w:eastAsiaTheme="minorEastAsia"/>
          <w:b/>
          <w:bCs/>
        </w:rPr>
        <w:t>.</w:t>
      </w:r>
    </w:p>
    <w:p w14:paraId="6D184F39" w14:textId="26D91A1F" w:rsidR="008975FE" w:rsidRPr="00BF4711" w:rsidRDefault="007453AB" w:rsidP="0026028D">
      <w:pPr>
        <w:pStyle w:val="NormalWeb"/>
        <w:spacing w:before="0" w:beforeAutospacing="0" w:after="0" w:afterAutospacing="0"/>
        <w:contextualSpacing/>
        <w:jc w:val="both"/>
        <w:rPr>
          <w:rFonts w:eastAsiaTheme="minorEastAsia"/>
        </w:rPr>
      </w:pPr>
      <w:r w:rsidRPr="00BF4711">
        <w:rPr>
          <w:rFonts w:eastAsiaTheme="minorEastAsia"/>
        </w:rPr>
        <w:lastRenderedPageBreak/>
        <w:t>The experimental results</w:t>
      </w:r>
      <w:r w:rsidR="004B5A56" w:rsidRPr="00BF4711">
        <w:rPr>
          <w:rFonts w:eastAsiaTheme="minorEastAsia"/>
        </w:rPr>
        <w:t xml:space="preserve"> (El</w:t>
      </w:r>
      <w:r w:rsidR="00935F6C" w:rsidRPr="00BF4711">
        <w:rPr>
          <w:rFonts w:eastAsiaTheme="minorEastAsia"/>
        </w:rPr>
        <w:t>oot, 2005 [</w:t>
      </w:r>
      <w:r w:rsidR="008975FE" w:rsidRPr="00BF4711">
        <w:rPr>
          <w:rFonts w:eastAsiaTheme="minorEastAsia"/>
        </w:rPr>
        <w:t>8</w:t>
      </w:r>
      <w:r w:rsidR="00935F6C" w:rsidRPr="00BF4711">
        <w:rPr>
          <w:rFonts w:eastAsiaTheme="minorEastAsia"/>
        </w:rPr>
        <w:t>]</w:t>
      </w:r>
      <w:r w:rsidR="008975FE" w:rsidRPr="00BF4711">
        <w:rPr>
          <w:rFonts w:eastAsiaTheme="minorEastAsia"/>
        </w:rPr>
        <w:t xml:space="preserve">) </w:t>
      </w:r>
      <w:r w:rsidR="00F97943" w:rsidRPr="00BF4711">
        <w:rPr>
          <w:rFonts w:eastAsiaTheme="minorEastAsia"/>
        </w:rPr>
        <w:t xml:space="preserve">show that </w:t>
      </w:r>
      <w:r w:rsidR="00CC0FBC" w:rsidRPr="00BF4711">
        <w:rPr>
          <w:rFonts w:eastAsiaTheme="minorEastAsia"/>
        </w:rPr>
        <w:t>CC operation provides a consistent and meaningful improvement in solute-removal</w:t>
      </w:r>
      <w:r w:rsidR="002C004E" w:rsidRPr="00BF4711">
        <w:rPr>
          <w:rFonts w:eastAsiaTheme="minorEastAsia"/>
        </w:rPr>
        <w:t xml:space="preserve"> efficiency. For the low-molecular-weight solute LMW-AB</w:t>
      </w:r>
      <w:r w:rsidR="003D7673" w:rsidRPr="00BF4711">
        <w:rPr>
          <w:rFonts w:eastAsiaTheme="minorEastAsia"/>
        </w:rPr>
        <w:t xml:space="preserve">, clearance increases from </w:t>
      </w:r>
      <w:r w:rsidR="00391346" w:rsidRPr="00BF4711">
        <w:rPr>
          <w:rFonts w:eastAsiaTheme="minorEastAsia"/>
        </w:rPr>
        <w:t>184 mL/min in C</w:t>
      </w:r>
      <w:r w:rsidR="00273672" w:rsidRPr="00BF4711">
        <w:rPr>
          <w:rFonts w:eastAsiaTheme="minorEastAsia"/>
        </w:rPr>
        <w:t>O</w:t>
      </w:r>
      <w:r w:rsidR="00391346" w:rsidRPr="00BF4711">
        <w:rPr>
          <w:rFonts w:eastAsiaTheme="minorEastAsia"/>
        </w:rPr>
        <w:t xml:space="preserve"> flow to 215 mL/min in CC, corresponding to a 17% increase.</w:t>
      </w:r>
      <w:r w:rsidR="00707117" w:rsidRPr="00BF4711">
        <w:rPr>
          <w:rFonts w:eastAsiaTheme="minorEastAsia"/>
        </w:rPr>
        <w:t xml:space="preserve"> For the mid-molecular-weight Na</w:t>
      </w:r>
      <w:r w:rsidR="00707117" w:rsidRPr="00BF4711">
        <w:rPr>
          <w:rFonts w:eastAsiaTheme="minorEastAsia"/>
          <w:vertAlign w:val="subscript"/>
        </w:rPr>
        <w:t>3</w:t>
      </w:r>
      <w:r w:rsidR="00707117" w:rsidRPr="00BF4711">
        <w:rPr>
          <w:rFonts w:eastAsiaTheme="minorEastAsia"/>
        </w:rPr>
        <w:t>PO</w:t>
      </w:r>
      <w:r w:rsidR="00707117" w:rsidRPr="00BF4711">
        <w:rPr>
          <w:rFonts w:eastAsiaTheme="minorEastAsia"/>
          <w:vertAlign w:val="subscript"/>
        </w:rPr>
        <w:t>4</w:t>
      </w:r>
      <w:r w:rsidR="00707117" w:rsidRPr="00BF4711">
        <w:rPr>
          <w:rFonts w:eastAsiaTheme="minorEastAsia"/>
        </w:rPr>
        <w:t>, clearance rises from 145</w:t>
      </w:r>
      <w:r w:rsidR="008D3200" w:rsidRPr="00BF4711">
        <w:rPr>
          <w:rFonts w:eastAsiaTheme="minorEastAsia"/>
        </w:rPr>
        <w:t xml:space="preserve"> mL/min to 176 mL/min, representing a 21% improvement.</w:t>
      </w:r>
      <w:r w:rsidR="008D4C96" w:rsidRPr="00BF4711">
        <w:rPr>
          <w:rFonts w:eastAsiaTheme="minorEastAsia"/>
        </w:rPr>
        <w:t xml:space="preserve"> These experimenta</w:t>
      </w:r>
      <w:r w:rsidR="00651E69" w:rsidRPr="00BF4711">
        <w:rPr>
          <w:rFonts w:eastAsiaTheme="minorEastAsia"/>
        </w:rPr>
        <w:t xml:space="preserve">lly observed gains align with </w:t>
      </w:r>
      <w:r w:rsidR="007140D7" w:rsidRPr="00BF4711">
        <w:rPr>
          <w:rFonts w:eastAsiaTheme="minorEastAsia"/>
        </w:rPr>
        <w:t>our model’s predicted enhancement of 30%</w:t>
      </w:r>
      <w:r w:rsidR="00E14479" w:rsidRPr="00BF4711">
        <w:rPr>
          <w:rFonts w:eastAsiaTheme="minorEastAsia"/>
        </w:rPr>
        <w:t>. The modest</w:t>
      </w:r>
      <w:r w:rsidR="00873B8A" w:rsidRPr="00BF4711">
        <w:rPr>
          <w:rFonts w:eastAsiaTheme="minorEastAsia"/>
        </w:rPr>
        <w:t xml:space="preserve"> difference between theoretical and experimental </w:t>
      </w:r>
      <w:r w:rsidR="00425F28" w:rsidRPr="00BF4711">
        <w:rPr>
          <w:rFonts w:eastAsiaTheme="minorEastAsia"/>
        </w:rPr>
        <w:t>results is expected, given real-world factors such as non-uniform</w:t>
      </w:r>
      <w:r w:rsidR="00EE385F" w:rsidRPr="00BF4711">
        <w:rPr>
          <w:rFonts w:eastAsiaTheme="minorEastAsia"/>
        </w:rPr>
        <w:t xml:space="preserve"> mixing, membrane heterogeneity and axial dispersion.</w:t>
      </w:r>
      <w:r w:rsidR="00AE473C" w:rsidRPr="00BF4711">
        <w:rPr>
          <w:rFonts w:eastAsiaTheme="minorEastAsia"/>
        </w:rPr>
        <w:t xml:space="preserve"> Importantly, the experimental trends confirm the</w:t>
      </w:r>
      <w:r w:rsidR="00266CB5" w:rsidRPr="00BF4711">
        <w:rPr>
          <w:rFonts w:eastAsiaTheme="minorEastAsia"/>
        </w:rPr>
        <w:t xml:space="preserve"> model’s mechanistic prediction</w:t>
      </w:r>
      <w:r w:rsidR="00C428EC" w:rsidRPr="00BF4711">
        <w:rPr>
          <w:rFonts w:eastAsiaTheme="minorEastAsia"/>
        </w:rPr>
        <w:t xml:space="preserve"> that </w:t>
      </w:r>
      <w:r w:rsidR="00D76FD3" w:rsidRPr="00BF4711">
        <w:rPr>
          <w:rFonts w:eastAsiaTheme="minorEastAsia"/>
        </w:rPr>
        <w:t xml:space="preserve">CC </w:t>
      </w:r>
      <w:r w:rsidR="00685956" w:rsidRPr="00BF4711">
        <w:rPr>
          <w:rFonts w:eastAsiaTheme="minorEastAsia"/>
        </w:rPr>
        <w:t xml:space="preserve">operation </w:t>
      </w:r>
      <w:r w:rsidR="007B12DD" w:rsidRPr="00BF4711">
        <w:rPr>
          <w:rFonts w:eastAsiaTheme="minorEastAsia"/>
        </w:rPr>
        <w:t xml:space="preserve">sustains a larger effective concentration gradient </w:t>
      </w:r>
      <w:r w:rsidR="00D33AAA" w:rsidRPr="00BF4711">
        <w:rPr>
          <w:rFonts w:eastAsiaTheme="minorEastAsia"/>
        </w:rPr>
        <w:t>than</w:t>
      </w:r>
      <w:r w:rsidR="006D2663" w:rsidRPr="00BF4711">
        <w:rPr>
          <w:rFonts w:eastAsiaTheme="minorEastAsia"/>
        </w:rPr>
        <w:t xml:space="preserve"> CO</w:t>
      </w:r>
      <w:r w:rsidR="00D33AAA" w:rsidRPr="00BF4711">
        <w:rPr>
          <w:rFonts w:eastAsiaTheme="minorEastAsia"/>
        </w:rPr>
        <w:t xml:space="preserve">, thereby enabling superior solute-removal </w:t>
      </w:r>
      <w:r w:rsidR="001957EC" w:rsidRPr="00BF4711">
        <w:rPr>
          <w:rFonts w:eastAsiaTheme="minorEastAsia"/>
        </w:rPr>
        <w:t>performance.</w:t>
      </w:r>
    </w:p>
    <w:p w14:paraId="0D3013BC" w14:textId="77777777" w:rsidR="00815D44" w:rsidRDefault="00815D44" w:rsidP="0026028D">
      <w:pPr>
        <w:pStyle w:val="NormalWeb"/>
        <w:spacing w:before="0" w:beforeAutospacing="0" w:after="0" w:afterAutospacing="0"/>
        <w:contextualSpacing/>
        <w:jc w:val="both"/>
        <w:rPr>
          <w:rFonts w:eastAsiaTheme="minorEastAsia"/>
        </w:rPr>
      </w:pPr>
    </w:p>
    <w:p w14:paraId="6B326F17" w14:textId="77777777" w:rsidR="00A638F0" w:rsidRPr="00BF4711" w:rsidRDefault="00A638F0" w:rsidP="0026028D">
      <w:pPr>
        <w:pStyle w:val="NormalWeb"/>
        <w:spacing w:before="0" w:beforeAutospacing="0" w:after="0" w:afterAutospacing="0"/>
        <w:contextualSpacing/>
        <w:jc w:val="both"/>
        <w:rPr>
          <w:rFonts w:eastAsiaTheme="minorEastAsia"/>
        </w:rPr>
      </w:pPr>
    </w:p>
    <w:p w14:paraId="15A2A957" w14:textId="23592FCF" w:rsidR="00DA461C" w:rsidRPr="00BF4711" w:rsidRDefault="007E578E" w:rsidP="0026028D">
      <w:pPr>
        <w:pStyle w:val="ListParagraph"/>
        <w:numPr>
          <w:ilvl w:val="0"/>
          <w:numId w:val="1"/>
        </w:numPr>
        <w:ind w:left="360"/>
        <w:rPr>
          <w:b/>
        </w:rPr>
      </w:pPr>
      <w:r w:rsidRPr="00BF4711">
        <w:rPr>
          <w:b/>
        </w:rPr>
        <w:t>Conclusions</w:t>
      </w:r>
    </w:p>
    <w:p w14:paraId="7978ACD4" w14:textId="77777777" w:rsidR="00AE0934" w:rsidRPr="00BF4711" w:rsidRDefault="00AE0934" w:rsidP="0026028D">
      <w:pPr>
        <w:pStyle w:val="NormalWeb"/>
        <w:spacing w:before="0" w:beforeAutospacing="0" w:after="0" w:afterAutospacing="0"/>
        <w:contextualSpacing/>
        <w:jc w:val="both"/>
        <w:rPr>
          <w:rFonts w:eastAsiaTheme="minorHAnsi"/>
        </w:rPr>
      </w:pPr>
    </w:p>
    <w:p w14:paraId="571682BE" w14:textId="1D665286" w:rsidR="007E578E" w:rsidRPr="00BF4711" w:rsidRDefault="00FE4E91" w:rsidP="0026028D">
      <w:pPr>
        <w:pStyle w:val="NormalWeb"/>
        <w:spacing w:before="0" w:beforeAutospacing="0" w:after="0" w:afterAutospacing="0"/>
        <w:contextualSpacing/>
        <w:jc w:val="both"/>
        <w:rPr>
          <w:rFonts w:eastAsiaTheme="minorHAnsi"/>
        </w:rPr>
      </w:pPr>
      <w:r w:rsidRPr="00BF4711">
        <w:rPr>
          <w:rFonts w:eastAsiaTheme="minorHAnsi"/>
        </w:rPr>
        <w:t xml:space="preserve">In this work we describe </w:t>
      </w:r>
      <w:r w:rsidR="00E13C39" w:rsidRPr="00BF4711">
        <w:rPr>
          <w:rFonts w:eastAsiaTheme="minorHAnsi"/>
        </w:rPr>
        <w:t>a lumped two compartment bo</w:t>
      </w:r>
      <w:r w:rsidR="009D53D3" w:rsidRPr="00BF4711">
        <w:rPr>
          <w:rFonts w:eastAsiaTheme="minorHAnsi"/>
        </w:rPr>
        <w:t>x</w:t>
      </w:r>
      <w:r w:rsidR="00E13C39" w:rsidRPr="00BF4711">
        <w:rPr>
          <w:rFonts w:eastAsiaTheme="minorHAnsi"/>
        </w:rPr>
        <w:t xml:space="preserve"> model </w:t>
      </w:r>
      <w:r w:rsidR="009D53D3" w:rsidRPr="00BF4711">
        <w:rPr>
          <w:rFonts w:eastAsiaTheme="minorHAnsi"/>
        </w:rPr>
        <w:t xml:space="preserve">for kidney dialysis and compare the </w:t>
      </w:r>
      <w:r w:rsidR="0028448D" w:rsidRPr="00BF4711">
        <w:rPr>
          <w:rFonts w:eastAsiaTheme="minorHAnsi"/>
        </w:rPr>
        <w:t xml:space="preserve">performance efficiency of co- and counter-current flow. </w:t>
      </w:r>
      <w:r w:rsidR="00374A52" w:rsidRPr="00BF4711">
        <w:rPr>
          <w:rFonts w:eastAsiaTheme="minorHAnsi"/>
        </w:rPr>
        <w:t xml:space="preserve">We propose </w:t>
      </w:r>
      <w:r w:rsidR="00E002A0" w:rsidRPr="00BF4711">
        <w:rPr>
          <w:rFonts w:eastAsiaTheme="minorHAnsi"/>
        </w:rPr>
        <w:t xml:space="preserve">mathematical </w:t>
      </w:r>
      <w:r w:rsidR="009A3D36" w:rsidRPr="00BF4711">
        <w:rPr>
          <w:rFonts w:eastAsiaTheme="minorHAnsi"/>
        </w:rPr>
        <w:t>ODEs</w:t>
      </w:r>
      <w:r w:rsidR="00300D22" w:rsidRPr="00BF4711">
        <w:rPr>
          <w:rFonts w:eastAsiaTheme="minorHAnsi"/>
        </w:rPr>
        <w:t xml:space="preserve"> </w:t>
      </w:r>
      <w:r w:rsidR="00AA5685" w:rsidRPr="00BF4711">
        <w:rPr>
          <w:rFonts w:eastAsiaTheme="minorHAnsi"/>
        </w:rPr>
        <w:t xml:space="preserve">for </w:t>
      </w:r>
      <w:r w:rsidR="008170BD" w:rsidRPr="00BF4711">
        <w:rPr>
          <w:rFonts w:eastAsiaTheme="minorHAnsi"/>
        </w:rPr>
        <w:t xml:space="preserve">both </w:t>
      </w:r>
      <w:r w:rsidR="00AA5685" w:rsidRPr="00BF4711">
        <w:rPr>
          <w:rFonts w:eastAsiaTheme="minorHAnsi"/>
        </w:rPr>
        <w:t>s</w:t>
      </w:r>
      <w:r w:rsidR="006F02AC" w:rsidRPr="00BF4711">
        <w:rPr>
          <w:rFonts w:eastAsiaTheme="minorHAnsi"/>
        </w:rPr>
        <w:t xml:space="preserve">patial </w:t>
      </w:r>
      <w:r w:rsidR="00814891" w:rsidRPr="00BF4711">
        <w:rPr>
          <w:rFonts w:eastAsiaTheme="minorHAnsi"/>
        </w:rPr>
        <w:t xml:space="preserve">and temporal </w:t>
      </w:r>
      <w:r w:rsidR="00B52173" w:rsidRPr="00BF4711">
        <w:rPr>
          <w:rFonts w:eastAsiaTheme="minorHAnsi"/>
        </w:rPr>
        <w:t xml:space="preserve">models and solve them analytically. </w:t>
      </w:r>
      <w:r w:rsidR="000D25A3" w:rsidRPr="00BF4711">
        <w:rPr>
          <w:rFonts w:eastAsiaTheme="minorHAnsi"/>
        </w:rPr>
        <w:t>Simulation</w:t>
      </w:r>
      <w:r w:rsidR="004512CD" w:rsidRPr="00BF4711">
        <w:rPr>
          <w:rFonts w:eastAsiaTheme="minorHAnsi"/>
        </w:rPr>
        <w:t xml:space="preserve">s </w:t>
      </w:r>
      <w:r w:rsidR="009F768E" w:rsidRPr="00BF4711">
        <w:rPr>
          <w:rFonts w:eastAsiaTheme="minorHAnsi"/>
        </w:rPr>
        <w:t xml:space="preserve">are conducted </w:t>
      </w:r>
      <w:r w:rsidR="00364BB7" w:rsidRPr="00BF4711">
        <w:rPr>
          <w:rFonts w:eastAsiaTheme="minorHAnsi"/>
        </w:rPr>
        <w:t xml:space="preserve">using parameter values </w:t>
      </w:r>
      <w:r w:rsidR="00CB0EC3" w:rsidRPr="00BF4711">
        <w:rPr>
          <w:rFonts w:eastAsiaTheme="minorHAnsi"/>
        </w:rPr>
        <w:t>chosen to fall within the physiological range of clinical hemodialysis.</w:t>
      </w:r>
    </w:p>
    <w:p w14:paraId="3DEFDC2E" w14:textId="77777777" w:rsidR="00BE6153" w:rsidRPr="00BF4711" w:rsidRDefault="00BE6153" w:rsidP="0026028D">
      <w:pPr>
        <w:pStyle w:val="NormalWeb"/>
        <w:spacing w:before="0" w:beforeAutospacing="0" w:after="0" w:afterAutospacing="0"/>
        <w:contextualSpacing/>
        <w:jc w:val="both"/>
        <w:rPr>
          <w:rFonts w:eastAsiaTheme="minorHAnsi"/>
        </w:rPr>
      </w:pPr>
    </w:p>
    <w:p w14:paraId="38BAC67C" w14:textId="30F52C61" w:rsidR="00BE6153" w:rsidRPr="00BF4711" w:rsidRDefault="009C1D82" w:rsidP="0026028D">
      <w:pPr>
        <w:pStyle w:val="NormalWeb"/>
        <w:spacing w:before="0" w:beforeAutospacing="0" w:after="0" w:afterAutospacing="0"/>
        <w:contextualSpacing/>
        <w:jc w:val="both"/>
        <w:rPr>
          <w:rFonts w:eastAsiaTheme="minorHAnsi"/>
        </w:rPr>
      </w:pPr>
      <w:r w:rsidRPr="00BF4711">
        <w:rPr>
          <w:rFonts w:eastAsiaTheme="minorHAnsi"/>
        </w:rPr>
        <w:t>The combined spatial-temporal analysis reveals a coherent mechanistic pi</w:t>
      </w:r>
      <w:r w:rsidR="00D94295" w:rsidRPr="00BF4711">
        <w:rPr>
          <w:rFonts w:eastAsiaTheme="minorHAnsi"/>
        </w:rPr>
        <w:t xml:space="preserve">cture: </w:t>
      </w:r>
      <w:r w:rsidR="00E67815" w:rsidRPr="00BF4711">
        <w:rPr>
          <w:rFonts w:eastAsiaTheme="minorHAnsi"/>
        </w:rPr>
        <w:t>counter-current</w:t>
      </w:r>
      <w:r w:rsidR="008E3FF3" w:rsidRPr="00BF4711">
        <w:rPr>
          <w:rFonts w:eastAsiaTheme="minorHAnsi"/>
        </w:rPr>
        <w:t xml:space="preserve"> operation consistently sustains a larger</w:t>
      </w:r>
      <w:r w:rsidR="00873BE6" w:rsidRPr="00BF4711">
        <w:rPr>
          <w:rFonts w:eastAsiaTheme="minorHAnsi"/>
        </w:rPr>
        <w:t xml:space="preserve"> and more uniformly distributed concentration gradient across the dialyzer</w:t>
      </w:r>
      <w:r w:rsidR="002B2E7C" w:rsidRPr="00BF4711">
        <w:rPr>
          <w:rFonts w:eastAsiaTheme="minorHAnsi"/>
        </w:rPr>
        <w:t>, whereas co-current flow rapidly approaches local equilibrium and loses driving</w:t>
      </w:r>
      <w:r w:rsidR="00D80DC8" w:rsidRPr="00BF4711">
        <w:rPr>
          <w:rFonts w:eastAsiaTheme="minorHAnsi"/>
        </w:rPr>
        <w:t xml:space="preserve"> force early in the device. This </w:t>
      </w:r>
      <w:r w:rsidR="000D4251" w:rsidRPr="00BF4711">
        <w:rPr>
          <w:rFonts w:eastAsiaTheme="minorHAnsi"/>
        </w:rPr>
        <w:t>difference</w:t>
      </w:r>
      <w:r w:rsidR="00325DA2" w:rsidRPr="00BF4711">
        <w:rPr>
          <w:rFonts w:eastAsiaTheme="minorHAnsi"/>
        </w:rPr>
        <w:t xml:space="preserve"> in gradient explains the higher solute-removal efficiency</w:t>
      </w:r>
      <w:r w:rsidR="00DA66ED" w:rsidRPr="00BF4711">
        <w:rPr>
          <w:rFonts w:eastAsiaTheme="minorHAnsi"/>
        </w:rPr>
        <w:t xml:space="preserve"> </w:t>
      </w:r>
      <w:r w:rsidR="00323E76" w:rsidRPr="00BF4711">
        <w:rPr>
          <w:rFonts w:eastAsiaTheme="minorHAnsi"/>
        </w:rPr>
        <w:t>observed in counter-current systems. The temporal patient model further shows that this sustained gradient translates into lower</w:t>
      </w:r>
      <w:r w:rsidR="002D428A" w:rsidRPr="00BF4711">
        <w:rPr>
          <w:rFonts w:eastAsiaTheme="minorHAnsi"/>
        </w:rPr>
        <w:t xml:space="preserve"> systemic solute concentrations over the course of </w:t>
      </w:r>
      <w:r w:rsidR="002C682C" w:rsidRPr="00BF4711">
        <w:rPr>
          <w:rFonts w:eastAsiaTheme="minorHAnsi"/>
        </w:rPr>
        <w:t>treatment</w:t>
      </w:r>
      <w:r w:rsidR="00C86A74" w:rsidRPr="00BF4711">
        <w:rPr>
          <w:rFonts w:eastAsiaTheme="minorHAnsi"/>
        </w:rPr>
        <w:t>.</w:t>
      </w:r>
    </w:p>
    <w:p w14:paraId="4B262EA2" w14:textId="77777777" w:rsidR="00C86A74" w:rsidRPr="00BF4711" w:rsidRDefault="00C86A74" w:rsidP="0026028D">
      <w:pPr>
        <w:pStyle w:val="NormalWeb"/>
        <w:spacing w:before="0" w:beforeAutospacing="0" w:after="0" w:afterAutospacing="0"/>
        <w:contextualSpacing/>
        <w:jc w:val="both"/>
        <w:rPr>
          <w:rFonts w:eastAsiaTheme="minorHAnsi"/>
        </w:rPr>
      </w:pPr>
    </w:p>
    <w:p w14:paraId="00AF8F4F" w14:textId="681A9C2E" w:rsidR="00C86A74" w:rsidRPr="00BF4711" w:rsidRDefault="00C86A74" w:rsidP="0026028D">
      <w:pPr>
        <w:pStyle w:val="NormalWeb"/>
        <w:spacing w:before="0" w:beforeAutospacing="0" w:after="0" w:afterAutospacing="0"/>
        <w:contextualSpacing/>
        <w:jc w:val="both"/>
        <w:rPr>
          <w:rFonts w:eastAsiaTheme="minorHAnsi"/>
        </w:rPr>
      </w:pPr>
      <w:r w:rsidRPr="00BF4711">
        <w:rPr>
          <w:rFonts w:eastAsiaTheme="minorHAnsi"/>
        </w:rPr>
        <w:t>Sensitivity studies</w:t>
      </w:r>
      <w:r w:rsidR="00AC47CC" w:rsidRPr="00BF4711">
        <w:rPr>
          <w:rFonts w:eastAsiaTheme="minorHAnsi"/>
        </w:rPr>
        <w:t xml:space="preserve"> highlight the dominant influence of the mass-transfer area coefficient K</w:t>
      </w:r>
      <w:r w:rsidR="00AC47CC" w:rsidRPr="008C26AD">
        <w:rPr>
          <w:rFonts w:eastAsiaTheme="minorHAnsi"/>
          <w:vertAlign w:val="subscript"/>
        </w:rPr>
        <w:t>0</w:t>
      </w:r>
      <w:r w:rsidR="00AC47CC" w:rsidRPr="00BF4711">
        <w:rPr>
          <w:rFonts w:eastAsiaTheme="minorHAnsi"/>
        </w:rPr>
        <w:t>A</w:t>
      </w:r>
      <w:r w:rsidR="001732CF" w:rsidRPr="00BF4711">
        <w:rPr>
          <w:rFonts w:eastAsiaTheme="minorHAnsi"/>
        </w:rPr>
        <w:t xml:space="preserve">, which governs the steepness of axial gradients and amplifies the performance gap between </w:t>
      </w:r>
      <w:r w:rsidR="00931038" w:rsidRPr="00BF4711">
        <w:rPr>
          <w:rFonts w:eastAsiaTheme="minorHAnsi"/>
        </w:rPr>
        <w:t>the flow configurations</w:t>
      </w:r>
      <w:r w:rsidR="00722825" w:rsidRPr="00BF4711">
        <w:rPr>
          <w:rFonts w:eastAsiaTheme="minorHAnsi"/>
        </w:rPr>
        <w:t>. Variation in dialysate flow rate Q</w:t>
      </w:r>
      <w:r w:rsidR="00722825" w:rsidRPr="008C26AD">
        <w:rPr>
          <w:rFonts w:eastAsiaTheme="minorHAnsi"/>
          <w:vertAlign w:val="subscript"/>
        </w:rPr>
        <w:t>d</w:t>
      </w:r>
      <w:r w:rsidR="00722825" w:rsidRPr="00BF4711">
        <w:rPr>
          <w:rFonts w:eastAsiaTheme="minorHAnsi"/>
        </w:rPr>
        <w:t xml:space="preserve"> produces complementary effects by redistributing the available</w:t>
      </w:r>
      <w:r w:rsidR="00394FBA" w:rsidRPr="00BF4711">
        <w:rPr>
          <w:rFonts w:eastAsiaTheme="minorHAnsi"/>
        </w:rPr>
        <w:t xml:space="preserve"> driving force and shifting the system between membrane-limited and dialysate-limited </w:t>
      </w:r>
      <w:r w:rsidR="0033725D" w:rsidRPr="00BF4711">
        <w:rPr>
          <w:rFonts w:eastAsiaTheme="minorHAnsi"/>
        </w:rPr>
        <w:t>re</w:t>
      </w:r>
      <w:r w:rsidR="00394FBA" w:rsidRPr="00BF4711">
        <w:rPr>
          <w:rFonts w:eastAsiaTheme="minorHAnsi"/>
        </w:rPr>
        <w:t>gimes</w:t>
      </w:r>
      <w:r w:rsidR="0033725D" w:rsidRPr="00BF4711">
        <w:rPr>
          <w:rFonts w:eastAsiaTheme="minorHAnsi"/>
        </w:rPr>
        <w:t>. Across all parameter ranges</w:t>
      </w:r>
      <w:r w:rsidR="00696904" w:rsidRPr="00BF4711">
        <w:rPr>
          <w:rFonts w:eastAsiaTheme="minorHAnsi"/>
        </w:rPr>
        <w:t xml:space="preserve">, counter-current flow maintains a higher effective gradient and therefore </w:t>
      </w:r>
      <w:r w:rsidR="005F40F3" w:rsidRPr="00BF4711">
        <w:rPr>
          <w:rFonts w:eastAsiaTheme="minorHAnsi"/>
        </w:rPr>
        <w:t>superior clearance.</w:t>
      </w:r>
    </w:p>
    <w:p w14:paraId="29DC837E" w14:textId="77777777" w:rsidR="005F40F3" w:rsidRPr="00BF4711" w:rsidRDefault="005F40F3" w:rsidP="0026028D">
      <w:pPr>
        <w:pStyle w:val="NormalWeb"/>
        <w:spacing w:before="0" w:beforeAutospacing="0" w:after="0" w:afterAutospacing="0"/>
        <w:contextualSpacing/>
        <w:jc w:val="both"/>
        <w:rPr>
          <w:rFonts w:eastAsiaTheme="minorHAnsi"/>
        </w:rPr>
      </w:pPr>
    </w:p>
    <w:p w14:paraId="130225D0" w14:textId="26D082BA" w:rsidR="005F40F3" w:rsidRPr="00BF4711" w:rsidRDefault="005F40F3" w:rsidP="0026028D">
      <w:pPr>
        <w:pStyle w:val="NormalWeb"/>
        <w:spacing w:before="0" w:beforeAutospacing="0" w:after="0" w:afterAutospacing="0"/>
        <w:contextualSpacing/>
        <w:jc w:val="both"/>
        <w:rPr>
          <w:rFonts w:eastAsiaTheme="minorHAnsi"/>
        </w:rPr>
      </w:pPr>
      <w:r w:rsidRPr="00BF4711">
        <w:rPr>
          <w:rFonts w:eastAsiaTheme="minorHAnsi"/>
        </w:rPr>
        <w:t>Overall, the model provides</w:t>
      </w:r>
      <w:r w:rsidR="00E1342C" w:rsidRPr="00BF4711">
        <w:rPr>
          <w:rFonts w:eastAsiaTheme="minorHAnsi"/>
        </w:rPr>
        <w:t xml:space="preserve"> a compact analytical framework that links axial transport phenomena to whole-body solute kinetics. It offers a transparent explanation for the </w:t>
      </w:r>
      <w:r w:rsidR="009F0957" w:rsidRPr="00BF4711">
        <w:rPr>
          <w:rFonts w:eastAsiaTheme="minorHAnsi"/>
        </w:rPr>
        <w:t>well-established counter-current dialyzer design</w:t>
      </w:r>
      <w:r w:rsidR="008F64DB" w:rsidRPr="00BF4711">
        <w:rPr>
          <w:rFonts w:eastAsiaTheme="minorHAnsi"/>
        </w:rPr>
        <w:t xml:space="preserve"> and clarifies</w:t>
      </w:r>
      <w:r w:rsidR="0093003E" w:rsidRPr="00BF4711">
        <w:rPr>
          <w:rFonts w:eastAsiaTheme="minorHAnsi"/>
        </w:rPr>
        <w:t xml:space="preserve"> how flow direction shapes axial concentration gradient and</w:t>
      </w:r>
      <w:r w:rsidR="003A6D4F" w:rsidRPr="00BF4711">
        <w:rPr>
          <w:rFonts w:eastAsiaTheme="minorHAnsi"/>
        </w:rPr>
        <w:t xml:space="preserve">, in turn, the </w:t>
      </w:r>
      <w:r w:rsidR="00F708C5" w:rsidRPr="00BF4711">
        <w:rPr>
          <w:rFonts w:eastAsiaTheme="minorHAnsi"/>
        </w:rPr>
        <w:t xml:space="preserve">resulting </w:t>
      </w:r>
      <w:r w:rsidR="003A6D4F" w:rsidRPr="00BF4711">
        <w:rPr>
          <w:rFonts w:eastAsiaTheme="minorHAnsi"/>
        </w:rPr>
        <w:t>solute-removal efficiency.</w:t>
      </w:r>
    </w:p>
    <w:p w14:paraId="424161A0" w14:textId="6A69D171" w:rsidR="007E578E" w:rsidRPr="00BF4711" w:rsidRDefault="00FB1C49" w:rsidP="0026028D">
      <w:pPr>
        <w:contextualSpacing/>
        <w:rPr>
          <w:rFonts w:eastAsiaTheme="minorHAnsi"/>
        </w:rPr>
      </w:pPr>
      <w:r w:rsidRPr="00BF4711">
        <w:rPr>
          <w:rFonts w:eastAsiaTheme="minorHAnsi"/>
        </w:rPr>
        <w:br w:type="page"/>
      </w:r>
    </w:p>
    <w:p w14:paraId="039AE814" w14:textId="43DB9B39" w:rsidR="007E578E" w:rsidRPr="00BF4711" w:rsidRDefault="006F4193" w:rsidP="0026028D">
      <w:pPr>
        <w:pStyle w:val="ListParagraph"/>
        <w:numPr>
          <w:ilvl w:val="0"/>
          <w:numId w:val="1"/>
        </w:numPr>
        <w:ind w:left="360"/>
        <w:rPr>
          <w:b/>
        </w:rPr>
      </w:pPr>
      <w:r w:rsidRPr="00BF4711">
        <w:rPr>
          <w:b/>
        </w:rPr>
        <w:lastRenderedPageBreak/>
        <w:t>References</w:t>
      </w:r>
    </w:p>
    <w:p w14:paraId="68C5FA24" w14:textId="44888259" w:rsidR="007E578E" w:rsidRPr="00BF4711" w:rsidRDefault="007E578E" w:rsidP="0026028D">
      <w:pPr>
        <w:pStyle w:val="NormalWeb"/>
        <w:spacing w:before="0" w:beforeAutospacing="0" w:after="0" w:afterAutospacing="0"/>
        <w:contextualSpacing/>
        <w:jc w:val="both"/>
        <w:rPr>
          <w:rFonts w:eastAsiaTheme="minorHAnsi"/>
        </w:rPr>
      </w:pPr>
    </w:p>
    <w:p w14:paraId="7EDB035C" w14:textId="6B3E4ED8" w:rsidR="00346D06" w:rsidRPr="00BF4711" w:rsidRDefault="00346D06" w:rsidP="0026028D">
      <w:pPr>
        <w:pStyle w:val="NormalWeb"/>
        <w:spacing w:before="0" w:beforeAutospacing="0" w:after="0" w:afterAutospacing="0"/>
        <w:contextualSpacing/>
        <w:jc w:val="both"/>
        <w:rPr>
          <w:rFonts w:eastAsiaTheme="minorEastAsia"/>
        </w:rPr>
      </w:pPr>
      <w:r w:rsidRPr="00BF4711">
        <w:t xml:space="preserve">[1] </w:t>
      </w:r>
      <w:r w:rsidR="004048D3" w:rsidRPr="00BF4711">
        <w:t>Michaelas</w:t>
      </w:r>
      <w:r w:rsidR="008B15E2" w:rsidRPr="00BF4711">
        <w:t>,</w:t>
      </w:r>
      <w:r w:rsidR="004048D3" w:rsidRPr="00BF4711">
        <w:t xml:space="preserve"> </w:t>
      </w:r>
      <w:r w:rsidRPr="00BF4711">
        <w:t xml:space="preserve">A. S. (1966). Operating Parameters and Performance Criteria for Hemodialyzers and Other Membrane-separation Devices. </w:t>
      </w:r>
      <w:r w:rsidRPr="00BF4711">
        <w:rPr>
          <w:i/>
          <w:iCs/>
        </w:rPr>
        <w:t>Trans. Am. Soc. Artif. Inter. Organs</w:t>
      </w:r>
      <w:r w:rsidRPr="00BF4711">
        <w:t xml:space="preserve">, </w:t>
      </w:r>
      <w:r w:rsidRPr="00BF4711">
        <w:rPr>
          <w:i/>
          <w:iCs/>
        </w:rPr>
        <w:t>12</w:t>
      </w:r>
      <w:r w:rsidRPr="00BF4711">
        <w:t>, 387</w:t>
      </w:r>
      <w:r w:rsidR="00C41704" w:rsidRPr="00BF4711">
        <w:t>–</w:t>
      </w:r>
      <w:r w:rsidRPr="00BF4711">
        <w:t>381.</w:t>
      </w:r>
    </w:p>
    <w:p w14:paraId="331CD90F" w14:textId="77777777" w:rsidR="00346D06" w:rsidRPr="00BF4711" w:rsidRDefault="00346D06" w:rsidP="0026028D">
      <w:pPr>
        <w:contextualSpacing/>
      </w:pPr>
    </w:p>
    <w:p w14:paraId="74BFD901" w14:textId="46B4FDD6" w:rsidR="0025422C" w:rsidRPr="00BF4711" w:rsidRDefault="0025422C" w:rsidP="0026028D">
      <w:pPr>
        <w:contextualSpacing/>
      </w:pPr>
      <w:r w:rsidRPr="00BF4711">
        <w:t>[2] Loney, N</w:t>
      </w:r>
      <w:r w:rsidR="0035545B" w:rsidRPr="00BF4711">
        <w:t xml:space="preserve">. </w:t>
      </w:r>
      <w:r w:rsidRPr="00BF4711">
        <w:t xml:space="preserve">W. </w:t>
      </w:r>
      <w:r w:rsidR="00C56918" w:rsidRPr="00BF4711">
        <w:t xml:space="preserve">(2009). </w:t>
      </w:r>
      <w:r w:rsidRPr="00BF4711">
        <w:t>Analysis on a Counter-Current Flow Hemodialyzer</w:t>
      </w:r>
      <w:r w:rsidR="00BB47C7" w:rsidRPr="00BF4711">
        <w:t>,</w:t>
      </w:r>
      <w:r w:rsidRPr="00BF4711">
        <w:t xml:space="preserve"> </w:t>
      </w:r>
      <w:r w:rsidRPr="00BF4711">
        <w:rPr>
          <w:i/>
          <w:iCs/>
        </w:rPr>
        <w:t>Chemical Product and Process Modeling</w:t>
      </w:r>
      <w:r w:rsidRPr="00BF4711">
        <w:t>, vol. 4, no. 5.</w:t>
      </w:r>
    </w:p>
    <w:p w14:paraId="7EF50348" w14:textId="77777777" w:rsidR="0025422C" w:rsidRPr="00BF4711" w:rsidRDefault="0025422C" w:rsidP="0026028D">
      <w:pPr>
        <w:contextualSpacing/>
      </w:pPr>
    </w:p>
    <w:p w14:paraId="188BCE2E" w14:textId="467F2834" w:rsidR="0025422C" w:rsidRPr="00BF4711" w:rsidRDefault="0025422C" w:rsidP="0026028D">
      <w:pPr>
        <w:contextualSpacing/>
      </w:pPr>
      <w:r w:rsidRPr="00BF4711">
        <w:t>[3]</w:t>
      </w:r>
      <w:r w:rsidR="007C27BE" w:rsidRPr="00BF4711">
        <w:t xml:space="preserve"> Gotch,</w:t>
      </w:r>
      <w:r w:rsidR="00E37E77" w:rsidRPr="00BF4711">
        <w:t xml:space="preserve"> F. A., </w:t>
      </w:r>
      <w:r w:rsidR="007C27BE" w:rsidRPr="00BF4711">
        <w:t>Sargent</w:t>
      </w:r>
      <w:r w:rsidR="00E37E77" w:rsidRPr="00BF4711">
        <w:t xml:space="preserve">, </w:t>
      </w:r>
      <w:r w:rsidR="005F4D67" w:rsidRPr="00BF4711">
        <w:t>J. A.</w:t>
      </w:r>
      <w:r w:rsidR="007C27BE" w:rsidRPr="00BF4711">
        <w:t xml:space="preserve"> </w:t>
      </w:r>
      <w:r w:rsidR="005F4D67" w:rsidRPr="00BF4711">
        <w:t xml:space="preserve">(1985). </w:t>
      </w:r>
      <w:r w:rsidR="007C27BE" w:rsidRPr="00BF4711">
        <w:t>A mechanistic analysis of the National Cooperative Dialysis Study (NCDS)</w:t>
      </w:r>
      <w:r w:rsidR="00CD1440" w:rsidRPr="00BF4711">
        <w:t>.</w:t>
      </w:r>
      <w:r w:rsidR="007C27BE" w:rsidRPr="00BF4711">
        <w:t xml:space="preserve"> </w:t>
      </w:r>
      <w:r w:rsidR="007C27BE" w:rsidRPr="00BF4711">
        <w:rPr>
          <w:i/>
          <w:iCs/>
        </w:rPr>
        <w:t>Kidney International</w:t>
      </w:r>
      <w:r w:rsidR="007C27BE" w:rsidRPr="00BF4711">
        <w:t>,</w:t>
      </w:r>
      <w:r w:rsidR="006B3771" w:rsidRPr="00BF4711">
        <w:t xml:space="preserve"> </w:t>
      </w:r>
      <w:r w:rsidR="007C27BE" w:rsidRPr="00BF4711">
        <w:t>28, 3,</w:t>
      </w:r>
      <w:r w:rsidR="00CD1440" w:rsidRPr="00BF4711">
        <w:t xml:space="preserve"> </w:t>
      </w:r>
      <w:r w:rsidR="007C27BE" w:rsidRPr="00BF4711">
        <w:t>526</w:t>
      </w:r>
      <w:r w:rsidR="00C41704" w:rsidRPr="00BF4711">
        <w:t>–</w:t>
      </w:r>
      <w:r w:rsidR="007C27BE" w:rsidRPr="00BF4711">
        <w:t>534,</w:t>
      </w:r>
      <w:r w:rsidR="00CF3A61" w:rsidRPr="00BF4711">
        <w:t xml:space="preserve"> </w:t>
      </w:r>
      <w:r w:rsidR="007C27BE" w:rsidRPr="00BF4711">
        <w:t>ISSN 0085-2538</w:t>
      </w:r>
      <w:r w:rsidR="00556D2A" w:rsidRPr="00BF4711">
        <w:t>.</w:t>
      </w:r>
      <w:r w:rsidR="00D3418A" w:rsidRPr="00BF4711">
        <w:t xml:space="preserve"> </w:t>
      </w:r>
    </w:p>
    <w:p w14:paraId="41E7BBD8" w14:textId="77777777" w:rsidR="00A14DFE" w:rsidRPr="00BF4711" w:rsidRDefault="00A14DFE" w:rsidP="0026028D">
      <w:pPr>
        <w:contextualSpacing/>
      </w:pPr>
    </w:p>
    <w:p w14:paraId="46717947" w14:textId="173630EE" w:rsidR="00E926EC" w:rsidRPr="00BF4711" w:rsidRDefault="00E926EC" w:rsidP="0026028D">
      <w:pPr>
        <w:contextualSpacing/>
      </w:pPr>
      <w:r w:rsidRPr="00BF4711">
        <w:t xml:space="preserve">[4] Chang, K. Y., Kim, S.-H., Kim, Y. O., Jin, D. C., Song, H. C., Choi, E. J., Kim, Y.-L., Kim, Y.-S., Kang, S.-W., Kim, N.-H., Yang, C. W., &amp; Kim, Y. K. (2016). The impact of blood flow rate during hemodialysis on all-cause mortality. </w:t>
      </w:r>
      <w:r w:rsidRPr="00BF4711">
        <w:rPr>
          <w:i/>
          <w:iCs/>
        </w:rPr>
        <w:t>The Korean Journal of Internal Medicine</w:t>
      </w:r>
      <w:r w:rsidRPr="00BF4711">
        <w:t xml:space="preserve">, </w:t>
      </w:r>
      <w:r w:rsidRPr="00BF4711">
        <w:rPr>
          <w:i/>
          <w:iCs/>
        </w:rPr>
        <w:t>31</w:t>
      </w:r>
      <w:r w:rsidRPr="00BF4711">
        <w:t xml:space="preserve">(6), 1131–1139. </w:t>
      </w:r>
    </w:p>
    <w:p w14:paraId="0BB11E09" w14:textId="77777777" w:rsidR="00A14DFE" w:rsidRPr="00BF4711" w:rsidRDefault="00A14DFE" w:rsidP="0026028D">
      <w:pPr>
        <w:contextualSpacing/>
      </w:pPr>
    </w:p>
    <w:p w14:paraId="6EE037E7" w14:textId="3ABDF3B2" w:rsidR="00A14DFE" w:rsidRPr="00BF4711" w:rsidRDefault="00A14DFE" w:rsidP="0026028D">
      <w:pPr>
        <w:contextualSpacing/>
      </w:pPr>
      <w:r w:rsidRPr="00BF4711">
        <w:t xml:space="preserve">[5] </w:t>
      </w:r>
      <w:r w:rsidR="00667439" w:rsidRPr="00BF4711">
        <w:t>Depner T</w:t>
      </w:r>
      <w:r w:rsidR="00C64D16" w:rsidRPr="00BF4711">
        <w:t xml:space="preserve">. </w:t>
      </w:r>
      <w:r w:rsidR="00667439" w:rsidRPr="00BF4711">
        <w:t>A</w:t>
      </w:r>
      <w:r w:rsidR="00355754" w:rsidRPr="00BF4711">
        <w:t>.</w:t>
      </w:r>
      <w:r w:rsidR="00667439" w:rsidRPr="00BF4711">
        <w:t>, Greene T</w:t>
      </w:r>
      <w:r w:rsidR="00355754" w:rsidRPr="00BF4711">
        <w:t>.</w:t>
      </w:r>
      <w:r w:rsidR="00667439" w:rsidRPr="00BF4711">
        <w:t>, Daugirdas J</w:t>
      </w:r>
      <w:r w:rsidR="00355754" w:rsidRPr="00BF4711">
        <w:t xml:space="preserve">. </w:t>
      </w:r>
      <w:r w:rsidR="00667439" w:rsidRPr="00BF4711">
        <w:t>T</w:t>
      </w:r>
      <w:r w:rsidR="00355754" w:rsidRPr="00BF4711">
        <w:t>.</w:t>
      </w:r>
      <w:r w:rsidR="00667439" w:rsidRPr="00BF4711">
        <w:t>, Cheung A</w:t>
      </w:r>
      <w:r w:rsidR="00355754" w:rsidRPr="00BF4711">
        <w:t xml:space="preserve">. </w:t>
      </w:r>
      <w:r w:rsidR="00667439" w:rsidRPr="00BF4711">
        <w:t>K</w:t>
      </w:r>
      <w:r w:rsidR="00355754" w:rsidRPr="00BF4711">
        <w:t>.</w:t>
      </w:r>
      <w:r w:rsidR="00667439" w:rsidRPr="00BF4711">
        <w:t>, Gotch F</w:t>
      </w:r>
      <w:r w:rsidR="00205815" w:rsidRPr="00BF4711">
        <w:t xml:space="preserve">. </w:t>
      </w:r>
      <w:r w:rsidR="00667439" w:rsidRPr="00BF4711">
        <w:t>A</w:t>
      </w:r>
      <w:r w:rsidR="00205815" w:rsidRPr="00BF4711">
        <w:t>.</w:t>
      </w:r>
      <w:r w:rsidR="00667439" w:rsidRPr="00BF4711">
        <w:t>, Leypoldt J</w:t>
      </w:r>
      <w:r w:rsidR="00205815" w:rsidRPr="00BF4711">
        <w:t xml:space="preserve">. </w:t>
      </w:r>
      <w:r w:rsidR="00667439" w:rsidRPr="00BF4711">
        <w:t xml:space="preserve">K. </w:t>
      </w:r>
      <w:r w:rsidR="008B3D7E" w:rsidRPr="00BF4711">
        <w:t xml:space="preserve">(2004). </w:t>
      </w:r>
      <w:r w:rsidR="00667439" w:rsidRPr="00BF4711">
        <w:t>Dialyzer Performance in the HEMO Study: In Vivo K</w:t>
      </w:r>
      <w:r w:rsidR="00667439" w:rsidRPr="00BF4711">
        <w:rPr>
          <w:vertAlign w:val="subscript"/>
        </w:rPr>
        <w:t>0</w:t>
      </w:r>
      <w:r w:rsidR="00667439" w:rsidRPr="00BF4711">
        <w:t xml:space="preserve">A and True Blood Flow Determined from a Model of Cross-Dialyzer Urea Extraction. </w:t>
      </w:r>
      <w:r w:rsidR="00667439" w:rsidRPr="00BF4711">
        <w:rPr>
          <w:i/>
          <w:iCs/>
        </w:rPr>
        <w:t>ASAIO J</w:t>
      </w:r>
      <w:r w:rsidR="00571097" w:rsidRPr="00BF4711">
        <w:rPr>
          <w:i/>
          <w:iCs/>
        </w:rPr>
        <w:t>ournal</w:t>
      </w:r>
      <w:r w:rsidR="00667439" w:rsidRPr="00BF4711">
        <w:t>, 50, 1, 85</w:t>
      </w:r>
      <w:r w:rsidR="00362CB6" w:rsidRPr="00BF4711">
        <w:t>–</w:t>
      </w:r>
      <w:r w:rsidR="00667439" w:rsidRPr="00BF4711">
        <w:t>93.</w:t>
      </w:r>
    </w:p>
    <w:p w14:paraId="58FAF81A" w14:textId="77777777" w:rsidR="00E56C1F" w:rsidRPr="00BF4711" w:rsidRDefault="00E56C1F" w:rsidP="0026028D">
      <w:pPr>
        <w:contextualSpacing/>
      </w:pPr>
    </w:p>
    <w:p w14:paraId="1511545B" w14:textId="77777777" w:rsidR="009E1019" w:rsidRPr="00BF4711" w:rsidRDefault="00E56C1F" w:rsidP="0026028D">
      <w:pPr>
        <w:contextualSpacing/>
      </w:pPr>
      <w:r w:rsidRPr="00BF4711">
        <w:t xml:space="preserve">[6] </w:t>
      </w:r>
      <w:r w:rsidR="00F857AE" w:rsidRPr="00BF4711">
        <w:t xml:space="preserve">Leypoldt, </w:t>
      </w:r>
      <w:r w:rsidR="00871C68" w:rsidRPr="00BF4711">
        <w:t xml:space="preserve">J. k., </w:t>
      </w:r>
      <w:r w:rsidR="00F857AE" w:rsidRPr="00BF4711">
        <w:t>Cheung,</w:t>
      </w:r>
      <w:r w:rsidR="00871C68" w:rsidRPr="00BF4711">
        <w:t xml:space="preserve"> A. K.,</w:t>
      </w:r>
      <w:r w:rsidR="00F857AE" w:rsidRPr="00BF4711">
        <w:t xml:space="preserve"> Agodoa,</w:t>
      </w:r>
      <w:r w:rsidR="00D82859" w:rsidRPr="00BF4711">
        <w:t xml:space="preserve"> L. Y., </w:t>
      </w:r>
      <w:r w:rsidR="00F857AE" w:rsidRPr="00BF4711">
        <w:t xml:space="preserve"> Daugirdas, </w:t>
      </w:r>
      <w:r w:rsidR="007D4459" w:rsidRPr="00BF4711">
        <w:t xml:space="preserve">J. T., </w:t>
      </w:r>
      <w:r w:rsidR="00F857AE" w:rsidRPr="00BF4711">
        <w:t>Greene,</w:t>
      </w:r>
      <w:r w:rsidR="00B42910" w:rsidRPr="00BF4711">
        <w:t xml:space="preserve"> T.,</w:t>
      </w:r>
      <w:r w:rsidR="00584E50" w:rsidRPr="00BF4711">
        <w:t xml:space="preserve"> </w:t>
      </w:r>
      <w:r w:rsidR="00F857AE" w:rsidRPr="00BF4711">
        <w:t>Keshav</w:t>
      </w:r>
      <w:r w:rsidR="001219E9" w:rsidRPr="00BF4711">
        <w:t>iah, P</w:t>
      </w:r>
      <w:r w:rsidR="00584E50" w:rsidRPr="00BF4711">
        <w:t>. R</w:t>
      </w:r>
      <w:r w:rsidR="00F857AE" w:rsidRPr="00BF4711">
        <w:t xml:space="preserve">. </w:t>
      </w:r>
      <w:r w:rsidR="00B07AF2" w:rsidRPr="00BF4711">
        <w:t xml:space="preserve">(1997). </w:t>
      </w:r>
      <w:r w:rsidR="00F857AE" w:rsidRPr="00BF4711">
        <w:t xml:space="preserve">Hemodialyzer mass transfer-area coefficients for urea increase at high dialysate flow rates. </w:t>
      </w:r>
      <w:r w:rsidR="00F857AE" w:rsidRPr="00BF4711">
        <w:rPr>
          <w:i/>
          <w:iCs/>
        </w:rPr>
        <w:t>Kidney</w:t>
      </w:r>
      <w:r w:rsidR="007E6E2F" w:rsidRPr="00BF4711">
        <w:rPr>
          <w:i/>
          <w:iCs/>
        </w:rPr>
        <w:t xml:space="preserve"> </w:t>
      </w:r>
      <w:r w:rsidR="00F857AE" w:rsidRPr="00BF4711">
        <w:rPr>
          <w:i/>
          <w:iCs/>
        </w:rPr>
        <w:t>International</w:t>
      </w:r>
      <w:r w:rsidR="00F857AE" w:rsidRPr="00BF4711">
        <w:t>, 51,</w:t>
      </w:r>
      <w:r w:rsidR="007E6E2F" w:rsidRPr="00BF4711">
        <w:t xml:space="preserve"> </w:t>
      </w:r>
      <w:r w:rsidR="00F857AE" w:rsidRPr="00BF4711">
        <w:t>2013</w:t>
      </w:r>
      <w:r w:rsidR="007E6E2F" w:rsidRPr="00BF4711">
        <w:t>–</w:t>
      </w:r>
      <w:r w:rsidR="00F857AE" w:rsidRPr="00BF4711">
        <w:t>2017</w:t>
      </w:r>
      <w:r w:rsidR="00C7325B" w:rsidRPr="00BF4711">
        <w:t>.</w:t>
      </w:r>
    </w:p>
    <w:p w14:paraId="61E3FF99" w14:textId="77777777" w:rsidR="009E1019" w:rsidRPr="00BF4711" w:rsidRDefault="009E1019" w:rsidP="0026028D">
      <w:pPr>
        <w:contextualSpacing/>
      </w:pPr>
    </w:p>
    <w:p w14:paraId="08A25D7E" w14:textId="344FE494" w:rsidR="00DE1731" w:rsidRPr="00BF4711" w:rsidRDefault="00865370" w:rsidP="0026028D">
      <w:pPr>
        <w:contextualSpacing/>
      </w:pPr>
      <w:r w:rsidRPr="00BF4711">
        <w:t>[7] Sargent, J.A., Gotch, F.A. (19</w:t>
      </w:r>
      <w:r w:rsidR="004B279D" w:rsidRPr="00BF4711">
        <w:t>83</w:t>
      </w:r>
      <w:r w:rsidRPr="00BF4711">
        <w:t xml:space="preserve">). Principles and Biophysics of Dialysis. In: Drukker, W., Parsons, F.M., Maher, J.F. (eds) </w:t>
      </w:r>
      <w:r w:rsidRPr="00BF4711">
        <w:rPr>
          <w:i/>
          <w:iCs/>
        </w:rPr>
        <w:t>Replacement of Renal Function by Dialysis</w:t>
      </w:r>
      <w:r w:rsidRPr="00BF4711">
        <w:t>. Springer, Dordrecht.</w:t>
      </w:r>
    </w:p>
    <w:p w14:paraId="1D8505DD" w14:textId="77777777" w:rsidR="00532C64" w:rsidRPr="00BF4711" w:rsidRDefault="00532C64" w:rsidP="0026028D">
      <w:pPr>
        <w:contextualSpacing/>
      </w:pPr>
    </w:p>
    <w:p w14:paraId="1CB05E64" w14:textId="77777777" w:rsidR="00552EC2" w:rsidRPr="00BF4711" w:rsidRDefault="00935F6C" w:rsidP="0026028D">
      <w:pPr>
        <w:contextualSpacing/>
      </w:pPr>
      <w:r w:rsidRPr="00BF4711">
        <w:t>[</w:t>
      </w:r>
      <w:r w:rsidR="00110980" w:rsidRPr="00BF4711">
        <w:t>8</w:t>
      </w:r>
      <w:r w:rsidRPr="00BF4711">
        <w:t xml:space="preserve">] </w:t>
      </w:r>
      <w:r w:rsidR="00110980" w:rsidRPr="00BF4711">
        <w:t xml:space="preserve">Eloot, S. </w:t>
      </w:r>
      <w:r w:rsidR="006B2746" w:rsidRPr="00BF4711">
        <w:t>(2005). Experimental and Numerical Modeling of Dialysis</w:t>
      </w:r>
      <w:r w:rsidR="00AF38AF" w:rsidRPr="00BF4711">
        <w:t xml:space="preserve">. </w:t>
      </w:r>
      <w:r w:rsidR="00AF38AF" w:rsidRPr="009C3F56">
        <w:rPr>
          <w:i/>
          <w:iCs/>
        </w:rPr>
        <w:t>PhD Thesis</w:t>
      </w:r>
      <w:r w:rsidR="00552EC2" w:rsidRPr="00BF4711">
        <w:t>. Ghent University</w:t>
      </w:r>
    </w:p>
    <w:p w14:paraId="6816008F" w14:textId="5BF2616E" w:rsidR="00532C64" w:rsidRPr="00BF4711" w:rsidRDefault="00552EC2" w:rsidP="0026028D">
      <w:pPr>
        <w:contextualSpacing/>
      </w:pPr>
      <w:r w:rsidRPr="00BF4711">
        <w:t>Faculty of Engineering, Civil Engineering Department</w:t>
      </w:r>
      <w:r w:rsidR="007F4395" w:rsidRPr="00BF4711">
        <w:t xml:space="preserve">, </w:t>
      </w:r>
      <w:r w:rsidRPr="00BF4711">
        <w:t>Hydraulics Laboratory</w:t>
      </w:r>
      <w:r w:rsidR="007F4395" w:rsidRPr="00BF4711">
        <w:t>.</w:t>
      </w:r>
    </w:p>
    <w:p w14:paraId="56316971" w14:textId="77777777" w:rsidR="00935F6C" w:rsidRDefault="00935F6C" w:rsidP="0026028D">
      <w:pPr>
        <w:contextualSpacing/>
      </w:pPr>
    </w:p>
    <w:p w14:paraId="4F9D2D07" w14:textId="77777777" w:rsidR="00036F1B" w:rsidRPr="00BF4711" w:rsidRDefault="00036F1B" w:rsidP="0026028D">
      <w:pPr>
        <w:contextualSpacing/>
      </w:pPr>
    </w:p>
    <w:p w14:paraId="2F204C96" w14:textId="04BEEA93" w:rsidR="00532C64" w:rsidRPr="00BF4711" w:rsidRDefault="00532C64" w:rsidP="0026028D">
      <w:pPr>
        <w:pStyle w:val="ListParagraph"/>
        <w:numPr>
          <w:ilvl w:val="0"/>
          <w:numId w:val="1"/>
        </w:numPr>
        <w:ind w:left="360"/>
        <w:rPr>
          <w:b/>
        </w:rPr>
      </w:pPr>
      <w:r w:rsidRPr="00BF4711">
        <w:rPr>
          <w:b/>
        </w:rPr>
        <w:t>Appendices</w:t>
      </w:r>
    </w:p>
    <w:p w14:paraId="44CA511E" w14:textId="77777777" w:rsidR="004E4D3F" w:rsidRPr="00BF4711" w:rsidRDefault="004E4D3F" w:rsidP="0026028D">
      <w:pPr>
        <w:contextualSpacing/>
      </w:pPr>
    </w:p>
    <w:p w14:paraId="4E28408C" w14:textId="662F6F36" w:rsidR="00346D06" w:rsidRPr="00BF4711" w:rsidRDefault="007E0E5B" w:rsidP="0026028D">
      <w:pPr>
        <w:contextualSpacing/>
      </w:pPr>
      <w:r w:rsidRPr="00BF4711">
        <w:rPr>
          <w:b/>
        </w:rPr>
        <w:t>Ap</w:t>
      </w:r>
      <w:r w:rsidR="00545F74" w:rsidRPr="00BF4711">
        <w:rPr>
          <w:b/>
        </w:rPr>
        <w:t>pendix A</w:t>
      </w:r>
      <w:r w:rsidR="002F1BB3" w:rsidRPr="00BF4711">
        <w:rPr>
          <w:b/>
        </w:rPr>
        <w:t>:</w:t>
      </w:r>
      <w:r w:rsidR="00545F74" w:rsidRPr="00BF4711">
        <w:rPr>
          <w:b/>
        </w:rPr>
        <w:t xml:space="preserve"> Derivation of the initial condition of counter-current configuration</w:t>
      </w:r>
    </w:p>
    <w:p w14:paraId="7941167E" w14:textId="77777777" w:rsidR="00545F74" w:rsidRPr="00BF4711" w:rsidRDefault="00545F74" w:rsidP="0026028D">
      <w:pPr>
        <w:contextualSpacing/>
      </w:pPr>
    </w:p>
    <w:p w14:paraId="5108E598" w14:textId="536B6FC6" w:rsidR="00545F74" w:rsidRPr="00BF4711" w:rsidRDefault="00545F74" w:rsidP="0026028D">
      <w:pPr>
        <w:contextualSpacing/>
      </w:pPr>
      <w:r w:rsidRPr="00BF4711">
        <w:t>Start with equation</w:t>
      </w:r>
      <w:r w:rsidR="00915F5E" w:rsidRPr="00BF4711">
        <w:t>s</w:t>
      </w:r>
      <w:r w:rsidRPr="00BF4711">
        <w:t xml:space="preserve"> (4)</w:t>
      </w:r>
      <w:r w:rsidR="00DF3CA1" w:rsidRPr="00BF4711">
        <w:t xml:space="preserve">, </w:t>
      </w:r>
      <w:r w:rsidRPr="00BF4711">
        <w:t>(6)</w:t>
      </w:r>
    </w:p>
    <w:p w14:paraId="5D5CE1F1" w14:textId="77777777" w:rsidR="00545F74" w:rsidRPr="00BF4711" w:rsidRDefault="00000000" w:rsidP="0026028D">
      <w:pPr>
        <w:contextualSpacing/>
      </w:pPr>
      <m:oMathPara>
        <m:oMath>
          <m:f>
            <m:fPr>
              <m:ctrlPr>
                <w:rPr>
                  <w:rFonts w:ascii="Cambria Math" w:hAnsi="Cambria Math"/>
                  <w:i/>
                </w:rPr>
              </m:ctrlPr>
            </m:fPr>
            <m:num>
              <m:sSub>
                <m:sSubPr>
                  <m:ctrlPr>
                    <w:rPr>
                      <w:rFonts w:ascii="Cambria Math" w:hAnsi="Cambria Math"/>
                      <w:i/>
                    </w:rPr>
                  </m:ctrlPr>
                </m:sSubPr>
                <m:e>
                  <m:r>
                    <w:rPr>
                      <w:rFonts w:ascii="Cambria Math" w:hAnsi="Cambria Math"/>
                    </w:rPr>
                    <m:t>dC</m:t>
                  </m:r>
                </m:e>
                <m:sub>
                  <m:r>
                    <w:rPr>
                      <w:rFonts w:ascii="Cambria Math" w:hAnsi="Cambria Math"/>
                    </w:rPr>
                    <m:t>d</m:t>
                  </m:r>
                </m:sub>
              </m:sSub>
            </m:num>
            <m:den>
              <m:r>
                <w:rPr>
                  <w:rFonts w:ascii="Cambria Math" w:hAnsi="Cambria Math"/>
                </w:rPr>
                <m:t>dx</m:t>
              </m:r>
            </m:den>
          </m:f>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m:t>
              </m:r>
              <m:d>
                <m:dPr>
                  <m:ctrlPr>
                    <w:rPr>
                      <w:rFonts w:ascii="Cambria Math" w:hAnsi="Cambria Math"/>
                      <w:i/>
                    </w:rPr>
                  </m:ctrlPr>
                </m:dPr>
                <m:e>
                  <m:sSub>
                    <m:sSubPr>
                      <m:ctrlPr>
                        <w:rPr>
                          <w:rFonts w:ascii="Cambria Math" w:eastAsiaTheme="minorHAnsi" w:hAnsi="Cambria Math"/>
                          <w:i/>
                        </w:rPr>
                      </m:ctrlPr>
                    </m:sSubPr>
                    <m:e>
                      <m:r>
                        <w:rPr>
                          <w:rFonts w:ascii="Cambria Math" w:hAnsi="Cambria Math"/>
                        </w:rPr>
                        <m:t>C</m:t>
                      </m:r>
                    </m:e>
                    <m:sub>
                      <m:r>
                        <w:rPr>
                          <w:rFonts w:ascii="Cambria Math" w:hAnsi="Cambria Math"/>
                        </w:rPr>
                        <m:t>b</m:t>
                      </m:r>
                    </m:sub>
                  </m:sSub>
                  <m:r>
                    <w:rPr>
                      <w:rFonts w:ascii="Cambria Math" w:hAnsi="Cambria Math"/>
                    </w:rPr>
                    <m:t xml:space="preserve"> - </m:t>
                  </m:r>
                  <m:sSub>
                    <m:sSubPr>
                      <m:ctrlPr>
                        <w:rPr>
                          <w:rFonts w:ascii="Cambria Math" w:eastAsiaTheme="minorHAnsi" w:hAnsi="Cambria Math"/>
                          <w:i/>
                        </w:rPr>
                      </m:ctrlPr>
                    </m:sSubPr>
                    <m:e>
                      <m:r>
                        <w:rPr>
                          <w:rFonts w:ascii="Cambria Math" w:hAnsi="Cambria Math"/>
                        </w:rPr>
                        <m:t>C</m:t>
                      </m:r>
                    </m:e>
                    <m:sub>
                      <m:r>
                        <w:rPr>
                          <w:rFonts w:ascii="Cambria Math" w:hAnsi="Cambria Math"/>
                        </w:rPr>
                        <m:t>d</m:t>
                      </m:r>
                    </m:sub>
                  </m:sSub>
                </m:e>
              </m:d>
            </m:num>
            <m:den>
              <m:sSub>
                <m:sSubPr>
                  <m:ctrlPr>
                    <w:rPr>
                      <w:rFonts w:ascii="Cambria Math" w:hAnsi="Cambria Math"/>
                      <w:i/>
                    </w:rPr>
                  </m:ctrlPr>
                </m:sSubPr>
                <m:e>
                  <m:r>
                    <w:rPr>
                      <w:rFonts w:ascii="Cambria Math" w:hAnsi="Cambria Math"/>
                    </w:rPr>
                    <m:t>Q</m:t>
                  </m:r>
                </m:e>
                <m:sub>
                  <m:r>
                    <w:rPr>
                      <w:rFonts w:ascii="Cambria Math" w:hAnsi="Cambria Math"/>
                    </w:rPr>
                    <m:t>d</m:t>
                  </m:r>
                </m:sub>
              </m:sSub>
            </m:den>
          </m:f>
        </m:oMath>
      </m:oMathPara>
    </w:p>
    <w:p w14:paraId="5F6675D1" w14:textId="36EC1468" w:rsidR="00545F74" w:rsidRPr="00BF4711" w:rsidRDefault="00545F74" w:rsidP="0026028D">
      <w:pPr>
        <w:contextualSpacing/>
      </w:pPr>
    </w:p>
    <w:p w14:paraId="78C2C124" w14:textId="77777777" w:rsidR="00545F74" w:rsidRPr="00BF4711" w:rsidRDefault="00545F74" w:rsidP="0026028D">
      <w:pPr>
        <w:contextualSpacing/>
      </w:pPr>
      <w:r w:rsidRPr="00BF4711">
        <w:tab/>
      </w:r>
      <w:r w:rsidRPr="00BF4711">
        <w:tab/>
      </w:r>
      <w:r w:rsidRPr="00BF4711">
        <w:tab/>
      </w:r>
      <w:r w:rsidRPr="00BF4711">
        <w:tab/>
      </w:r>
      <w:r w:rsidRPr="00BF4711">
        <w:tab/>
      </w:r>
      <m:oMath>
        <m:r>
          <w:rPr>
            <w:rFonts w:ascii="Cambria Math" w:hAnsi="Cambria Math"/>
          </w:rPr>
          <m:t>∆</m:t>
        </m:r>
        <m:d>
          <m:dPr>
            <m:ctrlPr>
              <w:rPr>
                <w:rFonts w:ascii="Cambria Math" w:hAnsi="Cambria Math"/>
                <w:i/>
              </w:rPr>
            </m:ctrlPr>
          </m:dPr>
          <m:e>
            <m:r>
              <w:rPr>
                <w:rFonts w:ascii="Cambria Math" w:hAnsi="Cambria Math"/>
              </w:rPr>
              <m:t>x</m:t>
            </m:r>
          </m:e>
        </m:d>
        <m:r>
          <w:rPr>
            <w:rFonts w:ascii="Cambria Math" w:hAnsi="Cambria Math"/>
          </w:rPr>
          <m:t>= ∆(0)</m:t>
        </m:r>
        <m:sSup>
          <m:sSupPr>
            <m:ctrlPr>
              <w:rPr>
                <w:rFonts w:ascii="Cambria Math" w:hAnsi="Cambria Math"/>
                <w:i/>
              </w:rPr>
            </m:ctrlPr>
          </m:sSupPr>
          <m:e>
            <m:r>
              <w:rPr>
                <w:rFonts w:ascii="Cambria Math" w:hAnsi="Cambria Math"/>
              </w:rPr>
              <m:t>e</m:t>
            </m:r>
          </m:e>
          <m:sup>
            <m:r>
              <w:rPr>
                <w:rFonts w:ascii="Cambria Math" w:hAnsi="Cambria Math"/>
              </w:rPr>
              <m:t>-γx</m:t>
            </m:r>
          </m:sup>
        </m:sSup>
      </m:oMath>
    </w:p>
    <w:p w14:paraId="47407502" w14:textId="77777777" w:rsidR="00545F74" w:rsidRPr="00BF4711" w:rsidRDefault="00545F74" w:rsidP="0026028D">
      <w:pPr>
        <w:contextualSpacing/>
      </w:pPr>
    </w:p>
    <w:p w14:paraId="0ED5AB9D" w14:textId="77777777" w:rsidR="00545F74" w:rsidRPr="00BF4711" w:rsidRDefault="00545F74" w:rsidP="0026028D">
      <w:pPr>
        <w:contextualSpacing/>
      </w:pPr>
      <w:r w:rsidRPr="00BF4711">
        <w:t xml:space="preserve">Substituting </w:t>
      </w:r>
      <m:oMath>
        <m:r>
          <w:rPr>
            <w:rFonts w:ascii="Cambria Math" w:hAnsi="Cambria Math"/>
          </w:rPr>
          <m:t>∆</m:t>
        </m:r>
        <m:d>
          <m:dPr>
            <m:ctrlPr>
              <w:rPr>
                <w:rFonts w:ascii="Cambria Math" w:hAnsi="Cambria Math"/>
                <w:i/>
              </w:rPr>
            </m:ctrlPr>
          </m:dPr>
          <m:e>
            <m:r>
              <w:rPr>
                <w:rFonts w:ascii="Cambria Math" w:hAnsi="Cambria Math"/>
              </w:rPr>
              <m:t>x</m:t>
            </m:r>
          </m:e>
        </m:d>
      </m:oMath>
      <w:r w:rsidRPr="00BF4711">
        <w:t xml:space="preserve">,  for </w:t>
      </w:r>
      <m:oMath>
        <m:sSub>
          <m:sSubPr>
            <m:ctrlPr>
              <w:rPr>
                <w:rFonts w:ascii="Cambria Math" w:eastAsiaTheme="minorHAnsi" w:hAnsi="Cambria Math"/>
                <w:i/>
              </w:rPr>
            </m:ctrlPr>
          </m:sSubPr>
          <m:e>
            <m:r>
              <w:rPr>
                <w:rFonts w:ascii="Cambria Math" w:hAnsi="Cambria Math"/>
              </w:rPr>
              <m:t>C</m:t>
            </m:r>
          </m:e>
          <m:sub>
            <m:r>
              <w:rPr>
                <w:rFonts w:ascii="Cambria Math" w:hAnsi="Cambria Math"/>
              </w:rPr>
              <m:t>b</m:t>
            </m:r>
          </m:sub>
        </m:sSub>
        <m:r>
          <w:rPr>
            <w:rFonts w:ascii="Cambria Math" w:hAnsi="Cambria Math"/>
          </w:rPr>
          <m:t xml:space="preserve"> - </m:t>
        </m:r>
        <m:sSub>
          <m:sSubPr>
            <m:ctrlPr>
              <w:rPr>
                <w:rFonts w:ascii="Cambria Math" w:eastAsiaTheme="minorHAnsi" w:hAnsi="Cambria Math"/>
                <w:i/>
              </w:rPr>
            </m:ctrlPr>
          </m:sSubPr>
          <m:e>
            <m:r>
              <w:rPr>
                <w:rFonts w:ascii="Cambria Math" w:hAnsi="Cambria Math"/>
              </w:rPr>
              <m:t>C</m:t>
            </m:r>
          </m:e>
          <m:sub>
            <m:r>
              <w:rPr>
                <w:rFonts w:ascii="Cambria Math" w:hAnsi="Cambria Math"/>
              </w:rPr>
              <m:t>d</m:t>
            </m:r>
          </m:sub>
        </m:sSub>
      </m:oMath>
      <w:r w:rsidRPr="00BF4711">
        <w:t>, we have a separable differential equation.</w:t>
      </w:r>
    </w:p>
    <w:p w14:paraId="631B402E" w14:textId="6F3D0CC2" w:rsidR="00545F74" w:rsidRPr="00BF4711" w:rsidRDefault="00545F74" w:rsidP="0026028D">
      <w:pPr>
        <w:contextualSpacing/>
      </w:pPr>
    </w:p>
    <w:p w14:paraId="277A0EA9" w14:textId="470FC581" w:rsidR="00545F74" w:rsidRPr="00BF4711" w:rsidRDefault="00000000" w:rsidP="0026028D">
      <w:pPr>
        <w:contextualSpacing/>
        <w:jc w:val="center"/>
      </w:pPr>
      <m:oMath>
        <m:f>
          <m:fPr>
            <m:ctrlPr>
              <w:rPr>
                <w:rFonts w:ascii="Cambria Math" w:hAnsi="Cambria Math"/>
                <w:i/>
              </w:rPr>
            </m:ctrlPr>
          </m:fPr>
          <m:num>
            <m:sSub>
              <m:sSubPr>
                <m:ctrlPr>
                  <w:rPr>
                    <w:rFonts w:ascii="Cambria Math" w:hAnsi="Cambria Math"/>
                    <w:i/>
                  </w:rPr>
                </m:ctrlPr>
              </m:sSubPr>
              <m:e>
                <m:r>
                  <w:rPr>
                    <w:rFonts w:ascii="Cambria Math" w:hAnsi="Cambria Math"/>
                  </w:rPr>
                  <m:t>dC</m:t>
                </m:r>
              </m:e>
              <m:sub>
                <m:r>
                  <w:rPr>
                    <w:rFonts w:ascii="Cambria Math" w:hAnsi="Cambria Math"/>
                  </w:rPr>
                  <m:t>d</m:t>
                </m:r>
              </m:sub>
            </m:sSub>
          </m:num>
          <m:den>
            <m:r>
              <w:rPr>
                <w:rFonts w:ascii="Cambria Math" w:hAnsi="Cambria Math"/>
              </w:rPr>
              <m:t>dx</m:t>
            </m:r>
          </m:den>
        </m:f>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sSup>
              <m:sSupPr>
                <m:ctrlPr>
                  <w:rPr>
                    <w:rFonts w:ascii="Cambria Math" w:hAnsi="Cambria Math"/>
                    <w:i/>
                  </w:rPr>
                </m:ctrlPr>
              </m:sSupPr>
              <m:e>
                <m:r>
                  <w:rPr>
                    <w:rFonts w:ascii="Cambria Math" w:hAnsi="Cambria Math"/>
                  </w:rPr>
                  <m:t>e</m:t>
                </m:r>
              </m:e>
              <m:sup>
                <m:r>
                  <w:rPr>
                    <w:rFonts w:ascii="Cambria Math" w:hAnsi="Cambria Math"/>
                  </w:rPr>
                  <m:t>-γx</m:t>
                </m:r>
              </m:sup>
            </m:sSup>
          </m:num>
          <m:den>
            <m:sSub>
              <m:sSubPr>
                <m:ctrlPr>
                  <w:rPr>
                    <w:rFonts w:ascii="Cambria Math" w:hAnsi="Cambria Math"/>
                    <w:i/>
                  </w:rPr>
                </m:ctrlPr>
              </m:sSubPr>
              <m:e>
                <m:r>
                  <w:rPr>
                    <w:rFonts w:ascii="Cambria Math" w:hAnsi="Cambria Math"/>
                  </w:rPr>
                  <m:t>Q</m:t>
                </m:r>
              </m:e>
              <m:sub>
                <m:r>
                  <w:rPr>
                    <w:rFonts w:ascii="Cambria Math" w:hAnsi="Cambria Math"/>
                  </w:rPr>
                  <m:t>d</m:t>
                </m:r>
              </m:sub>
            </m:sSub>
          </m:den>
        </m:f>
      </m:oMath>
      <w:r w:rsidR="0024051E" w:rsidRPr="00BF4711">
        <w:t xml:space="preserve">                                                                           (1</w:t>
      </w:r>
      <w:r w:rsidR="00F5527B" w:rsidRPr="00BF4711">
        <w:t>3</w:t>
      </w:r>
      <w:r w:rsidR="0024051E" w:rsidRPr="00BF4711">
        <w:t>)</w:t>
      </w:r>
    </w:p>
    <w:p w14:paraId="0E9F2D09" w14:textId="77777777" w:rsidR="00545F74" w:rsidRPr="00BF4711" w:rsidRDefault="00545F74" w:rsidP="0026028D">
      <w:pPr>
        <w:contextualSpacing/>
      </w:pPr>
    </w:p>
    <w:p w14:paraId="189AF26A" w14:textId="77777777" w:rsidR="00545F74" w:rsidRPr="00BF4711" w:rsidRDefault="00545F74" w:rsidP="0026028D">
      <w:pPr>
        <w:contextualSpacing/>
      </w:pPr>
      <w:r w:rsidRPr="00BF4711">
        <w:t>Rearranging the like terms and integrating both sides,</w:t>
      </w:r>
    </w:p>
    <w:p w14:paraId="0B527F9D" w14:textId="77777777" w:rsidR="00545F74" w:rsidRPr="00BF4711" w:rsidRDefault="00545F74" w:rsidP="0026028D">
      <w:pPr>
        <w:contextualSpacing/>
      </w:pPr>
    </w:p>
    <w:p w14:paraId="76F658DD" w14:textId="24F94EFE" w:rsidR="00545F74" w:rsidRPr="00BF4711" w:rsidRDefault="00545F74" w:rsidP="0026028D">
      <w:pPr>
        <w:contextualSpacing/>
      </w:pPr>
      <w:r w:rsidRPr="00BF4711">
        <w:lastRenderedPageBreak/>
        <w:tab/>
      </w:r>
      <w:r w:rsidRPr="00BF4711">
        <w:tab/>
      </w:r>
      <w:r w:rsidRPr="00BF4711">
        <w:tab/>
      </w:r>
      <w:r w:rsidRPr="00BF4711">
        <w:tab/>
      </w:r>
      <m:oMath>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c</m:t>
                </m:r>
              </m:e>
              <m:sub>
                <m:r>
                  <w:rPr>
                    <w:rFonts w:ascii="Cambria Math" w:hAnsi="Cambria Math"/>
                  </w:rPr>
                  <m:t>d0</m:t>
                </m:r>
              </m:sub>
            </m:sSub>
          </m:sub>
          <m:sup>
            <m:sSub>
              <m:sSubPr>
                <m:ctrlPr>
                  <w:rPr>
                    <w:rFonts w:ascii="Cambria Math" w:hAnsi="Cambria Math"/>
                    <w:i/>
                  </w:rPr>
                </m:ctrlPr>
              </m:sSubPr>
              <m:e>
                <m:r>
                  <w:rPr>
                    <w:rFonts w:ascii="Cambria Math" w:hAnsi="Cambria Math"/>
                  </w:rPr>
                  <m:t>c</m:t>
                </m:r>
              </m:e>
              <m:sub>
                <m:r>
                  <w:rPr>
                    <w:rFonts w:ascii="Cambria Math" w:hAnsi="Cambria Math"/>
                  </w:rPr>
                  <m:t>di</m:t>
                </m:r>
              </m:sub>
            </m:sSub>
          </m:sup>
          <m:e>
            <m:sSub>
              <m:sSubPr>
                <m:ctrlPr>
                  <w:rPr>
                    <w:rFonts w:ascii="Cambria Math" w:hAnsi="Cambria Math"/>
                    <w:i/>
                  </w:rPr>
                </m:ctrlPr>
              </m:sSubPr>
              <m:e>
                <m:r>
                  <w:rPr>
                    <w:rFonts w:ascii="Cambria Math" w:hAnsi="Cambria Math"/>
                  </w:rPr>
                  <m:t>dc</m:t>
                </m:r>
              </m:e>
              <m:sub>
                <m:r>
                  <w:rPr>
                    <w:rFonts w:ascii="Cambria Math" w:hAnsi="Cambria Math"/>
                  </w:rPr>
                  <m:t>d</m:t>
                </m:r>
              </m:sub>
            </m:sSub>
          </m:e>
        </m:nary>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l</m:t>
            </m:r>
          </m:sup>
          <m:e>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sSup>
                  <m:sSupPr>
                    <m:ctrlPr>
                      <w:rPr>
                        <w:rFonts w:ascii="Cambria Math" w:hAnsi="Cambria Math"/>
                        <w:i/>
                      </w:rPr>
                    </m:ctrlPr>
                  </m:sSupPr>
                  <m:e>
                    <m:r>
                      <w:rPr>
                        <w:rFonts w:ascii="Cambria Math" w:hAnsi="Cambria Math"/>
                      </w:rPr>
                      <m:t>e</m:t>
                    </m:r>
                  </m:e>
                  <m:sup>
                    <m:r>
                      <w:rPr>
                        <w:rFonts w:ascii="Cambria Math" w:hAnsi="Cambria Math"/>
                      </w:rPr>
                      <m:t>-γx</m:t>
                    </m:r>
                  </m:sup>
                </m:sSup>
              </m:num>
              <m:den>
                <m:sSub>
                  <m:sSubPr>
                    <m:ctrlPr>
                      <w:rPr>
                        <w:rFonts w:ascii="Cambria Math" w:hAnsi="Cambria Math"/>
                        <w:i/>
                      </w:rPr>
                    </m:ctrlPr>
                  </m:sSubPr>
                  <m:e>
                    <m:r>
                      <w:rPr>
                        <w:rFonts w:ascii="Cambria Math" w:hAnsi="Cambria Math"/>
                      </w:rPr>
                      <m:t>Q</m:t>
                    </m:r>
                  </m:e>
                  <m:sub>
                    <m:r>
                      <w:rPr>
                        <w:rFonts w:ascii="Cambria Math" w:hAnsi="Cambria Math"/>
                      </w:rPr>
                      <m:t>d</m:t>
                    </m:r>
                  </m:sub>
                </m:sSub>
              </m:den>
            </m:f>
          </m:e>
        </m:nary>
        <m:r>
          <w:rPr>
            <w:rFonts w:ascii="Cambria Math" w:hAnsi="Cambria Math"/>
          </w:rPr>
          <m:t>dx</m:t>
        </m:r>
      </m:oMath>
    </w:p>
    <w:p w14:paraId="5D236896" w14:textId="00421424" w:rsidR="00DF3CA1" w:rsidRPr="00BF4711" w:rsidRDefault="00DF3CA1" w:rsidP="0026028D">
      <w:pPr>
        <w:contextualSpacing/>
      </w:pPr>
    </w:p>
    <w:p w14:paraId="32702D7E" w14:textId="0B58225F" w:rsidR="00DF3CA1" w:rsidRPr="00BF4711" w:rsidRDefault="00000000"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do</m:t>
            </m:r>
          </m:sub>
        </m:sSub>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r>
              <w:rPr>
                <w:rFonts w:ascii="Cambria Math" w:hAnsi="Cambria Math"/>
              </w:rPr>
              <m:t>)</m:t>
            </m:r>
          </m:num>
          <m:den>
            <m:r>
              <w:rPr>
                <w:rFonts w:ascii="Cambria Math" w:hAnsi="Cambria Math"/>
              </w:rPr>
              <m:t>γ</m:t>
            </m:r>
          </m:den>
        </m:f>
      </m:oMath>
      <w:r w:rsidR="0024051E" w:rsidRPr="00BF4711">
        <w:t xml:space="preserve">                                                       (1</w:t>
      </w:r>
      <w:r w:rsidR="00F5527B" w:rsidRPr="00BF4711">
        <w:t>4</w:t>
      </w:r>
      <w:r w:rsidR="0024051E" w:rsidRPr="00BF4711">
        <w:t>)</w:t>
      </w:r>
    </w:p>
    <w:p w14:paraId="6107AA07" w14:textId="77777777" w:rsidR="00DF3CA1" w:rsidRPr="00BF4711" w:rsidRDefault="00DF3CA1" w:rsidP="0026028D">
      <w:pPr>
        <w:contextualSpacing/>
      </w:pPr>
    </w:p>
    <w:p w14:paraId="7E12B6C4" w14:textId="52F8DCBE" w:rsidR="00DF3CA1" w:rsidRPr="00BF4711" w:rsidRDefault="00DF3CA1" w:rsidP="0026028D">
      <w:pPr>
        <w:contextualSpacing/>
      </w:pPr>
      <w:r w:rsidRPr="00BF4711">
        <w:t xml:space="preserve">The initial condition </w:t>
      </w:r>
      <m:oMath>
        <m:r>
          <w:rPr>
            <w:rFonts w:ascii="Cambria Math" w:hAnsi="Cambria Math"/>
          </w:rPr>
          <m:t>∆(0)</m:t>
        </m:r>
      </m:oMath>
      <w:r w:rsidRPr="00BF4711">
        <w:t xml:space="preserve"> is defined as </w:t>
      </w:r>
    </w:p>
    <w:p w14:paraId="2EFA7072" w14:textId="77777777" w:rsidR="00DF3CA1" w:rsidRPr="00BF4711" w:rsidRDefault="00DF3CA1" w:rsidP="0026028D">
      <w:pPr>
        <w:contextualSpacing/>
      </w:pPr>
      <m:oMathPara>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do</m:t>
              </m:r>
            </m:sub>
          </m:sSub>
        </m:oMath>
      </m:oMathPara>
    </w:p>
    <w:p w14:paraId="0FE54FFB" w14:textId="77777777" w:rsidR="0024051E" w:rsidRPr="00BF4711" w:rsidRDefault="0024051E" w:rsidP="0026028D">
      <w:pPr>
        <w:contextualSpacing/>
      </w:pPr>
    </w:p>
    <w:p w14:paraId="6B39F81E" w14:textId="77777777" w:rsidR="00DF3CA1" w:rsidRPr="00BF4711" w:rsidRDefault="00000000"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do</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∆(0)</m:t>
          </m:r>
        </m:oMath>
      </m:oMathPara>
    </w:p>
    <w:p w14:paraId="716874FB" w14:textId="77777777" w:rsidR="0024051E" w:rsidRPr="00BF4711" w:rsidRDefault="0024051E" w:rsidP="0026028D">
      <w:pPr>
        <w:contextualSpacing/>
      </w:pPr>
    </w:p>
    <w:p w14:paraId="4F5CAB35" w14:textId="77777777" w:rsidR="0024051E" w:rsidRPr="00BF4711" w:rsidRDefault="0024051E" w:rsidP="0026028D">
      <w:pPr>
        <w:contextualSpacing/>
      </w:pPr>
      <w:r w:rsidRPr="00BF4711">
        <w:t>Substituting above equation into (1</w:t>
      </w:r>
      <w:r w:rsidR="00F5527B" w:rsidRPr="00BF4711">
        <w:t>3</w:t>
      </w:r>
      <w:r w:rsidRPr="00BF4711">
        <w:t xml:space="preserve">) and solving for </w:t>
      </w:r>
      <m:oMath>
        <m:r>
          <w:rPr>
            <w:rFonts w:ascii="Cambria Math" w:hAnsi="Cambria Math"/>
          </w:rPr>
          <m:t>∆</m:t>
        </m:r>
        <m:d>
          <m:dPr>
            <m:ctrlPr>
              <w:rPr>
                <w:rFonts w:ascii="Cambria Math" w:hAnsi="Cambria Math"/>
                <w:i/>
              </w:rPr>
            </m:ctrlPr>
          </m:dPr>
          <m:e>
            <m:r>
              <w:rPr>
                <w:rFonts w:ascii="Cambria Math" w:hAnsi="Cambria Math"/>
              </w:rPr>
              <m:t>0</m:t>
            </m:r>
          </m:e>
        </m:d>
      </m:oMath>
      <w:r w:rsidRPr="00BF4711">
        <w:t>,</w:t>
      </w:r>
    </w:p>
    <w:p w14:paraId="3C105081" w14:textId="77777777" w:rsidR="0024051E" w:rsidRPr="00BF4711" w:rsidRDefault="0024051E" w:rsidP="0026028D">
      <w:pPr>
        <w:contextualSpacing/>
      </w:pPr>
    </w:p>
    <w:p w14:paraId="58ED2CB8" w14:textId="6B786CC2" w:rsidR="0024051E" w:rsidRPr="00BF4711" w:rsidRDefault="00000000"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aσ</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e>
                  </m:d>
                </m:num>
                <m:den>
                  <m:r>
                    <w:rPr>
                      <w:rFonts w:ascii="Cambria Math" w:hAnsi="Cambria Math"/>
                    </w:rPr>
                    <m:t>γ</m:t>
                  </m:r>
                </m:den>
              </m:f>
              <m:r>
                <m:rPr>
                  <m:sty m:val="p"/>
                </m:rPr>
                <w:rPr>
                  <w:rFonts w:ascii="Cambria Math" w:hAnsi="Cambria Math"/>
                </w:rPr>
                <m:t xml:space="preserve">   </m:t>
              </m:r>
            </m:e>
          </m:d>
          <m:r>
            <w:rPr>
              <w:rFonts w:ascii="Cambria Math" w:hAnsi="Cambria Math"/>
            </w:rPr>
            <m:t xml:space="preserve">∆(0) </m:t>
          </m:r>
        </m:oMath>
      </m:oMathPara>
    </w:p>
    <w:p w14:paraId="0EDE824A" w14:textId="77777777" w:rsidR="0024051E" w:rsidRPr="00BF4711" w:rsidRDefault="0024051E" w:rsidP="0026028D">
      <w:pPr>
        <w:contextualSpacing/>
      </w:pPr>
    </w:p>
    <w:p w14:paraId="09390184" w14:textId="77777777" w:rsidR="0024051E" w:rsidRPr="00BF4711" w:rsidRDefault="0024051E" w:rsidP="0026028D">
      <w:pPr>
        <w:contextualSpacing/>
      </w:pPr>
    </w:p>
    <w:p w14:paraId="6AFBD401" w14:textId="0032E0F1" w:rsidR="0024051E" w:rsidRPr="00BF4711" w:rsidRDefault="0024051E" w:rsidP="0026028D">
      <w:pPr>
        <w:contextualSpacing/>
      </w:pPr>
      <m:oMathPara>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di</m:t>
                  </m:r>
                </m:sub>
              </m:sSub>
            </m:num>
            <m:den>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aσ</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e>
                      </m:d>
                    </m:num>
                    <m:den>
                      <m:r>
                        <w:rPr>
                          <w:rFonts w:ascii="Cambria Math" w:hAnsi="Cambria Math"/>
                        </w:rPr>
                        <m:t>γ</m:t>
                      </m:r>
                    </m:den>
                  </m:f>
                  <m:r>
                    <m:rPr>
                      <m:sty m:val="p"/>
                    </m:rPr>
                    <w:rPr>
                      <w:rFonts w:ascii="Cambria Math" w:hAnsi="Cambria Math"/>
                    </w:rPr>
                    <m:t xml:space="preserve">   </m:t>
                  </m:r>
                </m:e>
              </m:d>
            </m:den>
          </m:f>
        </m:oMath>
      </m:oMathPara>
    </w:p>
    <w:p w14:paraId="31CA6396" w14:textId="77777777" w:rsidR="00DF3CA1" w:rsidRPr="00BF4711" w:rsidRDefault="00DF3CA1" w:rsidP="0026028D">
      <w:pPr>
        <w:contextualSpacing/>
      </w:pPr>
    </w:p>
    <w:p w14:paraId="3C5B2FC2" w14:textId="77777777" w:rsidR="0024051E" w:rsidRPr="00BF4711" w:rsidRDefault="0024051E" w:rsidP="0026028D">
      <w:pPr>
        <w:contextualSpacing/>
        <w:rPr>
          <w:b/>
        </w:rPr>
      </w:pPr>
      <w:r w:rsidRPr="00BF4711">
        <w:rPr>
          <w:b/>
        </w:rPr>
        <w:t>Appendix B: Proportionality of blood outlet concentration to inlet concentration</w:t>
      </w:r>
    </w:p>
    <w:p w14:paraId="1143FD25" w14:textId="77777777" w:rsidR="005B0675" w:rsidRPr="00BF4711" w:rsidRDefault="005B0675" w:rsidP="0026028D">
      <w:pPr>
        <w:contextualSpacing/>
        <w:rPr>
          <w:b/>
        </w:rPr>
      </w:pPr>
    </w:p>
    <w:p w14:paraId="78533BD8" w14:textId="4828D4F7" w:rsidR="00F5527B" w:rsidRPr="00BF4711" w:rsidRDefault="00F5527B" w:rsidP="0026028D">
      <w:pPr>
        <w:contextualSpacing/>
      </w:pPr>
      <w:r w:rsidRPr="00BF4711">
        <w:t>Equation (7) and (8) states that, the initial condition for concentration gradient is a linear combination of the inlet concentration of the blood and dialysate</w:t>
      </w:r>
      <w:r w:rsidR="009F11D1" w:rsidRPr="00BF4711">
        <w:t xml:space="preserve"> </w:t>
      </w:r>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and </m:t>
        </m:r>
        <m:sSub>
          <m:sSubPr>
            <m:ctrlPr>
              <w:rPr>
                <w:rFonts w:ascii="Cambria Math" w:hAnsi="Cambria Math"/>
                <w:i/>
              </w:rPr>
            </m:ctrlPr>
          </m:sSubPr>
          <m:e>
            <m:r>
              <w:rPr>
                <w:rFonts w:ascii="Cambria Math" w:hAnsi="Cambria Math"/>
              </w:rPr>
              <m:t>c</m:t>
            </m:r>
          </m:e>
          <m:sub>
            <m:r>
              <w:rPr>
                <w:rFonts w:ascii="Cambria Math" w:hAnsi="Cambria Math"/>
              </w:rPr>
              <m:t>di</m:t>
            </m:r>
          </m:sub>
        </m:sSub>
      </m:oMath>
      <w:r w:rsidR="009F11D1" w:rsidRPr="00BF4711">
        <w:t xml:space="preserve">.                                                                          </w:t>
      </w:r>
    </w:p>
    <w:p w14:paraId="59EB79D6" w14:textId="1333852B" w:rsidR="00F5527B" w:rsidRPr="00BF4711" w:rsidRDefault="00F5527B" w:rsidP="0026028D">
      <w:pPr>
        <w:contextualSpacing/>
      </w:pPr>
    </w:p>
    <w:p w14:paraId="39ADF7BC" w14:textId="4055BA36" w:rsidR="005B0675" w:rsidRPr="00BF4711" w:rsidRDefault="00F5527B" w:rsidP="0026028D">
      <w:pPr>
        <w:contextualSpacing/>
        <w:jc w:val="center"/>
      </w:pPr>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α</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β</m:t>
        </m:r>
        <m:sSub>
          <m:sSubPr>
            <m:ctrlPr>
              <w:rPr>
                <w:rFonts w:ascii="Cambria Math" w:hAnsi="Cambria Math"/>
                <w:i/>
              </w:rPr>
            </m:ctrlPr>
          </m:sSubPr>
          <m:e>
            <m:r>
              <w:rPr>
                <w:rFonts w:ascii="Cambria Math" w:hAnsi="Cambria Math"/>
              </w:rPr>
              <m:t>c</m:t>
            </m:r>
          </m:e>
          <m:sub>
            <m:r>
              <w:rPr>
                <w:rFonts w:ascii="Cambria Math" w:hAnsi="Cambria Math"/>
              </w:rPr>
              <m:t>di</m:t>
            </m:r>
          </m:sub>
        </m:sSub>
      </m:oMath>
      <w:r w:rsidRPr="00BF4711">
        <w:t xml:space="preserve">                                          </w:t>
      </w:r>
      <w:r w:rsidR="007010DF" w:rsidRPr="00BF4711">
        <w:t xml:space="preserve">     </w:t>
      </w:r>
      <w:r w:rsidRPr="00BF4711">
        <w:t xml:space="preserve">               </w:t>
      </w:r>
      <w:r w:rsidR="007179C1" w:rsidRPr="00BF4711">
        <w:t xml:space="preserve"> </w:t>
      </w:r>
      <w:r w:rsidRPr="00BF4711">
        <w:t>(15)</w:t>
      </w:r>
    </w:p>
    <w:p w14:paraId="460922D2" w14:textId="77777777" w:rsidR="009F11D1" w:rsidRPr="00BF4711" w:rsidRDefault="009F11D1" w:rsidP="0026028D">
      <w:pPr>
        <w:contextualSpacing/>
      </w:pPr>
      <w:r w:rsidRPr="00BF4711">
        <w:t>Where:</w:t>
      </w:r>
    </w:p>
    <w:p w14:paraId="6789AB01" w14:textId="77777777" w:rsidR="009F11D1" w:rsidRPr="00BF4711" w:rsidRDefault="009F11D1" w:rsidP="0026028D">
      <w:pPr>
        <w:contextualSpacing/>
      </w:pPr>
      <m:oMath>
        <m:r>
          <w:rPr>
            <w:rFonts w:ascii="Cambria Math" w:hAnsi="Cambria Math"/>
          </w:rPr>
          <m:t>α and β are some constant</m:t>
        </m:r>
      </m:oMath>
      <w:r w:rsidRPr="00BF4711">
        <w:t>s.</w:t>
      </w:r>
    </w:p>
    <w:p w14:paraId="2772219A" w14:textId="77777777" w:rsidR="009F11D1" w:rsidRPr="00BF4711" w:rsidRDefault="009F11D1" w:rsidP="0026028D">
      <w:pPr>
        <w:contextualSpacing/>
      </w:pPr>
    </w:p>
    <w:p w14:paraId="607FDB6C" w14:textId="77777777" w:rsidR="009F11D1" w:rsidRPr="00BF4711" w:rsidRDefault="007010DF" w:rsidP="0026028D">
      <w:pPr>
        <w:contextualSpacing/>
        <w:jc w:val="both"/>
      </w:pPr>
      <w:r w:rsidRPr="00BF4711">
        <w:t>Equation (14) indicates that the difference between the inlet and outlet concentrations of the dialysate is proportional to the initial concentration gradient. By conservation of solute, the same reasoning applies to the blood stream. Therefore, the difference between the inlet and outlet blood concentrations can be written as</w:t>
      </w:r>
    </w:p>
    <w:p w14:paraId="2411AD35" w14:textId="53CF4600" w:rsidR="009F11D1" w:rsidRPr="00BF4711" w:rsidRDefault="00000000"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θ</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μ</m:t>
        </m:r>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oMath>
      <w:r w:rsidR="009F11D1" w:rsidRPr="00BF4711">
        <w:t xml:space="preserve">                                                               (16)</w:t>
      </w:r>
    </w:p>
    <w:p w14:paraId="18BDEC9E" w14:textId="77777777" w:rsidR="007010DF" w:rsidRPr="00BF4711" w:rsidRDefault="007010DF" w:rsidP="0026028D">
      <w:pPr>
        <w:contextualSpacing/>
        <w:jc w:val="center"/>
      </w:pPr>
    </w:p>
    <w:p w14:paraId="492B2484" w14:textId="77777777" w:rsidR="00F5527B" w:rsidRPr="00BF4711" w:rsidRDefault="007010DF" w:rsidP="0026028D">
      <w:pPr>
        <w:contextualSpacing/>
      </w:pPr>
      <w:r w:rsidRPr="00BF4711">
        <w:t>w</w:t>
      </w:r>
      <w:r w:rsidR="009F11D1" w:rsidRPr="00BF4711">
        <w:t>here</w:t>
      </w:r>
      <w:r w:rsidRPr="00BF4711">
        <w:t xml:space="preserve"> </w:t>
      </w:r>
      <m:oMath>
        <m:r>
          <w:rPr>
            <w:rFonts w:ascii="Cambria Math" w:hAnsi="Cambria Math"/>
          </w:rPr>
          <m:t>μ and θ are some constant</m:t>
        </m:r>
      </m:oMath>
      <w:r w:rsidR="009F11D1" w:rsidRPr="00BF4711">
        <w:t>s.</w:t>
      </w:r>
    </w:p>
    <w:p w14:paraId="1724C1DC" w14:textId="77777777" w:rsidR="009F11D1" w:rsidRPr="00BF4711" w:rsidRDefault="007010DF" w:rsidP="0026028D">
      <w:pPr>
        <w:contextualSpacing/>
        <w:jc w:val="both"/>
      </w:pPr>
      <w:r w:rsidRPr="00BF4711">
        <w:t>Rearranging equation (16), the outlet blood concentration can be expressed as a linear combination of the inlet concentrations:</w:t>
      </w:r>
    </w:p>
    <w:p w14:paraId="782DC998" w14:textId="38F56EC7" w:rsidR="009F11D1" w:rsidRPr="00BF4711" w:rsidRDefault="00000000"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ϑ</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μ</m:t>
        </m:r>
        <m:sSub>
          <m:sSubPr>
            <m:ctrlPr>
              <w:rPr>
                <w:rFonts w:ascii="Cambria Math" w:hAnsi="Cambria Math"/>
                <w:i/>
              </w:rPr>
            </m:ctrlPr>
          </m:sSubPr>
          <m:e>
            <m:r>
              <w:rPr>
                <w:rFonts w:ascii="Cambria Math" w:hAnsi="Cambria Math"/>
              </w:rPr>
              <m:t>c</m:t>
            </m:r>
          </m:e>
          <m:sub>
            <m:r>
              <w:rPr>
                <w:rFonts w:ascii="Cambria Math" w:hAnsi="Cambria Math"/>
              </w:rPr>
              <m:t>di</m:t>
            </m:r>
          </m:sub>
        </m:sSub>
      </m:oMath>
      <w:r w:rsidR="007010DF" w:rsidRPr="00BF4711">
        <w:t xml:space="preserve">                                                                          (17)</w:t>
      </w:r>
    </w:p>
    <w:p w14:paraId="29CE110A" w14:textId="77777777" w:rsidR="009F11D1" w:rsidRPr="00BF4711" w:rsidRDefault="007010DF" w:rsidP="0026028D">
      <w:pPr>
        <w:contextualSpacing/>
      </w:pPr>
      <w:r w:rsidRPr="00BF4711">
        <w:t>w</w:t>
      </w:r>
      <w:r w:rsidR="009F11D1" w:rsidRPr="00BF4711">
        <w:t>here</w:t>
      </w:r>
      <w:r w:rsidRPr="00BF4711">
        <w:t xml:space="preserve"> </w:t>
      </w:r>
      <w:r w:rsidR="009F11D1" w:rsidRPr="00BF4711">
        <w:t xml:space="preserve">μ and </w:t>
      </w:r>
      <m:oMath>
        <m:r>
          <w:rPr>
            <w:rFonts w:ascii="Cambria Math" w:hAnsi="Cambria Math"/>
          </w:rPr>
          <m:t>ϑ</m:t>
        </m:r>
      </m:oMath>
      <w:r w:rsidR="009F11D1" w:rsidRPr="00BF4711">
        <w:t xml:space="preserve"> are some constants.</w:t>
      </w:r>
    </w:p>
    <w:p w14:paraId="61708832" w14:textId="77777777" w:rsidR="007010DF" w:rsidRPr="00BF4711" w:rsidRDefault="007010DF" w:rsidP="0026028D">
      <w:pPr>
        <w:contextualSpacing/>
      </w:pPr>
      <w:r w:rsidRPr="00BF4711">
        <w:t xml:space="preserve">In most dialysis setting </w:t>
      </w:r>
      <m:oMath>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oMath>
      <w:r w:rsidRPr="00BF4711">
        <w:t xml:space="preserve">. So, for the sake of simplicity, we can safely set it to zero. </w:t>
      </w:r>
    </w:p>
    <w:p w14:paraId="6E2DF35F" w14:textId="77777777" w:rsidR="007010DF" w:rsidRPr="00BF4711" w:rsidRDefault="007010DF" w:rsidP="0026028D">
      <w:pPr>
        <w:contextualSpacing/>
      </w:pPr>
      <w:r w:rsidRPr="00BF4711">
        <w:t>That reduces equation (17), to</w:t>
      </w:r>
    </w:p>
    <w:p w14:paraId="73DE7D91" w14:textId="77777777" w:rsidR="007010DF" w:rsidRPr="00BF4711" w:rsidRDefault="00000000"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ϑ</m:t>
          </m:r>
          <m:sSub>
            <m:sSubPr>
              <m:ctrlPr>
                <w:rPr>
                  <w:rFonts w:ascii="Cambria Math" w:hAnsi="Cambria Math"/>
                  <w:i/>
                </w:rPr>
              </m:ctrlPr>
            </m:sSubPr>
            <m:e>
              <m:r>
                <w:rPr>
                  <w:rFonts w:ascii="Cambria Math" w:hAnsi="Cambria Math"/>
                </w:rPr>
                <m:t>c</m:t>
              </m:r>
            </m:e>
            <m:sub>
              <m:r>
                <w:rPr>
                  <w:rFonts w:ascii="Cambria Math" w:hAnsi="Cambria Math"/>
                </w:rPr>
                <m:t>bi</m:t>
              </m:r>
            </m:sub>
          </m:sSub>
        </m:oMath>
      </m:oMathPara>
    </w:p>
    <w:p w14:paraId="569BBBE8" w14:textId="44CB9D98" w:rsidR="009F11D1" w:rsidRPr="00BF4711" w:rsidRDefault="007010DF" w:rsidP="0026028D">
      <w:pPr>
        <w:contextualSpacing/>
      </w:pPr>
      <w:r w:rsidRPr="00BF4711">
        <w:t>This result establishes the proportional relationship between the outlet and inlet blood concentrations assumed in the model.</w:t>
      </w:r>
      <w:r w:rsidR="009F11D1" w:rsidRPr="00BF4711">
        <w:t xml:space="preserve"> </w:t>
      </w:r>
    </w:p>
    <w:sectPr w:rsidR="009F11D1" w:rsidRPr="00BF4711" w:rsidSect="00D56E8C">
      <w:footerReference w:type="default" r:id="rId21"/>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8D82C" w14:textId="77777777" w:rsidR="00C50805" w:rsidRDefault="00C50805" w:rsidP="00043DE9">
      <w:r>
        <w:separator/>
      </w:r>
    </w:p>
  </w:endnote>
  <w:endnote w:type="continuationSeparator" w:id="0">
    <w:p w14:paraId="5595EE02" w14:textId="77777777" w:rsidR="00C50805" w:rsidRDefault="00C50805" w:rsidP="00043D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1983224"/>
      <w:docPartObj>
        <w:docPartGallery w:val="Page Numbers (Bottom of Page)"/>
        <w:docPartUnique/>
      </w:docPartObj>
    </w:sdtPr>
    <w:sdtContent>
      <w:sdt>
        <w:sdtPr>
          <w:id w:val="-1769616900"/>
          <w:docPartObj>
            <w:docPartGallery w:val="Page Numbers (Top of Page)"/>
            <w:docPartUnique/>
          </w:docPartObj>
        </w:sdtPr>
        <w:sdtContent>
          <w:p w14:paraId="6F28A372" w14:textId="6A82C062" w:rsidR="00AD4990" w:rsidRDefault="00AD4990">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95F906E" w14:textId="77777777" w:rsidR="00AD4990" w:rsidRDefault="00AD49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04434" w14:textId="77777777" w:rsidR="00C50805" w:rsidRDefault="00C50805" w:rsidP="00043DE9">
      <w:r>
        <w:separator/>
      </w:r>
    </w:p>
  </w:footnote>
  <w:footnote w:type="continuationSeparator" w:id="0">
    <w:p w14:paraId="181849EB" w14:textId="77777777" w:rsidR="00C50805" w:rsidRDefault="00C50805" w:rsidP="00043D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01FE"/>
    <w:multiLevelType w:val="multilevel"/>
    <w:tmpl w:val="8B327A6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D3A92"/>
    <w:multiLevelType w:val="multilevel"/>
    <w:tmpl w:val="E5C689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8AD531E"/>
    <w:multiLevelType w:val="multilevel"/>
    <w:tmpl w:val="E5C689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C5A051E"/>
    <w:multiLevelType w:val="multilevel"/>
    <w:tmpl w:val="8B327A6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15412152">
    <w:abstractNumId w:val="0"/>
  </w:num>
  <w:num w:numId="2" w16cid:durableId="200440881">
    <w:abstractNumId w:val="2"/>
  </w:num>
  <w:num w:numId="3" w16cid:durableId="1649675271">
    <w:abstractNumId w:val="1"/>
  </w:num>
  <w:num w:numId="4" w16cid:durableId="1018468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D3B"/>
    <w:rsid w:val="0000425B"/>
    <w:rsid w:val="000065C3"/>
    <w:rsid w:val="000225CC"/>
    <w:rsid w:val="000241D1"/>
    <w:rsid w:val="00027E47"/>
    <w:rsid w:val="0003617B"/>
    <w:rsid w:val="00036F1B"/>
    <w:rsid w:val="00041C6F"/>
    <w:rsid w:val="000420BC"/>
    <w:rsid w:val="00042510"/>
    <w:rsid w:val="000437C7"/>
    <w:rsid w:val="00043DE9"/>
    <w:rsid w:val="00045229"/>
    <w:rsid w:val="000500D2"/>
    <w:rsid w:val="00052EA5"/>
    <w:rsid w:val="00053B93"/>
    <w:rsid w:val="0006228A"/>
    <w:rsid w:val="0006645E"/>
    <w:rsid w:val="0007029B"/>
    <w:rsid w:val="00070F28"/>
    <w:rsid w:val="00072088"/>
    <w:rsid w:val="00073BCE"/>
    <w:rsid w:val="00075ED4"/>
    <w:rsid w:val="00086BB0"/>
    <w:rsid w:val="00091495"/>
    <w:rsid w:val="00094784"/>
    <w:rsid w:val="000A0121"/>
    <w:rsid w:val="000A6CAC"/>
    <w:rsid w:val="000B0E21"/>
    <w:rsid w:val="000B6732"/>
    <w:rsid w:val="000C096D"/>
    <w:rsid w:val="000D194F"/>
    <w:rsid w:val="000D25A3"/>
    <w:rsid w:val="000D4251"/>
    <w:rsid w:val="000D5DE2"/>
    <w:rsid w:val="000E42D8"/>
    <w:rsid w:val="000F4186"/>
    <w:rsid w:val="000F4CE1"/>
    <w:rsid w:val="00101323"/>
    <w:rsid w:val="00104517"/>
    <w:rsid w:val="00105B4E"/>
    <w:rsid w:val="00107437"/>
    <w:rsid w:val="00110980"/>
    <w:rsid w:val="00111512"/>
    <w:rsid w:val="00115B70"/>
    <w:rsid w:val="0011653E"/>
    <w:rsid w:val="001219E9"/>
    <w:rsid w:val="001227D9"/>
    <w:rsid w:val="001378E1"/>
    <w:rsid w:val="00137FA7"/>
    <w:rsid w:val="00141D7D"/>
    <w:rsid w:val="001564CC"/>
    <w:rsid w:val="00157CEE"/>
    <w:rsid w:val="00164712"/>
    <w:rsid w:val="00172740"/>
    <w:rsid w:val="001732CF"/>
    <w:rsid w:val="00173AE7"/>
    <w:rsid w:val="00175803"/>
    <w:rsid w:val="00176087"/>
    <w:rsid w:val="00176131"/>
    <w:rsid w:val="001818BA"/>
    <w:rsid w:val="001851F5"/>
    <w:rsid w:val="00192095"/>
    <w:rsid w:val="001957EC"/>
    <w:rsid w:val="00196F09"/>
    <w:rsid w:val="001A234B"/>
    <w:rsid w:val="001A67CD"/>
    <w:rsid w:val="001B2463"/>
    <w:rsid w:val="001B3411"/>
    <w:rsid w:val="001B5743"/>
    <w:rsid w:val="001C238A"/>
    <w:rsid w:val="001C25D9"/>
    <w:rsid w:val="001C3490"/>
    <w:rsid w:val="001C54E9"/>
    <w:rsid w:val="001D022A"/>
    <w:rsid w:val="001E22BB"/>
    <w:rsid w:val="001E2FED"/>
    <w:rsid w:val="001E734D"/>
    <w:rsid w:val="001F63B5"/>
    <w:rsid w:val="002015CD"/>
    <w:rsid w:val="002041D3"/>
    <w:rsid w:val="00204465"/>
    <w:rsid w:val="00205815"/>
    <w:rsid w:val="0020711D"/>
    <w:rsid w:val="00214657"/>
    <w:rsid w:val="00214D13"/>
    <w:rsid w:val="0022543A"/>
    <w:rsid w:val="0022674D"/>
    <w:rsid w:val="002305D5"/>
    <w:rsid w:val="0024051E"/>
    <w:rsid w:val="00246FE2"/>
    <w:rsid w:val="002474CA"/>
    <w:rsid w:val="0025422C"/>
    <w:rsid w:val="00257840"/>
    <w:rsid w:val="0026028D"/>
    <w:rsid w:val="00260A4D"/>
    <w:rsid w:val="0026161C"/>
    <w:rsid w:val="002621C3"/>
    <w:rsid w:val="00263168"/>
    <w:rsid w:val="00264C6B"/>
    <w:rsid w:val="00266CB5"/>
    <w:rsid w:val="002719D7"/>
    <w:rsid w:val="002729E7"/>
    <w:rsid w:val="00273672"/>
    <w:rsid w:val="00276086"/>
    <w:rsid w:val="0028063A"/>
    <w:rsid w:val="0028448D"/>
    <w:rsid w:val="00287BB7"/>
    <w:rsid w:val="0029014C"/>
    <w:rsid w:val="0029238F"/>
    <w:rsid w:val="00293F49"/>
    <w:rsid w:val="002955E5"/>
    <w:rsid w:val="0029778D"/>
    <w:rsid w:val="00297A07"/>
    <w:rsid w:val="00297AF9"/>
    <w:rsid w:val="002A4D8C"/>
    <w:rsid w:val="002A6B71"/>
    <w:rsid w:val="002A73E7"/>
    <w:rsid w:val="002B2E7C"/>
    <w:rsid w:val="002C004E"/>
    <w:rsid w:val="002C1FD7"/>
    <w:rsid w:val="002C682C"/>
    <w:rsid w:val="002D26D4"/>
    <w:rsid w:val="002D428A"/>
    <w:rsid w:val="002E4203"/>
    <w:rsid w:val="002F1BB3"/>
    <w:rsid w:val="002F4442"/>
    <w:rsid w:val="002F4E5F"/>
    <w:rsid w:val="002F7605"/>
    <w:rsid w:val="00300D22"/>
    <w:rsid w:val="00305E9D"/>
    <w:rsid w:val="00306D3B"/>
    <w:rsid w:val="00314499"/>
    <w:rsid w:val="003157C8"/>
    <w:rsid w:val="0031602E"/>
    <w:rsid w:val="0032028B"/>
    <w:rsid w:val="00321901"/>
    <w:rsid w:val="00323E76"/>
    <w:rsid w:val="00325DA2"/>
    <w:rsid w:val="00333342"/>
    <w:rsid w:val="00334316"/>
    <w:rsid w:val="0033725D"/>
    <w:rsid w:val="00346D06"/>
    <w:rsid w:val="0035545B"/>
    <w:rsid w:val="00355677"/>
    <w:rsid w:val="00355754"/>
    <w:rsid w:val="00361DE0"/>
    <w:rsid w:val="00362CB6"/>
    <w:rsid w:val="0036390C"/>
    <w:rsid w:val="00364BB7"/>
    <w:rsid w:val="00374A52"/>
    <w:rsid w:val="003768AF"/>
    <w:rsid w:val="00383368"/>
    <w:rsid w:val="0038506A"/>
    <w:rsid w:val="003857E4"/>
    <w:rsid w:val="00386989"/>
    <w:rsid w:val="00391346"/>
    <w:rsid w:val="00394FBA"/>
    <w:rsid w:val="00395128"/>
    <w:rsid w:val="003A2AB4"/>
    <w:rsid w:val="003A6531"/>
    <w:rsid w:val="003A6D4F"/>
    <w:rsid w:val="003B1307"/>
    <w:rsid w:val="003B41A0"/>
    <w:rsid w:val="003B554B"/>
    <w:rsid w:val="003B793F"/>
    <w:rsid w:val="003D3D5B"/>
    <w:rsid w:val="003D7673"/>
    <w:rsid w:val="003D78E6"/>
    <w:rsid w:val="003E4E59"/>
    <w:rsid w:val="003F18C0"/>
    <w:rsid w:val="003F5D0A"/>
    <w:rsid w:val="003F6FC6"/>
    <w:rsid w:val="004048D3"/>
    <w:rsid w:val="00414F9A"/>
    <w:rsid w:val="0041541D"/>
    <w:rsid w:val="004157D5"/>
    <w:rsid w:val="00423836"/>
    <w:rsid w:val="00425F28"/>
    <w:rsid w:val="00427E7C"/>
    <w:rsid w:val="00437102"/>
    <w:rsid w:val="00437A0F"/>
    <w:rsid w:val="00443240"/>
    <w:rsid w:val="00444D7D"/>
    <w:rsid w:val="00446A11"/>
    <w:rsid w:val="00447ABF"/>
    <w:rsid w:val="004512CD"/>
    <w:rsid w:val="004514CA"/>
    <w:rsid w:val="00451811"/>
    <w:rsid w:val="00451BEA"/>
    <w:rsid w:val="004543C6"/>
    <w:rsid w:val="00455CCD"/>
    <w:rsid w:val="00456FC5"/>
    <w:rsid w:val="00470802"/>
    <w:rsid w:val="0047134E"/>
    <w:rsid w:val="0047789C"/>
    <w:rsid w:val="00483017"/>
    <w:rsid w:val="00486339"/>
    <w:rsid w:val="00493042"/>
    <w:rsid w:val="004945C1"/>
    <w:rsid w:val="00496CFA"/>
    <w:rsid w:val="004A36FB"/>
    <w:rsid w:val="004B1268"/>
    <w:rsid w:val="004B279D"/>
    <w:rsid w:val="004B279F"/>
    <w:rsid w:val="004B37DC"/>
    <w:rsid w:val="004B52F7"/>
    <w:rsid w:val="004B5A56"/>
    <w:rsid w:val="004E4D3F"/>
    <w:rsid w:val="004F5E0C"/>
    <w:rsid w:val="005023F0"/>
    <w:rsid w:val="00504551"/>
    <w:rsid w:val="00504E70"/>
    <w:rsid w:val="0051584A"/>
    <w:rsid w:val="00527098"/>
    <w:rsid w:val="005304C9"/>
    <w:rsid w:val="00532C64"/>
    <w:rsid w:val="005347A9"/>
    <w:rsid w:val="00542C66"/>
    <w:rsid w:val="005434DA"/>
    <w:rsid w:val="00544360"/>
    <w:rsid w:val="00545F74"/>
    <w:rsid w:val="00550FD1"/>
    <w:rsid w:val="0055158C"/>
    <w:rsid w:val="00552EC2"/>
    <w:rsid w:val="00553F53"/>
    <w:rsid w:val="00554766"/>
    <w:rsid w:val="00554D44"/>
    <w:rsid w:val="00556D2A"/>
    <w:rsid w:val="0056309A"/>
    <w:rsid w:val="00571097"/>
    <w:rsid w:val="00574CD8"/>
    <w:rsid w:val="00581F71"/>
    <w:rsid w:val="0058205F"/>
    <w:rsid w:val="0058415C"/>
    <w:rsid w:val="005842DD"/>
    <w:rsid w:val="00584E50"/>
    <w:rsid w:val="0058617E"/>
    <w:rsid w:val="005877DE"/>
    <w:rsid w:val="00590F58"/>
    <w:rsid w:val="00592B71"/>
    <w:rsid w:val="005A0029"/>
    <w:rsid w:val="005B0675"/>
    <w:rsid w:val="005B3741"/>
    <w:rsid w:val="005B3B76"/>
    <w:rsid w:val="005B65A2"/>
    <w:rsid w:val="005B6D0A"/>
    <w:rsid w:val="005C620D"/>
    <w:rsid w:val="005E74D7"/>
    <w:rsid w:val="005F33A8"/>
    <w:rsid w:val="005F40F3"/>
    <w:rsid w:val="005F4D67"/>
    <w:rsid w:val="006025D0"/>
    <w:rsid w:val="006063E9"/>
    <w:rsid w:val="00622A58"/>
    <w:rsid w:val="00626AF6"/>
    <w:rsid w:val="00631250"/>
    <w:rsid w:val="00636F80"/>
    <w:rsid w:val="00644421"/>
    <w:rsid w:val="00651E69"/>
    <w:rsid w:val="00652AC9"/>
    <w:rsid w:val="00666D4E"/>
    <w:rsid w:val="00667439"/>
    <w:rsid w:val="006753B2"/>
    <w:rsid w:val="0067559F"/>
    <w:rsid w:val="0068061B"/>
    <w:rsid w:val="006839C1"/>
    <w:rsid w:val="00685956"/>
    <w:rsid w:val="00696904"/>
    <w:rsid w:val="006A736F"/>
    <w:rsid w:val="006B2746"/>
    <w:rsid w:val="006B3771"/>
    <w:rsid w:val="006B46F3"/>
    <w:rsid w:val="006B7D67"/>
    <w:rsid w:val="006C3B37"/>
    <w:rsid w:val="006C4C66"/>
    <w:rsid w:val="006D0DC2"/>
    <w:rsid w:val="006D2663"/>
    <w:rsid w:val="006E342F"/>
    <w:rsid w:val="006E37A6"/>
    <w:rsid w:val="006E3E30"/>
    <w:rsid w:val="006E3E46"/>
    <w:rsid w:val="006F02AC"/>
    <w:rsid w:val="006F12B3"/>
    <w:rsid w:val="006F4193"/>
    <w:rsid w:val="006F4D06"/>
    <w:rsid w:val="007010DF"/>
    <w:rsid w:val="007014EF"/>
    <w:rsid w:val="00707117"/>
    <w:rsid w:val="007140D7"/>
    <w:rsid w:val="00714123"/>
    <w:rsid w:val="0071519A"/>
    <w:rsid w:val="007169F7"/>
    <w:rsid w:val="007179C1"/>
    <w:rsid w:val="00722825"/>
    <w:rsid w:val="0072372B"/>
    <w:rsid w:val="0072502C"/>
    <w:rsid w:val="00731F14"/>
    <w:rsid w:val="007332D4"/>
    <w:rsid w:val="00740546"/>
    <w:rsid w:val="00740B2F"/>
    <w:rsid w:val="00741A95"/>
    <w:rsid w:val="00743552"/>
    <w:rsid w:val="007453AB"/>
    <w:rsid w:val="0075004A"/>
    <w:rsid w:val="007531B2"/>
    <w:rsid w:val="00754E70"/>
    <w:rsid w:val="00756930"/>
    <w:rsid w:val="00757A67"/>
    <w:rsid w:val="00762BEB"/>
    <w:rsid w:val="00764E4B"/>
    <w:rsid w:val="007650E0"/>
    <w:rsid w:val="00773BF5"/>
    <w:rsid w:val="0079552D"/>
    <w:rsid w:val="007A0BF6"/>
    <w:rsid w:val="007A1663"/>
    <w:rsid w:val="007B12DD"/>
    <w:rsid w:val="007B29D8"/>
    <w:rsid w:val="007C27BE"/>
    <w:rsid w:val="007D1FB1"/>
    <w:rsid w:val="007D219A"/>
    <w:rsid w:val="007D4459"/>
    <w:rsid w:val="007D7A72"/>
    <w:rsid w:val="007E0E5B"/>
    <w:rsid w:val="007E50F7"/>
    <w:rsid w:val="007E578E"/>
    <w:rsid w:val="007E6E2F"/>
    <w:rsid w:val="007F29AF"/>
    <w:rsid w:val="007F3EF0"/>
    <w:rsid w:val="007F4395"/>
    <w:rsid w:val="00802886"/>
    <w:rsid w:val="0080456F"/>
    <w:rsid w:val="00806239"/>
    <w:rsid w:val="00807145"/>
    <w:rsid w:val="00810555"/>
    <w:rsid w:val="00814891"/>
    <w:rsid w:val="00815D44"/>
    <w:rsid w:val="008170BD"/>
    <w:rsid w:val="00820BC4"/>
    <w:rsid w:val="0082116E"/>
    <w:rsid w:val="00830B8C"/>
    <w:rsid w:val="00832BAB"/>
    <w:rsid w:val="008353EE"/>
    <w:rsid w:val="0083568C"/>
    <w:rsid w:val="00835EE2"/>
    <w:rsid w:val="008366D5"/>
    <w:rsid w:val="008376BF"/>
    <w:rsid w:val="00840BB6"/>
    <w:rsid w:val="008432DC"/>
    <w:rsid w:val="00850576"/>
    <w:rsid w:val="00853AE7"/>
    <w:rsid w:val="00855304"/>
    <w:rsid w:val="00857EAC"/>
    <w:rsid w:val="00861C9E"/>
    <w:rsid w:val="00862268"/>
    <w:rsid w:val="0086415E"/>
    <w:rsid w:val="00865370"/>
    <w:rsid w:val="00871C68"/>
    <w:rsid w:val="00871FD0"/>
    <w:rsid w:val="00872854"/>
    <w:rsid w:val="00873B8A"/>
    <w:rsid w:val="00873BE6"/>
    <w:rsid w:val="00874181"/>
    <w:rsid w:val="00874214"/>
    <w:rsid w:val="00874651"/>
    <w:rsid w:val="0088513F"/>
    <w:rsid w:val="008900DD"/>
    <w:rsid w:val="00890BE8"/>
    <w:rsid w:val="00895999"/>
    <w:rsid w:val="008975FE"/>
    <w:rsid w:val="008A5184"/>
    <w:rsid w:val="008A69F6"/>
    <w:rsid w:val="008B15E2"/>
    <w:rsid w:val="008B3D7E"/>
    <w:rsid w:val="008B6539"/>
    <w:rsid w:val="008B7C33"/>
    <w:rsid w:val="008C0122"/>
    <w:rsid w:val="008C0F84"/>
    <w:rsid w:val="008C26AD"/>
    <w:rsid w:val="008C4E76"/>
    <w:rsid w:val="008D090A"/>
    <w:rsid w:val="008D1C48"/>
    <w:rsid w:val="008D1D64"/>
    <w:rsid w:val="008D3200"/>
    <w:rsid w:val="008D3BE0"/>
    <w:rsid w:val="008D4C96"/>
    <w:rsid w:val="008D52D8"/>
    <w:rsid w:val="008E2A1C"/>
    <w:rsid w:val="008E2E80"/>
    <w:rsid w:val="008E3FF3"/>
    <w:rsid w:val="008F00E4"/>
    <w:rsid w:val="008F3E5A"/>
    <w:rsid w:val="008F64DB"/>
    <w:rsid w:val="00900541"/>
    <w:rsid w:val="00905C24"/>
    <w:rsid w:val="00911E3B"/>
    <w:rsid w:val="0091368F"/>
    <w:rsid w:val="0091372F"/>
    <w:rsid w:val="00915F5E"/>
    <w:rsid w:val="00924137"/>
    <w:rsid w:val="00925CE7"/>
    <w:rsid w:val="0093003E"/>
    <w:rsid w:val="00931038"/>
    <w:rsid w:val="00935F6C"/>
    <w:rsid w:val="00936FBB"/>
    <w:rsid w:val="009429A1"/>
    <w:rsid w:val="009555A7"/>
    <w:rsid w:val="0096152A"/>
    <w:rsid w:val="009627E9"/>
    <w:rsid w:val="009709FB"/>
    <w:rsid w:val="00980A07"/>
    <w:rsid w:val="0098210B"/>
    <w:rsid w:val="00985D57"/>
    <w:rsid w:val="00986E44"/>
    <w:rsid w:val="00991804"/>
    <w:rsid w:val="009A3D36"/>
    <w:rsid w:val="009A3F96"/>
    <w:rsid w:val="009A6264"/>
    <w:rsid w:val="009A6E11"/>
    <w:rsid w:val="009B3BA3"/>
    <w:rsid w:val="009B489E"/>
    <w:rsid w:val="009B6071"/>
    <w:rsid w:val="009B64E4"/>
    <w:rsid w:val="009C0288"/>
    <w:rsid w:val="009C1D82"/>
    <w:rsid w:val="009C2081"/>
    <w:rsid w:val="009C3F56"/>
    <w:rsid w:val="009D4401"/>
    <w:rsid w:val="009D53D3"/>
    <w:rsid w:val="009E1019"/>
    <w:rsid w:val="009F0957"/>
    <w:rsid w:val="009F11D1"/>
    <w:rsid w:val="009F3490"/>
    <w:rsid w:val="009F3A56"/>
    <w:rsid w:val="009F5F66"/>
    <w:rsid w:val="009F768E"/>
    <w:rsid w:val="00A1323C"/>
    <w:rsid w:val="00A14DFE"/>
    <w:rsid w:val="00A151FF"/>
    <w:rsid w:val="00A25B2E"/>
    <w:rsid w:val="00A3622B"/>
    <w:rsid w:val="00A45B25"/>
    <w:rsid w:val="00A53C63"/>
    <w:rsid w:val="00A53F3C"/>
    <w:rsid w:val="00A549AC"/>
    <w:rsid w:val="00A54A3C"/>
    <w:rsid w:val="00A566B3"/>
    <w:rsid w:val="00A620D1"/>
    <w:rsid w:val="00A638F0"/>
    <w:rsid w:val="00A66990"/>
    <w:rsid w:val="00A67114"/>
    <w:rsid w:val="00A703CE"/>
    <w:rsid w:val="00A70B12"/>
    <w:rsid w:val="00A72B15"/>
    <w:rsid w:val="00A87026"/>
    <w:rsid w:val="00A906A1"/>
    <w:rsid w:val="00A92C3F"/>
    <w:rsid w:val="00A9569E"/>
    <w:rsid w:val="00A959F4"/>
    <w:rsid w:val="00A95DDC"/>
    <w:rsid w:val="00AA5685"/>
    <w:rsid w:val="00AA7E70"/>
    <w:rsid w:val="00AB34AC"/>
    <w:rsid w:val="00AB6503"/>
    <w:rsid w:val="00AB7480"/>
    <w:rsid w:val="00AC3CBD"/>
    <w:rsid w:val="00AC47CC"/>
    <w:rsid w:val="00AC5B72"/>
    <w:rsid w:val="00AC65D1"/>
    <w:rsid w:val="00AC7C97"/>
    <w:rsid w:val="00AD4990"/>
    <w:rsid w:val="00AD4D10"/>
    <w:rsid w:val="00AD5B28"/>
    <w:rsid w:val="00AD79D5"/>
    <w:rsid w:val="00AE0934"/>
    <w:rsid w:val="00AE473C"/>
    <w:rsid w:val="00AE4B75"/>
    <w:rsid w:val="00AE5AEA"/>
    <w:rsid w:val="00AE7A5B"/>
    <w:rsid w:val="00AF0190"/>
    <w:rsid w:val="00AF23F4"/>
    <w:rsid w:val="00AF38A1"/>
    <w:rsid w:val="00AF38AF"/>
    <w:rsid w:val="00B006DB"/>
    <w:rsid w:val="00B032F4"/>
    <w:rsid w:val="00B06542"/>
    <w:rsid w:val="00B07AF2"/>
    <w:rsid w:val="00B10941"/>
    <w:rsid w:val="00B1126C"/>
    <w:rsid w:val="00B258CD"/>
    <w:rsid w:val="00B31BD2"/>
    <w:rsid w:val="00B33759"/>
    <w:rsid w:val="00B361A2"/>
    <w:rsid w:val="00B374CD"/>
    <w:rsid w:val="00B42910"/>
    <w:rsid w:val="00B432E3"/>
    <w:rsid w:val="00B467F5"/>
    <w:rsid w:val="00B46BCF"/>
    <w:rsid w:val="00B46D20"/>
    <w:rsid w:val="00B52173"/>
    <w:rsid w:val="00B54720"/>
    <w:rsid w:val="00B54FA9"/>
    <w:rsid w:val="00B57090"/>
    <w:rsid w:val="00B6210A"/>
    <w:rsid w:val="00B63A35"/>
    <w:rsid w:val="00B671DA"/>
    <w:rsid w:val="00B717D3"/>
    <w:rsid w:val="00B81D83"/>
    <w:rsid w:val="00B84236"/>
    <w:rsid w:val="00B85C88"/>
    <w:rsid w:val="00B869D0"/>
    <w:rsid w:val="00B87AAB"/>
    <w:rsid w:val="00B92780"/>
    <w:rsid w:val="00B946C3"/>
    <w:rsid w:val="00BA693D"/>
    <w:rsid w:val="00BB47C7"/>
    <w:rsid w:val="00BC18AC"/>
    <w:rsid w:val="00BC2B04"/>
    <w:rsid w:val="00BC3B15"/>
    <w:rsid w:val="00BC59B2"/>
    <w:rsid w:val="00BE6153"/>
    <w:rsid w:val="00BE66F3"/>
    <w:rsid w:val="00BF03A3"/>
    <w:rsid w:val="00BF4504"/>
    <w:rsid w:val="00BF4711"/>
    <w:rsid w:val="00BF4722"/>
    <w:rsid w:val="00BF7982"/>
    <w:rsid w:val="00C00C90"/>
    <w:rsid w:val="00C02B2A"/>
    <w:rsid w:val="00C1446E"/>
    <w:rsid w:val="00C22112"/>
    <w:rsid w:val="00C232D0"/>
    <w:rsid w:val="00C31CD0"/>
    <w:rsid w:val="00C32958"/>
    <w:rsid w:val="00C36B5C"/>
    <w:rsid w:val="00C41704"/>
    <w:rsid w:val="00C421DC"/>
    <w:rsid w:val="00C428EC"/>
    <w:rsid w:val="00C43A6E"/>
    <w:rsid w:val="00C50805"/>
    <w:rsid w:val="00C55AEE"/>
    <w:rsid w:val="00C56918"/>
    <w:rsid w:val="00C60B51"/>
    <w:rsid w:val="00C64D16"/>
    <w:rsid w:val="00C71250"/>
    <w:rsid w:val="00C7141F"/>
    <w:rsid w:val="00C7325B"/>
    <w:rsid w:val="00C8225E"/>
    <w:rsid w:val="00C86A74"/>
    <w:rsid w:val="00C91902"/>
    <w:rsid w:val="00C9475C"/>
    <w:rsid w:val="00C94971"/>
    <w:rsid w:val="00C974FE"/>
    <w:rsid w:val="00CA5DF7"/>
    <w:rsid w:val="00CB0EC3"/>
    <w:rsid w:val="00CB3AE3"/>
    <w:rsid w:val="00CB5ADC"/>
    <w:rsid w:val="00CC0FBC"/>
    <w:rsid w:val="00CD1440"/>
    <w:rsid w:val="00CD6AD3"/>
    <w:rsid w:val="00CD75CE"/>
    <w:rsid w:val="00CE1E70"/>
    <w:rsid w:val="00CE2206"/>
    <w:rsid w:val="00CE704C"/>
    <w:rsid w:val="00CF2265"/>
    <w:rsid w:val="00CF264E"/>
    <w:rsid w:val="00CF3A61"/>
    <w:rsid w:val="00CF3F83"/>
    <w:rsid w:val="00D0309A"/>
    <w:rsid w:val="00D06D0F"/>
    <w:rsid w:val="00D276F3"/>
    <w:rsid w:val="00D30D4E"/>
    <w:rsid w:val="00D33AAA"/>
    <w:rsid w:val="00D3418A"/>
    <w:rsid w:val="00D348A6"/>
    <w:rsid w:val="00D37722"/>
    <w:rsid w:val="00D4062D"/>
    <w:rsid w:val="00D51168"/>
    <w:rsid w:val="00D519A2"/>
    <w:rsid w:val="00D53FBF"/>
    <w:rsid w:val="00D56E8C"/>
    <w:rsid w:val="00D6192F"/>
    <w:rsid w:val="00D64AF7"/>
    <w:rsid w:val="00D73489"/>
    <w:rsid w:val="00D739D4"/>
    <w:rsid w:val="00D73E36"/>
    <w:rsid w:val="00D76FD3"/>
    <w:rsid w:val="00D80A2E"/>
    <w:rsid w:val="00D80DC8"/>
    <w:rsid w:val="00D81F69"/>
    <w:rsid w:val="00D82859"/>
    <w:rsid w:val="00D92DC7"/>
    <w:rsid w:val="00D94295"/>
    <w:rsid w:val="00D962FF"/>
    <w:rsid w:val="00D968E1"/>
    <w:rsid w:val="00DA41A9"/>
    <w:rsid w:val="00DA461C"/>
    <w:rsid w:val="00DA66ED"/>
    <w:rsid w:val="00DA6D16"/>
    <w:rsid w:val="00DB1554"/>
    <w:rsid w:val="00DB2423"/>
    <w:rsid w:val="00DB3E1B"/>
    <w:rsid w:val="00DB45F6"/>
    <w:rsid w:val="00DC030F"/>
    <w:rsid w:val="00DC19C5"/>
    <w:rsid w:val="00DC234B"/>
    <w:rsid w:val="00DC2437"/>
    <w:rsid w:val="00DC263E"/>
    <w:rsid w:val="00DC5DF9"/>
    <w:rsid w:val="00DD0412"/>
    <w:rsid w:val="00DE1731"/>
    <w:rsid w:val="00DF2004"/>
    <w:rsid w:val="00DF3CA1"/>
    <w:rsid w:val="00E002A0"/>
    <w:rsid w:val="00E00629"/>
    <w:rsid w:val="00E00BFD"/>
    <w:rsid w:val="00E1342C"/>
    <w:rsid w:val="00E13C39"/>
    <w:rsid w:val="00E14479"/>
    <w:rsid w:val="00E14B65"/>
    <w:rsid w:val="00E16788"/>
    <w:rsid w:val="00E37C31"/>
    <w:rsid w:val="00E37E77"/>
    <w:rsid w:val="00E52047"/>
    <w:rsid w:val="00E56C1F"/>
    <w:rsid w:val="00E576FC"/>
    <w:rsid w:val="00E57A49"/>
    <w:rsid w:val="00E63892"/>
    <w:rsid w:val="00E67815"/>
    <w:rsid w:val="00E73ADE"/>
    <w:rsid w:val="00E75486"/>
    <w:rsid w:val="00E76ED9"/>
    <w:rsid w:val="00E80332"/>
    <w:rsid w:val="00E9256F"/>
    <w:rsid w:val="00E925D7"/>
    <w:rsid w:val="00E926EC"/>
    <w:rsid w:val="00E95469"/>
    <w:rsid w:val="00EA71AC"/>
    <w:rsid w:val="00EC1400"/>
    <w:rsid w:val="00ED0AE3"/>
    <w:rsid w:val="00ED3207"/>
    <w:rsid w:val="00ED38E4"/>
    <w:rsid w:val="00ED5094"/>
    <w:rsid w:val="00EE2D86"/>
    <w:rsid w:val="00EE385F"/>
    <w:rsid w:val="00EE6F16"/>
    <w:rsid w:val="00EF0D86"/>
    <w:rsid w:val="00EF3205"/>
    <w:rsid w:val="00EF3F82"/>
    <w:rsid w:val="00EF7E97"/>
    <w:rsid w:val="00F013EA"/>
    <w:rsid w:val="00F044FC"/>
    <w:rsid w:val="00F12CEA"/>
    <w:rsid w:val="00F23636"/>
    <w:rsid w:val="00F245DD"/>
    <w:rsid w:val="00F2622C"/>
    <w:rsid w:val="00F313D4"/>
    <w:rsid w:val="00F5527B"/>
    <w:rsid w:val="00F5542B"/>
    <w:rsid w:val="00F5665A"/>
    <w:rsid w:val="00F57572"/>
    <w:rsid w:val="00F6323B"/>
    <w:rsid w:val="00F66AA8"/>
    <w:rsid w:val="00F670C2"/>
    <w:rsid w:val="00F708C5"/>
    <w:rsid w:val="00F708C9"/>
    <w:rsid w:val="00F70B24"/>
    <w:rsid w:val="00F77A59"/>
    <w:rsid w:val="00F84155"/>
    <w:rsid w:val="00F857AE"/>
    <w:rsid w:val="00F87166"/>
    <w:rsid w:val="00F87B48"/>
    <w:rsid w:val="00F926CE"/>
    <w:rsid w:val="00F93CF2"/>
    <w:rsid w:val="00F974CB"/>
    <w:rsid w:val="00F97943"/>
    <w:rsid w:val="00FA0C13"/>
    <w:rsid w:val="00FA16AE"/>
    <w:rsid w:val="00FA181F"/>
    <w:rsid w:val="00FA24D9"/>
    <w:rsid w:val="00FA64CC"/>
    <w:rsid w:val="00FB1C49"/>
    <w:rsid w:val="00FB514D"/>
    <w:rsid w:val="00FB5943"/>
    <w:rsid w:val="00FB5D17"/>
    <w:rsid w:val="00FB75E4"/>
    <w:rsid w:val="00FB7B26"/>
    <w:rsid w:val="00FC108B"/>
    <w:rsid w:val="00FC346C"/>
    <w:rsid w:val="00FC728E"/>
    <w:rsid w:val="00FC7809"/>
    <w:rsid w:val="00FE3B4E"/>
    <w:rsid w:val="00FE4E91"/>
    <w:rsid w:val="00FE5550"/>
    <w:rsid w:val="00FE60EE"/>
    <w:rsid w:val="00FF0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A6F83"/>
  <w15:chartTrackingRefBased/>
  <w15:docId w15:val="{F785B938-77E3-C645-B727-02E8551EB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2DD"/>
    <w:rPr>
      <w:rFonts w:ascii="Times New Roman" w:eastAsia="Times New Roman" w:hAnsi="Times New Roman" w:cs="Times New Roman"/>
    </w:rPr>
  </w:style>
  <w:style w:type="paragraph" w:styleId="Heading1">
    <w:name w:val="heading 1"/>
    <w:basedOn w:val="Normal"/>
    <w:next w:val="Normal"/>
    <w:link w:val="Heading1Char"/>
    <w:uiPriority w:val="9"/>
    <w:qFormat/>
    <w:rsid w:val="00C9475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455CCD"/>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5422C"/>
    <w:rPr>
      <w:color w:val="0000FF"/>
      <w:u w:val="single"/>
    </w:rPr>
  </w:style>
  <w:style w:type="character" w:styleId="UnresolvedMention">
    <w:name w:val="Unresolved Mention"/>
    <w:basedOn w:val="DefaultParagraphFont"/>
    <w:uiPriority w:val="99"/>
    <w:semiHidden/>
    <w:unhideWhenUsed/>
    <w:rsid w:val="007C27BE"/>
    <w:rPr>
      <w:color w:val="605E5C"/>
      <w:shd w:val="clear" w:color="auto" w:fill="E1DFDD"/>
    </w:rPr>
  </w:style>
  <w:style w:type="paragraph" w:styleId="NormalWeb">
    <w:name w:val="Normal (Web)"/>
    <w:basedOn w:val="Normal"/>
    <w:uiPriority w:val="99"/>
    <w:unhideWhenUsed/>
    <w:rsid w:val="007C27BE"/>
    <w:pPr>
      <w:spacing w:before="100" w:beforeAutospacing="1" w:after="100" w:afterAutospacing="1"/>
    </w:pPr>
  </w:style>
  <w:style w:type="character" w:styleId="Strong">
    <w:name w:val="Strong"/>
    <w:basedOn w:val="DefaultParagraphFont"/>
    <w:uiPriority w:val="22"/>
    <w:qFormat/>
    <w:rsid w:val="007C27BE"/>
    <w:rPr>
      <w:b/>
      <w:bCs/>
    </w:rPr>
  </w:style>
  <w:style w:type="paragraph" w:styleId="HTMLPreformatted">
    <w:name w:val="HTML Preformatted"/>
    <w:basedOn w:val="Normal"/>
    <w:link w:val="HTMLPreformattedChar"/>
    <w:uiPriority w:val="99"/>
    <w:semiHidden/>
    <w:unhideWhenUsed/>
    <w:rsid w:val="00CD6A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D6AD3"/>
    <w:rPr>
      <w:rFonts w:ascii="Courier New" w:eastAsia="Times New Roman" w:hAnsi="Courier New" w:cs="Courier New"/>
      <w:sz w:val="20"/>
      <w:szCs w:val="20"/>
    </w:rPr>
  </w:style>
  <w:style w:type="character" w:styleId="PlaceholderText">
    <w:name w:val="Placeholder Text"/>
    <w:basedOn w:val="DefaultParagraphFont"/>
    <w:uiPriority w:val="99"/>
    <w:semiHidden/>
    <w:rsid w:val="0036390C"/>
    <w:rPr>
      <w:color w:val="808080"/>
    </w:rPr>
  </w:style>
  <w:style w:type="character" w:customStyle="1" w:styleId="katex-mathml">
    <w:name w:val="katex-mathml"/>
    <w:basedOn w:val="DefaultParagraphFont"/>
    <w:rsid w:val="005842DD"/>
  </w:style>
  <w:style w:type="character" w:customStyle="1" w:styleId="mord">
    <w:name w:val="mord"/>
    <w:basedOn w:val="DefaultParagraphFont"/>
    <w:rsid w:val="005842DD"/>
  </w:style>
  <w:style w:type="paragraph" w:styleId="ListParagraph">
    <w:name w:val="List Paragraph"/>
    <w:basedOn w:val="Normal"/>
    <w:uiPriority w:val="34"/>
    <w:qFormat/>
    <w:rsid w:val="00297A07"/>
    <w:pPr>
      <w:ind w:left="720"/>
      <w:contextualSpacing/>
    </w:pPr>
  </w:style>
  <w:style w:type="character" w:customStyle="1" w:styleId="vlist-s">
    <w:name w:val="vlist-s"/>
    <w:basedOn w:val="DefaultParagraphFont"/>
    <w:rsid w:val="0079552D"/>
  </w:style>
  <w:style w:type="paragraph" w:customStyle="1" w:styleId="yiv8714890903msonormal">
    <w:name w:val="yiv8714890903msonormal"/>
    <w:basedOn w:val="Normal"/>
    <w:rsid w:val="00FA24D9"/>
    <w:pPr>
      <w:spacing w:before="100" w:beforeAutospacing="1" w:after="100" w:afterAutospacing="1"/>
    </w:pPr>
  </w:style>
  <w:style w:type="character" w:customStyle="1" w:styleId="mopen">
    <w:name w:val="mopen"/>
    <w:basedOn w:val="DefaultParagraphFont"/>
    <w:rsid w:val="006F12B3"/>
  </w:style>
  <w:style w:type="character" w:customStyle="1" w:styleId="mclose">
    <w:name w:val="mclose"/>
    <w:basedOn w:val="DefaultParagraphFont"/>
    <w:rsid w:val="006F12B3"/>
  </w:style>
  <w:style w:type="character" w:customStyle="1" w:styleId="mrel">
    <w:name w:val="mrel"/>
    <w:basedOn w:val="DefaultParagraphFont"/>
    <w:rsid w:val="006F12B3"/>
  </w:style>
  <w:style w:type="table" w:styleId="TableGrid">
    <w:name w:val="Table Grid"/>
    <w:basedOn w:val="TableNormal"/>
    <w:uiPriority w:val="39"/>
    <w:rsid w:val="00D519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E1019"/>
    <w:rPr>
      <w:color w:val="954F72" w:themeColor="followedHyperlink"/>
      <w:u w:val="single"/>
    </w:rPr>
  </w:style>
  <w:style w:type="paragraph" w:styleId="Header">
    <w:name w:val="header"/>
    <w:basedOn w:val="Normal"/>
    <w:link w:val="HeaderChar"/>
    <w:uiPriority w:val="99"/>
    <w:unhideWhenUsed/>
    <w:rsid w:val="00043DE9"/>
    <w:pPr>
      <w:tabs>
        <w:tab w:val="center" w:pos="4680"/>
        <w:tab w:val="right" w:pos="9360"/>
      </w:tabs>
    </w:pPr>
  </w:style>
  <w:style w:type="character" w:customStyle="1" w:styleId="HeaderChar">
    <w:name w:val="Header Char"/>
    <w:basedOn w:val="DefaultParagraphFont"/>
    <w:link w:val="Header"/>
    <w:uiPriority w:val="99"/>
    <w:rsid w:val="00043DE9"/>
    <w:rPr>
      <w:rFonts w:ascii="Times New Roman" w:eastAsia="Times New Roman" w:hAnsi="Times New Roman" w:cs="Times New Roman"/>
    </w:rPr>
  </w:style>
  <w:style w:type="paragraph" w:styleId="Footer">
    <w:name w:val="footer"/>
    <w:basedOn w:val="Normal"/>
    <w:link w:val="FooterChar"/>
    <w:uiPriority w:val="99"/>
    <w:unhideWhenUsed/>
    <w:rsid w:val="00043DE9"/>
    <w:pPr>
      <w:tabs>
        <w:tab w:val="center" w:pos="4680"/>
        <w:tab w:val="right" w:pos="9360"/>
      </w:tabs>
    </w:pPr>
  </w:style>
  <w:style w:type="character" w:customStyle="1" w:styleId="FooterChar">
    <w:name w:val="Footer Char"/>
    <w:basedOn w:val="DefaultParagraphFont"/>
    <w:link w:val="Footer"/>
    <w:uiPriority w:val="99"/>
    <w:rsid w:val="00043DE9"/>
    <w:rPr>
      <w:rFonts w:ascii="Times New Roman" w:eastAsia="Times New Roman" w:hAnsi="Times New Roman" w:cs="Times New Roman"/>
    </w:rPr>
  </w:style>
  <w:style w:type="character" w:customStyle="1" w:styleId="Heading3Char">
    <w:name w:val="Heading 3 Char"/>
    <w:basedOn w:val="DefaultParagraphFont"/>
    <w:link w:val="Heading3"/>
    <w:uiPriority w:val="9"/>
    <w:rsid w:val="00455CCD"/>
    <w:rPr>
      <w:rFonts w:ascii="Times New Roman" w:eastAsia="Times New Roman" w:hAnsi="Times New Roman" w:cs="Times New Roman"/>
      <w:b/>
      <w:bCs/>
      <w:sz w:val="27"/>
      <w:szCs w:val="27"/>
    </w:rPr>
  </w:style>
  <w:style w:type="character" w:customStyle="1" w:styleId="whitespace-normal">
    <w:name w:val="whitespace-normal"/>
    <w:basedOn w:val="DefaultParagraphFont"/>
    <w:rsid w:val="00455CCD"/>
  </w:style>
  <w:style w:type="character" w:customStyle="1" w:styleId="Heading1Char">
    <w:name w:val="Heading 1 Char"/>
    <w:basedOn w:val="DefaultParagraphFont"/>
    <w:link w:val="Heading1"/>
    <w:uiPriority w:val="9"/>
    <w:rsid w:val="00C9475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815676">
      <w:bodyDiv w:val="1"/>
      <w:marLeft w:val="0"/>
      <w:marRight w:val="0"/>
      <w:marTop w:val="0"/>
      <w:marBottom w:val="0"/>
      <w:divBdr>
        <w:top w:val="none" w:sz="0" w:space="0" w:color="auto"/>
        <w:left w:val="none" w:sz="0" w:space="0" w:color="auto"/>
        <w:bottom w:val="none" w:sz="0" w:space="0" w:color="auto"/>
        <w:right w:val="none" w:sz="0" w:space="0" w:color="auto"/>
      </w:divBdr>
    </w:div>
    <w:div w:id="88159770">
      <w:bodyDiv w:val="1"/>
      <w:marLeft w:val="0"/>
      <w:marRight w:val="0"/>
      <w:marTop w:val="0"/>
      <w:marBottom w:val="0"/>
      <w:divBdr>
        <w:top w:val="none" w:sz="0" w:space="0" w:color="auto"/>
        <w:left w:val="none" w:sz="0" w:space="0" w:color="auto"/>
        <w:bottom w:val="none" w:sz="0" w:space="0" w:color="auto"/>
        <w:right w:val="none" w:sz="0" w:space="0" w:color="auto"/>
      </w:divBdr>
    </w:div>
    <w:div w:id="289626205">
      <w:bodyDiv w:val="1"/>
      <w:marLeft w:val="0"/>
      <w:marRight w:val="0"/>
      <w:marTop w:val="0"/>
      <w:marBottom w:val="0"/>
      <w:divBdr>
        <w:top w:val="none" w:sz="0" w:space="0" w:color="auto"/>
        <w:left w:val="none" w:sz="0" w:space="0" w:color="auto"/>
        <w:bottom w:val="none" w:sz="0" w:space="0" w:color="auto"/>
        <w:right w:val="none" w:sz="0" w:space="0" w:color="auto"/>
      </w:divBdr>
    </w:div>
    <w:div w:id="303170013">
      <w:bodyDiv w:val="1"/>
      <w:marLeft w:val="0"/>
      <w:marRight w:val="0"/>
      <w:marTop w:val="0"/>
      <w:marBottom w:val="0"/>
      <w:divBdr>
        <w:top w:val="none" w:sz="0" w:space="0" w:color="auto"/>
        <w:left w:val="none" w:sz="0" w:space="0" w:color="auto"/>
        <w:bottom w:val="none" w:sz="0" w:space="0" w:color="auto"/>
        <w:right w:val="none" w:sz="0" w:space="0" w:color="auto"/>
      </w:divBdr>
    </w:div>
    <w:div w:id="463618313">
      <w:bodyDiv w:val="1"/>
      <w:marLeft w:val="0"/>
      <w:marRight w:val="0"/>
      <w:marTop w:val="0"/>
      <w:marBottom w:val="0"/>
      <w:divBdr>
        <w:top w:val="none" w:sz="0" w:space="0" w:color="auto"/>
        <w:left w:val="none" w:sz="0" w:space="0" w:color="auto"/>
        <w:bottom w:val="none" w:sz="0" w:space="0" w:color="auto"/>
        <w:right w:val="none" w:sz="0" w:space="0" w:color="auto"/>
      </w:divBdr>
      <w:divsChild>
        <w:div w:id="1881820016">
          <w:marLeft w:val="0"/>
          <w:marRight w:val="0"/>
          <w:marTop w:val="0"/>
          <w:marBottom w:val="0"/>
          <w:divBdr>
            <w:top w:val="none" w:sz="0" w:space="0" w:color="auto"/>
            <w:left w:val="none" w:sz="0" w:space="0" w:color="auto"/>
            <w:bottom w:val="none" w:sz="0" w:space="0" w:color="auto"/>
            <w:right w:val="none" w:sz="0" w:space="0" w:color="auto"/>
          </w:divBdr>
          <w:divsChild>
            <w:div w:id="6581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1425">
      <w:bodyDiv w:val="1"/>
      <w:marLeft w:val="0"/>
      <w:marRight w:val="0"/>
      <w:marTop w:val="0"/>
      <w:marBottom w:val="0"/>
      <w:divBdr>
        <w:top w:val="none" w:sz="0" w:space="0" w:color="auto"/>
        <w:left w:val="none" w:sz="0" w:space="0" w:color="auto"/>
        <w:bottom w:val="none" w:sz="0" w:space="0" w:color="auto"/>
        <w:right w:val="none" w:sz="0" w:space="0" w:color="auto"/>
      </w:divBdr>
      <w:divsChild>
        <w:div w:id="256137506">
          <w:marLeft w:val="0"/>
          <w:marRight w:val="0"/>
          <w:marTop w:val="0"/>
          <w:marBottom w:val="0"/>
          <w:divBdr>
            <w:top w:val="none" w:sz="0" w:space="0" w:color="auto"/>
            <w:left w:val="none" w:sz="0" w:space="0" w:color="auto"/>
            <w:bottom w:val="none" w:sz="0" w:space="0" w:color="auto"/>
            <w:right w:val="none" w:sz="0" w:space="0" w:color="auto"/>
          </w:divBdr>
          <w:divsChild>
            <w:div w:id="3980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293803">
      <w:bodyDiv w:val="1"/>
      <w:marLeft w:val="0"/>
      <w:marRight w:val="0"/>
      <w:marTop w:val="0"/>
      <w:marBottom w:val="0"/>
      <w:divBdr>
        <w:top w:val="none" w:sz="0" w:space="0" w:color="auto"/>
        <w:left w:val="none" w:sz="0" w:space="0" w:color="auto"/>
        <w:bottom w:val="none" w:sz="0" w:space="0" w:color="auto"/>
        <w:right w:val="none" w:sz="0" w:space="0" w:color="auto"/>
      </w:divBdr>
    </w:div>
    <w:div w:id="631836519">
      <w:bodyDiv w:val="1"/>
      <w:marLeft w:val="0"/>
      <w:marRight w:val="0"/>
      <w:marTop w:val="0"/>
      <w:marBottom w:val="0"/>
      <w:divBdr>
        <w:top w:val="none" w:sz="0" w:space="0" w:color="auto"/>
        <w:left w:val="none" w:sz="0" w:space="0" w:color="auto"/>
        <w:bottom w:val="none" w:sz="0" w:space="0" w:color="auto"/>
        <w:right w:val="none" w:sz="0" w:space="0" w:color="auto"/>
      </w:divBdr>
    </w:div>
    <w:div w:id="749425411">
      <w:bodyDiv w:val="1"/>
      <w:marLeft w:val="0"/>
      <w:marRight w:val="0"/>
      <w:marTop w:val="0"/>
      <w:marBottom w:val="0"/>
      <w:divBdr>
        <w:top w:val="none" w:sz="0" w:space="0" w:color="auto"/>
        <w:left w:val="none" w:sz="0" w:space="0" w:color="auto"/>
        <w:bottom w:val="none" w:sz="0" w:space="0" w:color="auto"/>
        <w:right w:val="none" w:sz="0" w:space="0" w:color="auto"/>
      </w:divBdr>
    </w:div>
    <w:div w:id="810826531">
      <w:bodyDiv w:val="1"/>
      <w:marLeft w:val="0"/>
      <w:marRight w:val="0"/>
      <w:marTop w:val="0"/>
      <w:marBottom w:val="0"/>
      <w:divBdr>
        <w:top w:val="none" w:sz="0" w:space="0" w:color="auto"/>
        <w:left w:val="none" w:sz="0" w:space="0" w:color="auto"/>
        <w:bottom w:val="none" w:sz="0" w:space="0" w:color="auto"/>
        <w:right w:val="none" w:sz="0" w:space="0" w:color="auto"/>
      </w:divBdr>
    </w:div>
    <w:div w:id="931551641">
      <w:bodyDiv w:val="1"/>
      <w:marLeft w:val="0"/>
      <w:marRight w:val="0"/>
      <w:marTop w:val="0"/>
      <w:marBottom w:val="0"/>
      <w:divBdr>
        <w:top w:val="none" w:sz="0" w:space="0" w:color="auto"/>
        <w:left w:val="none" w:sz="0" w:space="0" w:color="auto"/>
        <w:bottom w:val="none" w:sz="0" w:space="0" w:color="auto"/>
        <w:right w:val="none" w:sz="0" w:space="0" w:color="auto"/>
      </w:divBdr>
    </w:div>
    <w:div w:id="956449420">
      <w:bodyDiv w:val="1"/>
      <w:marLeft w:val="0"/>
      <w:marRight w:val="0"/>
      <w:marTop w:val="0"/>
      <w:marBottom w:val="0"/>
      <w:divBdr>
        <w:top w:val="none" w:sz="0" w:space="0" w:color="auto"/>
        <w:left w:val="none" w:sz="0" w:space="0" w:color="auto"/>
        <w:bottom w:val="none" w:sz="0" w:space="0" w:color="auto"/>
        <w:right w:val="none" w:sz="0" w:space="0" w:color="auto"/>
      </w:divBdr>
    </w:div>
    <w:div w:id="1000698509">
      <w:bodyDiv w:val="1"/>
      <w:marLeft w:val="0"/>
      <w:marRight w:val="0"/>
      <w:marTop w:val="0"/>
      <w:marBottom w:val="0"/>
      <w:divBdr>
        <w:top w:val="none" w:sz="0" w:space="0" w:color="auto"/>
        <w:left w:val="none" w:sz="0" w:space="0" w:color="auto"/>
        <w:bottom w:val="none" w:sz="0" w:space="0" w:color="auto"/>
        <w:right w:val="none" w:sz="0" w:space="0" w:color="auto"/>
      </w:divBdr>
    </w:div>
    <w:div w:id="1040084615">
      <w:bodyDiv w:val="1"/>
      <w:marLeft w:val="0"/>
      <w:marRight w:val="0"/>
      <w:marTop w:val="0"/>
      <w:marBottom w:val="0"/>
      <w:divBdr>
        <w:top w:val="none" w:sz="0" w:space="0" w:color="auto"/>
        <w:left w:val="none" w:sz="0" w:space="0" w:color="auto"/>
        <w:bottom w:val="none" w:sz="0" w:space="0" w:color="auto"/>
        <w:right w:val="none" w:sz="0" w:space="0" w:color="auto"/>
      </w:divBdr>
    </w:div>
    <w:div w:id="1046636910">
      <w:bodyDiv w:val="1"/>
      <w:marLeft w:val="0"/>
      <w:marRight w:val="0"/>
      <w:marTop w:val="0"/>
      <w:marBottom w:val="0"/>
      <w:divBdr>
        <w:top w:val="none" w:sz="0" w:space="0" w:color="auto"/>
        <w:left w:val="none" w:sz="0" w:space="0" w:color="auto"/>
        <w:bottom w:val="none" w:sz="0" w:space="0" w:color="auto"/>
        <w:right w:val="none" w:sz="0" w:space="0" w:color="auto"/>
      </w:divBdr>
    </w:div>
    <w:div w:id="1065953818">
      <w:bodyDiv w:val="1"/>
      <w:marLeft w:val="0"/>
      <w:marRight w:val="0"/>
      <w:marTop w:val="0"/>
      <w:marBottom w:val="0"/>
      <w:divBdr>
        <w:top w:val="none" w:sz="0" w:space="0" w:color="auto"/>
        <w:left w:val="none" w:sz="0" w:space="0" w:color="auto"/>
        <w:bottom w:val="none" w:sz="0" w:space="0" w:color="auto"/>
        <w:right w:val="none" w:sz="0" w:space="0" w:color="auto"/>
      </w:divBdr>
      <w:divsChild>
        <w:div w:id="350574776">
          <w:marLeft w:val="0"/>
          <w:marRight w:val="0"/>
          <w:marTop w:val="0"/>
          <w:marBottom w:val="0"/>
          <w:divBdr>
            <w:top w:val="none" w:sz="0" w:space="0" w:color="auto"/>
            <w:left w:val="none" w:sz="0" w:space="0" w:color="auto"/>
            <w:bottom w:val="none" w:sz="0" w:space="0" w:color="auto"/>
            <w:right w:val="none" w:sz="0" w:space="0" w:color="auto"/>
          </w:divBdr>
          <w:divsChild>
            <w:div w:id="138282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28082">
      <w:bodyDiv w:val="1"/>
      <w:marLeft w:val="0"/>
      <w:marRight w:val="0"/>
      <w:marTop w:val="0"/>
      <w:marBottom w:val="0"/>
      <w:divBdr>
        <w:top w:val="none" w:sz="0" w:space="0" w:color="auto"/>
        <w:left w:val="none" w:sz="0" w:space="0" w:color="auto"/>
        <w:bottom w:val="none" w:sz="0" w:space="0" w:color="auto"/>
        <w:right w:val="none" w:sz="0" w:space="0" w:color="auto"/>
      </w:divBdr>
    </w:div>
    <w:div w:id="1351645965">
      <w:bodyDiv w:val="1"/>
      <w:marLeft w:val="0"/>
      <w:marRight w:val="0"/>
      <w:marTop w:val="0"/>
      <w:marBottom w:val="0"/>
      <w:divBdr>
        <w:top w:val="none" w:sz="0" w:space="0" w:color="auto"/>
        <w:left w:val="none" w:sz="0" w:space="0" w:color="auto"/>
        <w:bottom w:val="none" w:sz="0" w:space="0" w:color="auto"/>
        <w:right w:val="none" w:sz="0" w:space="0" w:color="auto"/>
      </w:divBdr>
    </w:div>
    <w:div w:id="1391726902">
      <w:bodyDiv w:val="1"/>
      <w:marLeft w:val="0"/>
      <w:marRight w:val="0"/>
      <w:marTop w:val="0"/>
      <w:marBottom w:val="0"/>
      <w:divBdr>
        <w:top w:val="none" w:sz="0" w:space="0" w:color="auto"/>
        <w:left w:val="none" w:sz="0" w:space="0" w:color="auto"/>
        <w:bottom w:val="none" w:sz="0" w:space="0" w:color="auto"/>
        <w:right w:val="none" w:sz="0" w:space="0" w:color="auto"/>
      </w:divBdr>
    </w:div>
    <w:div w:id="1453012630">
      <w:bodyDiv w:val="1"/>
      <w:marLeft w:val="0"/>
      <w:marRight w:val="0"/>
      <w:marTop w:val="0"/>
      <w:marBottom w:val="0"/>
      <w:divBdr>
        <w:top w:val="none" w:sz="0" w:space="0" w:color="auto"/>
        <w:left w:val="none" w:sz="0" w:space="0" w:color="auto"/>
        <w:bottom w:val="none" w:sz="0" w:space="0" w:color="auto"/>
        <w:right w:val="none" w:sz="0" w:space="0" w:color="auto"/>
      </w:divBdr>
    </w:div>
    <w:div w:id="1543204494">
      <w:bodyDiv w:val="1"/>
      <w:marLeft w:val="0"/>
      <w:marRight w:val="0"/>
      <w:marTop w:val="0"/>
      <w:marBottom w:val="0"/>
      <w:divBdr>
        <w:top w:val="none" w:sz="0" w:space="0" w:color="auto"/>
        <w:left w:val="none" w:sz="0" w:space="0" w:color="auto"/>
        <w:bottom w:val="none" w:sz="0" w:space="0" w:color="auto"/>
        <w:right w:val="none" w:sz="0" w:space="0" w:color="auto"/>
      </w:divBdr>
    </w:div>
    <w:div w:id="1624653721">
      <w:bodyDiv w:val="1"/>
      <w:marLeft w:val="0"/>
      <w:marRight w:val="0"/>
      <w:marTop w:val="0"/>
      <w:marBottom w:val="0"/>
      <w:divBdr>
        <w:top w:val="none" w:sz="0" w:space="0" w:color="auto"/>
        <w:left w:val="none" w:sz="0" w:space="0" w:color="auto"/>
        <w:bottom w:val="none" w:sz="0" w:space="0" w:color="auto"/>
        <w:right w:val="none" w:sz="0" w:space="0" w:color="auto"/>
      </w:divBdr>
    </w:div>
    <w:div w:id="1639064570">
      <w:bodyDiv w:val="1"/>
      <w:marLeft w:val="0"/>
      <w:marRight w:val="0"/>
      <w:marTop w:val="0"/>
      <w:marBottom w:val="0"/>
      <w:divBdr>
        <w:top w:val="none" w:sz="0" w:space="0" w:color="auto"/>
        <w:left w:val="none" w:sz="0" w:space="0" w:color="auto"/>
        <w:bottom w:val="none" w:sz="0" w:space="0" w:color="auto"/>
        <w:right w:val="none" w:sz="0" w:space="0" w:color="auto"/>
      </w:divBdr>
    </w:div>
    <w:div w:id="1673753453">
      <w:bodyDiv w:val="1"/>
      <w:marLeft w:val="0"/>
      <w:marRight w:val="0"/>
      <w:marTop w:val="0"/>
      <w:marBottom w:val="0"/>
      <w:divBdr>
        <w:top w:val="none" w:sz="0" w:space="0" w:color="auto"/>
        <w:left w:val="none" w:sz="0" w:space="0" w:color="auto"/>
        <w:bottom w:val="none" w:sz="0" w:space="0" w:color="auto"/>
        <w:right w:val="none" w:sz="0" w:space="0" w:color="auto"/>
      </w:divBdr>
    </w:div>
    <w:div w:id="1856457937">
      <w:bodyDiv w:val="1"/>
      <w:marLeft w:val="0"/>
      <w:marRight w:val="0"/>
      <w:marTop w:val="0"/>
      <w:marBottom w:val="0"/>
      <w:divBdr>
        <w:top w:val="none" w:sz="0" w:space="0" w:color="auto"/>
        <w:left w:val="none" w:sz="0" w:space="0" w:color="auto"/>
        <w:bottom w:val="none" w:sz="0" w:space="0" w:color="auto"/>
        <w:right w:val="none" w:sz="0" w:space="0" w:color="auto"/>
      </w:divBdr>
    </w:div>
    <w:div w:id="1917468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sv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9</Pages>
  <Words>2740</Words>
  <Characters>15622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Liladhar Paudel</cp:lastModifiedBy>
  <cp:revision>19</cp:revision>
  <dcterms:created xsi:type="dcterms:W3CDTF">2026-04-08T04:34:00Z</dcterms:created>
  <dcterms:modified xsi:type="dcterms:W3CDTF">2026-04-09T07:36:00Z</dcterms:modified>
</cp:coreProperties>
</file>