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11C1E" w14:textId="77777777" w:rsidR="001A234B" w:rsidRPr="00BF4711" w:rsidRDefault="001A234B" w:rsidP="0026028D">
      <w:pPr>
        <w:pStyle w:val="yiv8714890903msonormal"/>
        <w:shd w:val="clear" w:color="auto" w:fill="FFFFFF"/>
        <w:spacing w:before="0" w:beforeAutospacing="0" w:after="0" w:afterAutospacing="0"/>
        <w:contextualSpacing/>
        <w:rPr>
          <w:b/>
          <w:bCs/>
          <w:color w:val="1D1D1D"/>
        </w:rPr>
      </w:pPr>
    </w:p>
    <w:p w14:paraId="1EF29801" w14:textId="6F1DAB77" w:rsidR="00C9475C" w:rsidRDefault="00F974CB" w:rsidP="00C9475C">
      <w:pPr>
        <w:pStyle w:val="Heading1"/>
        <w:shd w:val="clear" w:color="auto" w:fill="FFFFFF"/>
        <w:spacing w:before="261" w:after="174"/>
        <w:rPr>
          <w:rFonts w:ascii="Segoe UI" w:hAnsi="Segoe UI" w:cs="Segoe UI"/>
          <w:sz w:val="44"/>
          <w:szCs w:val="44"/>
        </w:rPr>
      </w:pPr>
      <w:r w:rsidRPr="00BF4711">
        <w:rPr>
          <w:b/>
          <w:bCs/>
          <w:color w:val="1D1D1D"/>
        </w:rPr>
        <w:t>Title:</w:t>
      </w:r>
      <w:r w:rsidR="001A234B" w:rsidRPr="00BF4711">
        <w:rPr>
          <w:b/>
          <w:bCs/>
          <w:color w:val="1D1D1D"/>
        </w:rPr>
        <w:t xml:space="preserve"> </w:t>
      </w:r>
      <w:r w:rsidR="008F00E4" w:rsidRPr="008F00E4">
        <w:rPr>
          <w:rFonts w:ascii="Times New Roman" w:eastAsiaTheme="minorHAnsi" w:hAnsi="Times New Roman" w:cs="Times New Roman"/>
          <w:color w:val="auto"/>
          <w:sz w:val="24"/>
          <w:szCs w:val="24"/>
        </w:rPr>
        <w:t>Multi-Subject Analysis of Hair Cycle Dynamics: A Sub-compartmentalized SIR-Based ODE Modeling.</w:t>
      </w:r>
    </w:p>
    <w:p w14:paraId="3616224A" w14:textId="00DC4FEB" w:rsidR="008376BF" w:rsidRPr="00BF4711" w:rsidRDefault="008376BF" w:rsidP="0026028D">
      <w:pPr>
        <w:pStyle w:val="yiv8714890903msonormal"/>
        <w:shd w:val="clear" w:color="auto" w:fill="FFFFFF"/>
        <w:spacing w:before="0" w:beforeAutospacing="0" w:after="0" w:afterAutospacing="0"/>
        <w:contextualSpacing/>
        <w:rPr>
          <w:color w:val="1D1D1D"/>
        </w:rPr>
      </w:pPr>
    </w:p>
    <w:p w14:paraId="07C30B76" w14:textId="77777777" w:rsidR="00423836" w:rsidRDefault="00423836" w:rsidP="0026028D">
      <w:pPr>
        <w:pStyle w:val="yiv8714890903msonormal"/>
        <w:shd w:val="clear" w:color="auto" w:fill="FFFFFF"/>
        <w:spacing w:before="0" w:beforeAutospacing="0" w:after="0" w:afterAutospacing="0"/>
        <w:contextualSpacing/>
        <w:rPr>
          <w:rFonts w:eastAsiaTheme="minorHAnsi"/>
        </w:rPr>
      </w:pPr>
    </w:p>
    <w:p w14:paraId="4818F3C8" w14:textId="77777777" w:rsidR="00115B70" w:rsidRPr="00BF4711" w:rsidRDefault="00115B70" w:rsidP="0026028D">
      <w:pPr>
        <w:pStyle w:val="yiv8714890903msonormal"/>
        <w:shd w:val="clear" w:color="auto" w:fill="FFFFFF"/>
        <w:spacing w:before="0" w:beforeAutospacing="0" w:after="0" w:afterAutospacing="0"/>
        <w:contextualSpacing/>
        <w:rPr>
          <w:rFonts w:eastAsiaTheme="minorHAnsi"/>
        </w:rPr>
      </w:pPr>
    </w:p>
    <w:p w14:paraId="1FB97AB1" w14:textId="152DD522" w:rsidR="00486339" w:rsidRPr="00BF4711" w:rsidRDefault="00E16788" w:rsidP="0026028D">
      <w:pPr>
        <w:pStyle w:val="yiv8714890903msonormal"/>
        <w:shd w:val="clear" w:color="auto" w:fill="FFFFFF"/>
        <w:spacing w:before="0" w:beforeAutospacing="0" w:after="0" w:afterAutospacing="0"/>
        <w:contextualSpacing/>
        <w:rPr>
          <w:color w:val="1D1D1D"/>
        </w:rPr>
      </w:pPr>
      <w:r w:rsidRPr="00BF4711">
        <w:rPr>
          <w:b/>
          <w:bCs/>
          <w:color w:val="1D1D1D"/>
        </w:rPr>
        <w:t>Contributors:</w:t>
      </w:r>
    </w:p>
    <w:p w14:paraId="75BDC14C" w14:textId="77777777" w:rsidR="00AB34AC" w:rsidRPr="00BF4711" w:rsidRDefault="00AB34AC" w:rsidP="0026028D">
      <w:pPr>
        <w:pStyle w:val="yiv8714890903msonormal"/>
        <w:shd w:val="clear" w:color="auto" w:fill="FFFFFF"/>
        <w:spacing w:before="0" w:beforeAutospacing="0" w:after="0" w:afterAutospacing="0"/>
        <w:contextualSpacing/>
        <w:rPr>
          <w:color w:val="1D1D1D"/>
        </w:rPr>
      </w:pPr>
    </w:p>
    <w:p w14:paraId="6E31C461" w14:textId="1A56245D" w:rsidR="00486339" w:rsidRPr="00BF4711" w:rsidRDefault="00DB45F6" w:rsidP="0026028D">
      <w:pPr>
        <w:pStyle w:val="yiv8714890903msonormal"/>
        <w:shd w:val="clear" w:color="auto" w:fill="FFFFFF"/>
        <w:spacing w:before="0" w:beforeAutospacing="0" w:after="0" w:afterAutospacing="0"/>
        <w:contextualSpacing/>
        <w:rPr>
          <w:color w:val="1D1D1D"/>
        </w:rPr>
      </w:pPr>
      <w:r w:rsidRPr="00BF4711">
        <w:rPr>
          <w:color w:val="1D1D1D"/>
        </w:rPr>
        <w:t>A</w:t>
      </w:r>
      <w:r w:rsidR="00486339" w:rsidRPr="00BF4711">
        <w:rPr>
          <w:color w:val="1D1D1D"/>
        </w:rPr>
        <w:t>sfaw, Yoseph</w:t>
      </w:r>
    </w:p>
    <w:p w14:paraId="3C8C98EE" w14:textId="6F1E3177" w:rsidR="00E16788" w:rsidRPr="00BF4711" w:rsidRDefault="00486339" w:rsidP="0026028D">
      <w:pPr>
        <w:pStyle w:val="yiv8714890903msonormal"/>
        <w:shd w:val="clear" w:color="auto" w:fill="FFFFFF"/>
        <w:spacing w:before="0" w:beforeAutospacing="0" w:after="0" w:afterAutospacing="0"/>
        <w:contextualSpacing/>
        <w:rPr>
          <w:color w:val="1D1D1D"/>
        </w:rPr>
      </w:pPr>
      <w:r w:rsidRPr="00BF4711">
        <w:rPr>
          <w:color w:val="1D1D1D"/>
        </w:rPr>
        <w:t>Paudel, Liladhar</w:t>
      </w:r>
    </w:p>
    <w:p w14:paraId="197870D0" w14:textId="77777777" w:rsidR="00E16788" w:rsidRPr="00BF4711" w:rsidRDefault="00E16788" w:rsidP="0026028D">
      <w:pPr>
        <w:pStyle w:val="yiv8714890903msonormal"/>
        <w:shd w:val="clear" w:color="auto" w:fill="FFFFFF"/>
        <w:spacing w:before="0" w:beforeAutospacing="0" w:after="0" w:afterAutospacing="0"/>
        <w:contextualSpacing/>
        <w:rPr>
          <w:rFonts w:eastAsiaTheme="minorHAnsi"/>
        </w:rPr>
      </w:pPr>
    </w:p>
    <w:p w14:paraId="29E8A754" w14:textId="77777777" w:rsidR="0047789C" w:rsidRPr="00BF4711" w:rsidRDefault="0047789C" w:rsidP="0026028D">
      <w:pPr>
        <w:pStyle w:val="yiv8714890903msonormal"/>
        <w:shd w:val="clear" w:color="auto" w:fill="FFFFFF"/>
        <w:spacing w:before="0" w:beforeAutospacing="0" w:after="0" w:afterAutospacing="0"/>
        <w:contextualSpacing/>
        <w:rPr>
          <w:b/>
          <w:bCs/>
          <w:color w:val="1D1D1D"/>
        </w:rPr>
      </w:pPr>
    </w:p>
    <w:p w14:paraId="06E8E36B" w14:textId="60F25B00" w:rsidR="00FA24D9" w:rsidRPr="00BF4711" w:rsidRDefault="00FA24D9" w:rsidP="0026028D">
      <w:pPr>
        <w:pStyle w:val="yiv8714890903msonormal"/>
        <w:shd w:val="clear" w:color="auto" w:fill="FFFFFF"/>
        <w:spacing w:before="0" w:beforeAutospacing="0" w:after="0" w:afterAutospacing="0"/>
        <w:contextualSpacing/>
        <w:rPr>
          <w:color w:val="1D1D1D"/>
        </w:rPr>
      </w:pPr>
      <w:r w:rsidRPr="00BF4711">
        <w:rPr>
          <w:b/>
          <w:bCs/>
          <w:color w:val="1D1D1D"/>
        </w:rPr>
        <w:t xml:space="preserve">Abstract </w:t>
      </w:r>
    </w:p>
    <w:p w14:paraId="2F692590" w14:textId="77777777" w:rsidR="00FA24D9" w:rsidRPr="00BF4711" w:rsidRDefault="00FA24D9" w:rsidP="0026028D">
      <w:pPr>
        <w:pStyle w:val="yiv8714890903msonormal"/>
        <w:shd w:val="clear" w:color="auto" w:fill="FFFFFF"/>
        <w:spacing w:before="0" w:beforeAutospacing="0" w:after="0" w:afterAutospacing="0"/>
        <w:contextualSpacing/>
        <w:rPr>
          <w:color w:val="1D1D1D"/>
        </w:rPr>
      </w:pPr>
      <w:r w:rsidRPr="00BF4711">
        <w:rPr>
          <w:color w:val="1D1D1D"/>
        </w:rPr>
        <w:t> </w:t>
      </w:r>
    </w:p>
    <w:p w14:paraId="042176E0" w14:textId="5D16FBFD" w:rsidR="00FA24D9" w:rsidRDefault="00FA24D9" w:rsidP="0026028D">
      <w:pPr>
        <w:contextualSpacing/>
        <w:rPr>
          <w:b/>
        </w:rPr>
      </w:pPr>
    </w:p>
    <w:p w14:paraId="20DE8F8C" w14:textId="77777777" w:rsidR="00115B70" w:rsidRPr="00BF4711" w:rsidRDefault="00115B70" w:rsidP="0026028D">
      <w:pPr>
        <w:contextualSpacing/>
        <w:rPr>
          <w:b/>
        </w:rPr>
      </w:pPr>
    </w:p>
    <w:p w14:paraId="12DA1F1B" w14:textId="77777777" w:rsidR="00306D3B" w:rsidRPr="00BF4711" w:rsidRDefault="00636F80" w:rsidP="0026028D">
      <w:pPr>
        <w:pStyle w:val="ListParagraph"/>
        <w:numPr>
          <w:ilvl w:val="0"/>
          <w:numId w:val="1"/>
        </w:numPr>
        <w:ind w:left="360"/>
        <w:rPr>
          <w:b/>
        </w:rPr>
      </w:pPr>
      <w:r w:rsidRPr="00BF4711">
        <w:rPr>
          <w:b/>
        </w:rPr>
        <w:t>Introduction</w:t>
      </w:r>
    </w:p>
    <w:p w14:paraId="5966A298"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Hair loss is a highly prevalent condition that affects individuals across a wide range of ages and both genders. Beyond its physiological aspects, hair loss has significant psychological and social implications, often impacting self-confidence, mental well-being, and even professional opportunities. As a result, understanding and predicting hair loss progression has become an important problem in both clinical and research settings.</w:t>
      </w:r>
    </w:p>
    <w:p w14:paraId="51788938"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Currently, many clinical procedures for evaluating hair loss and forecasting its future severity rely heavily on manual assessment and expert judgment. These approaches, while valuable, are often subjective and may lack consistency and scalability. This limitation has motivated substantial research into quantitative and computational models that can systematically describe hair follicle behavior over time.</w:t>
      </w:r>
    </w:p>
    <w:p w14:paraId="183507AE"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 xml:space="preserve">Hair follicles undergo a cyclic process consisting of three primary phases: anagen (growth phase), catagen (transition phase), and telogen (resting phase). Transitions between these phases are regulated by complex interactions of biochemical signals, including proteins such as </w:t>
      </w:r>
      <w:proofErr w:type="spellStart"/>
      <w:r w:rsidRPr="00455CCD">
        <w:rPr>
          <w:rFonts w:eastAsiaTheme="minorHAnsi"/>
        </w:rPr>
        <w:t>Wnt</w:t>
      </w:r>
      <w:proofErr w:type="spellEnd"/>
      <w:r w:rsidRPr="00455CCD">
        <w:rPr>
          <w:rFonts w:eastAsiaTheme="minorHAnsi"/>
        </w:rPr>
        <w:t xml:space="preserve"> and various hormones. Over the years, several studies have proposed mathematical models—particularly systems of ordinary differential equations (ODEs)—to capture these dynamics. For example, Al-Nuaimi et al. (2012) introduced a compartment-based model demonstrating oscillatory switching between growth and resting states, while Wang et al. (2017) developed a multi-scale framework to model spatial propagation of follicle activation. More recently, Alzubadi (2024) incorporated immune system interactions to better explain pathological conditions such as alopecia.</w:t>
      </w:r>
    </w:p>
    <w:p w14:paraId="45746BFD" w14:textId="77777777" w:rsidR="00455CCD" w:rsidRPr="00455CCD" w:rsidRDefault="00455CCD" w:rsidP="00455CCD">
      <w:pPr>
        <w:spacing w:before="100" w:beforeAutospacing="1" w:after="100" w:afterAutospacing="1"/>
        <w:jc w:val="both"/>
        <w:rPr>
          <w:rFonts w:eastAsiaTheme="minorHAnsi"/>
        </w:rPr>
      </w:pPr>
      <w:r w:rsidRPr="00455CCD">
        <w:rPr>
          <w:rFonts w:eastAsiaTheme="minorHAnsi"/>
        </w:rPr>
        <w:t>Despite differences in biological detail, these models share a common structural feature: they describe populations of follicles transitioning between discrete states. This structure closely resembles compartmental models widely used in epidemiology, particularly the SIR model, where individuals transition between susceptible, infected, and recovered states.</w:t>
      </w:r>
    </w:p>
    <w:p w14:paraId="1E5F9138" w14:textId="1BC1CB3B" w:rsidR="00455CCD" w:rsidRDefault="00455CCD" w:rsidP="00455CCD">
      <w:pPr>
        <w:spacing w:before="100" w:beforeAutospacing="1" w:after="100" w:afterAutospacing="1"/>
        <w:jc w:val="both"/>
        <w:rPr>
          <w:rFonts w:eastAsiaTheme="minorHAnsi"/>
        </w:rPr>
      </w:pPr>
      <w:r w:rsidRPr="00455CCD">
        <w:rPr>
          <w:rFonts w:eastAsiaTheme="minorHAnsi"/>
        </w:rPr>
        <w:lastRenderedPageBreak/>
        <w:t>Motivated by this analogy, this work formulates hair follicle dynamics within an SIR-inspired framework. By leveraging the mathematical simplicity and interpretability of compartmental models, we aim to provide a tractable yet insightful representation of follicle state transitions, enabling deeper analysis of hair growth dynamics and potential progression toward hair loss.</w:t>
      </w:r>
    </w:p>
    <w:p w14:paraId="211FE237" w14:textId="77777777" w:rsidR="00C9475C" w:rsidRPr="00C9475C" w:rsidRDefault="00C9475C" w:rsidP="00C9475C">
      <w:pPr>
        <w:pStyle w:val="NormalWeb"/>
        <w:jc w:val="both"/>
        <w:rPr>
          <w:rFonts w:eastAsiaTheme="minorHAnsi"/>
        </w:rPr>
      </w:pPr>
      <w:r w:rsidRPr="00C9475C">
        <w:rPr>
          <w:rFonts w:eastAsiaTheme="minorHAnsi"/>
        </w:rPr>
        <w:t>Due to the lack of accessible longitudinal clinical data, we estimated the parameters of the proposed ODE system using nonlinear regression on synthetically generated data. Specifically, we leveraged the stochastic framework presented in Halloy et al. (2026), which provides statistical characteristics for both alopecic and non-alopecic populations. Using this framework, we implemented an agent-based simulation to generate realistic time-series data for follicle state transitions.</w:t>
      </w:r>
    </w:p>
    <w:p w14:paraId="5F360A7B" w14:textId="77777777" w:rsidR="00C9475C" w:rsidRPr="00C9475C" w:rsidRDefault="00C9475C" w:rsidP="00C9475C">
      <w:pPr>
        <w:pStyle w:val="NormalWeb"/>
        <w:jc w:val="both"/>
        <w:rPr>
          <w:rFonts w:eastAsiaTheme="minorHAnsi"/>
        </w:rPr>
      </w:pPr>
      <w:r w:rsidRPr="00C9475C">
        <w:rPr>
          <w:rFonts w:eastAsiaTheme="minorHAnsi"/>
        </w:rPr>
        <w:t>The proposed model demonstrates a strong fit to the generated data, yielding parameter values that are consistent with known biological interpretations of hair follicle dynamics. However, initial analysis of the residuals indicated that a simple three-compartment formulation fails to capture the full temporal structure of the system, particularly its non-memoryless behavior.</w:t>
      </w:r>
    </w:p>
    <w:p w14:paraId="373CFADC" w14:textId="684D05EB" w:rsidR="00C9475C" w:rsidRPr="00C9475C" w:rsidRDefault="00C9475C" w:rsidP="00C9475C">
      <w:pPr>
        <w:pStyle w:val="NormalWeb"/>
        <w:jc w:val="both"/>
        <w:rPr>
          <w:rFonts w:eastAsiaTheme="minorHAnsi"/>
        </w:rPr>
      </w:pPr>
      <w:r w:rsidRPr="00C9475C">
        <w:rPr>
          <w:rFonts w:eastAsiaTheme="minorHAnsi"/>
        </w:rPr>
        <w:t>To address this limitation, we extended the model by introducing sub</w:t>
      </w:r>
      <w:r>
        <w:rPr>
          <w:rFonts w:eastAsiaTheme="minorHAnsi"/>
        </w:rPr>
        <w:t>-</w:t>
      </w:r>
      <w:r w:rsidRPr="00C9475C">
        <w:rPr>
          <w:rFonts w:eastAsiaTheme="minorHAnsi"/>
        </w:rPr>
        <w:t xml:space="preserve">compartments within the primary states </w:t>
      </w:r>
      <w:r w:rsidR="0072372B">
        <w:rPr>
          <w:rFonts w:eastAsiaTheme="minorHAnsi"/>
        </w:rPr>
        <w:t xml:space="preserve">of </w:t>
      </w:r>
      <w:r w:rsidRPr="00C9475C">
        <w:rPr>
          <w:rFonts w:eastAsiaTheme="minorHAnsi"/>
        </w:rPr>
        <w:t>anagen</w:t>
      </w:r>
      <w:r w:rsidR="0072372B">
        <w:rPr>
          <w:rFonts w:eastAsiaTheme="minorHAnsi"/>
        </w:rPr>
        <w:t xml:space="preserve"> </w:t>
      </w:r>
      <w:r w:rsidRPr="00C9475C">
        <w:rPr>
          <w:rFonts w:eastAsiaTheme="minorHAnsi"/>
        </w:rPr>
        <w:t>and telogen. This refinement allows the system to better represent delayed transitions and internal phase heterogeneity, resulting in improved alignment with observed follicle dynamics.</w:t>
      </w:r>
    </w:p>
    <w:p w14:paraId="6F0B1824" w14:textId="77777777" w:rsidR="00FA181F" w:rsidRPr="00BF4711" w:rsidRDefault="00FA181F" w:rsidP="0026028D">
      <w:pPr>
        <w:pStyle w:val="NormalWeb"/>
        <w:spacing w:before="0" w:beforeAutospacing="0" w:after="0" w:afterAutospacing="0"/>
        <w:contextualSpacing/>
        <w:jc w:val="both"/>
        <w:rPr>
          <w:rFonts w:eastAsiaTheme="minorHAnsi"/>
        </w:rPr>
      </w:pPr>
    </w:p>
    <w:p w14:paraId="1B940DD7" w14:textId="77777777" w:rsidR="00636F80" w:rsidRPr="00BF4711" w:rsidRDefault="007C27BE" w:rsidP="0026028D">
      <w:pPr>
        <w:pStyle w:val="ListParagraph"/>
        <w:numPr>
          <w:ilvl w:val="0"/>
          <w:numId w:val="1"/>
        </w:numPr>
        <w:ind w:left="360"/>
        <w:rPr>
          <w:b/>
        </w:rPr>
      </w:pPr>
      <w:r w:rsidRPr="00BF4711">
        <w:rPr>
          <w:b/>
        </w:rPr>
        <w:t xml:space="preserve"> </w:t>
      </w:r>
      <w:r w:rsidR="00BF7982" w:rsidRPr="00BF4711">
        <w:rPr>
          <w:b/>
        </w:rPr>
        <w:t>Model Description</w:t>
      </w:r>
    </w:p>
    <w:p w14:paraId="000561EF" w14:textId="77777777" w:rsidR="006E3E30" w:rsidRDefault="006E3E30" w:rsidP="0026028D">
      <w:pPr>
        <w:pStyle w:val="NormalWeb"/>
        <w:spacing w:before="0" w:beforeAutospacing="0" w:after="0" w:afterAutospacing="0"/>
        <w:contextualSpacing/>
        <w:jc w:val="both"/>
        <w:rPr>
          <w:rFonts w:eastAsiaTheme="minorHAnsi"/>
        </w:rPr>
      </w:pPr>
    </w:p>
    <w:p w14:paraId="7FF28519" w14:textId="77777777" w:rsidR="00FD197F" w:rsidRPr="00FD197F" w:rsidRDefault="00FD197F" w:rsidP="00FD197F">
      <w:r w:rsidRPr="00FD197F">
        <w:t>The compartmental structure of the hair follicle life cycle—comprising the anagen, catagen, and telogen phases—is illustrated in the figure below.</w:t>
      </w:r>
    </w:p>
    <w:p w14:paraId="15150645" w14:textId="1BA8F3B0" w:rsidR="00FD197F" w:rsidRDefault="00FD197F" w:rsidP="00FD197F">
      <w:pPr>
        <w:tabs>
          <w:tab w:val="left" w:pos="3500"/>
        </w:tabs>
        <w:jc w:val="center"/>
      </w:pPr>
      <w:r>
        <w:rPr>
          <w:noProof/>
        </w:rPr>
        <w:drawing>
          <wp:inline distT="0" distB="0" distL="0" distR="0" wp14:anchorId="76768EAB" wp14:editId="17CFD848">
            <wp:extent cx="1215958" cy="2993127"/>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a_hair_cycle_diagram_TD.png"/>
                    <pic:cNvPicPr/>
                  </pic:nvPicPr>
                  <pic:blipFill>
                    <a:blip r:embed="rId7">
                      <a:extLst>
                        <a:ext uri="{28A0092B-C50C-407E-A947-70E740481C1C}">
                          <a14:useLocalDpi xmlns:a14="http://schemas.microsoft.com/office/drawing/2010/main" val="0"/>
                        </a:ext>
                      </a:extLst>
                    </a:blip>
                    <a:stretch>
                      <a:fillRect/>
                    </a:stretch>
                  </pic:blipFill>
                  <pic:spPr>
                    <a:xfrm>
                      <a:off x="0" y="0"/>
                      <a:ext cx="1216269" cy="2993893"/>
                    </a:xfrm>
                    <a:prstGeom prst="rect">
                      <a:avLst/>
                    </a:prstGeom>
                  </pic:spPr>
                </pic:pic>
              </a:graphicData>
            </a:graphic>
          </wp:inline>
        </w:drawing>
      </w:r>
    </w:p>
    <w:p w14:paraId="3B995CE3" w14:textId="48E3886A" w:rsidR="00FD197F" w:rsidRDefault="00FD197F" w:rsidP="00FD197F">
      <w:pPr>
        <w:tabs>
          <w:tab w:val="left" w:pos="3500"/>
        </w:tabs>
        <w:jc w:val="center"/>
      </w:pPr>
    </w:p>
    <w:p w14:paraId="5BF5210C" w14:textId="77777777" w:rsidR="00FD197F" w:rsidRDefault="00FD197F" w:rsidP="00FD197F">
      <w:pPr>
        <w:tabs>
          <w:tab w:val="left" w:pos="3500"/>
        </w:tabs>
        <w:jc w:val="center"/>
      </w:pPr>
    </w:p>
    <w:p w14:paraId="2ADB3D24" w14:textId="77777777" w:rsidR="00FD197F" w:rsidRDefault="00FD197F" w:rsidP="00276086">
      <w:pPr>
        <w:tabs>
          <w:tab w:val="left" w:pos="3500"/>
        </w:tabs>
      </w:pPr>
    </w:p>
    <w:p w14:paraId="6C709890" w14:textId="38A62BD7" w:rsidR="00FD197F" w:rsidRDefault="00FD197F" w:rsidP="00FC728E">
      <w:pPr>
        <w:pStyle w:val="ListParagraph"/>
        <w:tabs>
          <w:tab w:val="left" w:pos="3500"/>
        </w:tabs>
        <w:spacing w:after="120"/>
        <w:ind w:left="0"/>
        <w:contextualSpacing w:val="0"/>
      </w:pPr>
      <w:r w:rsidRPr="00FD197F">
        <w:t xml:space="preserve">The SIR-like model </w:t>
      </w:r>
      <w:r>
        <w:t>equation is:</w:t>
      </w:r>
    </w:p>
    <w:p w14:paraId="15D8D9D2" w14:textId="1B7B3633" w:rsidR="00FD197F" w:rsidRDefault="00FD197F" w:rsidP="00FD197F">
      <w:pPr>
        <w:pStyle w:val="BodyText"/>
      </w:pPr>
      <m:oMathPara>
        <m:oMathParaPr>
          <m:jc m:val="center"/>
        </m:oMathParaPr>
        <m:oMath>
          <m:f>
            <m:fPr>
              <m:ctrlPr>
                <w:rPr>
                  <w:rFonts w:ascii="Cambria Math" w:hAnsi="Cambria Math"/>
                </w:rPr>
              </m:ctrlPr>
            </m:fPr>
            <m:num>
              <m:r>
                <w:rPr>
                  <w:rFonts w:ascii="Cambria Math" w:hAnsi="Cambria Math"/>
                </w:rPr>
                <m:t>d</m:t>
              </m:r>
              <m:r>
                <w:rPr>
                  <w:rFonts w:ascii="Cambria Math" w:hAnsi="Cambria Math"/>
                </w:rPr>
                <m:t>A</m:t>
              </m:r>
            </m:num>
            <m:den>
              <m:r>
                <w:rPr>
                  <w:rFonts w:ascii="Cambria Math" w:hAnsi="Cambria Math"/>
                </w:rPr>
                <m:t>dt</m:t>
              </m:r>
            </m:den>
          </m:f>
          <m:r>
            <m:rPr>
              <m:sty m:val="p"/>
            </m:rPr>
            <w:rPr>
              <w:rFonts w:ascii="Cambria Math" w:hAnsi="Cambria Math"/>
            </w:rPr>
            <m:t>=</m:t>
          </m:r>
          <m:r>
            <w:rPr>
              <w:rFonts w:ascii="Cambria Math" w:hAnsi="Cambria Math"/>
            </w:rPr>
            <m:t>α</m:t>
          </m:r>
          <m:r>
            <w:rPr>
              <w:rFonts w:ascii="Cambria Math" w:hAnsi="Cambria Math"/>
            </w:rPr>
            <m:t>T</m:t>
          </m:r>
          <m:r>
            <m:rPr>
              <m:sty m:val="p"/>
            </m:rPr>
            <w:rPr>
              <w:rFonts w:ascii="Cambria Math" w:hAnsi="Cambria Math"/>
            </w:rPr>
            <m:t>-</m:t>
          </m:r>
          <m:r>
            <w:rPr>
              <w:rFonts w:ascii="Cambria Math" w:hAnsi="Cambria Math"/>
            </w:rPr>
            <m:t>β</m:t>
          </m:r>
          <m:r>
            <w:rPr>
              <w:rFonts w:ascii="Cambria Math" w:hAnsi="Cambria Math"/>
            </w:rPr>
            <m:t>A</m:t>
          </m:r>
        </m:oMath>
      </m:oMathPara>
    </w:p>
    <w:p w14:paraId="3B29026A" w14:textId="4A3C11FE" w:rsidR="00FD197F" w:rsidRDefault="00FD197F" w:rsidP="00FD197F">
      <w:pPr>
        <w:pStyle w:val="FirstParagraph"/>
      </w:pPr>
      <m:oMathPara>
        <m:oMathParaPr>
          <m:jc m:val="center"/>
        </m:oMathParaPr>
        <m:oMath>
          <m:f>
            <m:fPr>
              <m:ctrlPr>
                <w:rPr>
                  <w:rFonts w:ascii="Cambria Math" w:hAnsi="Cambria Math"/>
                </w:rPr>
              </m:ctrlPr>
            </m:fPr>
            <m:num>
              <m:r>
                <w:rPr>
                  <w:rFonts w:ascii="Cambria Math" w:hAnsi="Cambria Math"/>
                </w:rPr>
                <m:t>d</m:t>
              </m:r>
              <m:r>
                <w:rPr>
                  <w:rFonts w:ascii="Cambria Math" w:hAnsi="Cambria Math"/>
                </w:rPr>
                <m:t>C</m:t>
              </m:r>
            </m:num>
            <m:den>
              <m:r>
                <w:rPr>
                  <w:rFonts w:ascii="Cambria Math" w:hAnsi="Cambria Math"/>
                </w:rPr>
                <m:t>dt</m:t>
              </m:r>
            </m:den>
          </m:f>
          <m:r>
            <m:rPr>
              <m:sty m:val="p"/>
            </m:rPr>
            <w:rPr>
              <w:rFonts w:ascii="Cambria Math" w:hAnsi="Cambria Math"/>
            </w:rPr>
            <m:t>=</m:t>
          </m:r>
          <m:r>
            <w:rPr>
              <w:rFonts w:ascii="Cambria Math" w:hAnsi="Cambria Math"/>
            </w:rPr>
            <m:t>β</m:t>
          </m:r>
          <m:r>
            <w:rPr>
              <w:rFonts w:ascii="Cambria Math" w:hAnsi="Cambria Math"/>
            </w:rPr>
            <m:t>A</m:t>
          </m:r>
          <m:r>
            <m:rPr>
              <m:sty m:val="p"/>
            </m:rPr>
            <w:rPr>
              <w:rFonts w:ascii="Cambria Math" w:hAnsi="Cambria Math"/>
            </w:rPr>
            <m:t>-</m:t>
          </m:r>
          <m:r>
            <w:rPr>
              <w:rFonts w:ascii="Cambria Math" w:hAnsi="Cambria Math"/>
            </w:rPr>
            <m:t>γ</m:t>
          </m:r>
          <m:r>
            <w:rPr>
              <w:rFonts w:ascii="Cambria Math" w:hAnsi="Cambria Math"/>
            </w:rPr>
            <m:t>C</m:t>
          </m:r>
        </m:oMath>
      </m:oMathPara>
    </w:p>
    <w:p w14:paraId="2F4E6E08" w14:textId="2F0F303E" w:rsidR="00FD197F" w:rsidRDefault="00FD197F" w:rsidP="00FD197F">
      <w:pPr>
        <w:pStyle w:val="FirstParagraph"/>
      </w:pPr>
      <m:oMathPara>
        <m:oMathParaPr>
          <m:jc m:val="center"/>
        </m:oMathParaPr>
        <m:oMath>
          <m:f>
            <m:fPr>
              <m:ctrlPr>
                <w:rPr>
                  <w:rFonts w:ascii="Cambria Math" w:hAnsi="Cambria Math"/>
                </w:rPr>
              </m:ctrlPr>
            </m:fPr>
            <m:num>
              <m:r>
                <w:rPr>
                  <w:rFonts w:ascii="Cambria Math" w:hAnsi="Cambria Math"/>
                </w:rPr>
                <m:t>d</m:t>
              </m:r>
              <m:r>
                <w:rPr>
                  <w:rFonts w:ascii="Cambria Math" w:hAnsi="Cambria Math"/>
                </w:rPr>
                <m:t>T</m:t>
              </m:r>
            </m:num>
            <m:den>
              <m:r>
                <w:rPr>
                  <w:rFonts w:ascii="Cambria Math" w:hAnsi="Cambria Math"/>
                </w:rPr>
                <m:t>dt</m:t>
              </m:r>
            </m:den>
          </m:f>
          <m:r>
            <m:rPr>
              <m:sty m:val="p"/>
            </m:rPr>
            <w:rPr>
              <w:rFonts w:ascii="Cambria Math" w:hAnsi="Cambria Math"/>
            </w:rPr>
            <m:t>=</m:t>
          </m:r>
          <m:r>
            <w:rPr>
              <w:rFonts w:ascii="Cambria Math" w:hAnsi="Cambria Math"/>
            </w:rPr>
            <m:t>γ</m:t>
          </m:r>
          <m:r>
            <w:rPr>
              <w:rFonts w:ascii="Cambria Math" w:hAnsi="Cambria Math"/>
            </w:rPr>
            <m:t>C</m:t>
          </m:r>
          <m:r>
            <m:rPr>
              <m:sty m:val="p"/>
            </m:rPr>
            <w:rPr>
              <w:rFonts w:ascii="Cambria Math" w:hAnsi="Cambria Math"/>
            </w:rPr>
            <m:t>-</m:t>
          </m:r>
          <m:r>
            <w:rPr>
              <w:rFonts w:ascii="Cambria Math" w:hAnsi="Cambria Math"/>
            </w:rPr>
            <m:t>α</m:t>
          </m:r>
          <m:r>
            <w:rPr>
              <w:rFonts w:ascii="Cambria Math" w:hAnsi="Cambria Math"/>
            </w:rPr>
            <m:t>T</m:t>
          </m:r>
        </m:oMath>
      </m:oMathPara>
    </w:p>
    <w:p w14:paraId="59ECB9EF" w14:textId="6144537A" w:rsidR="00FD197F" w:rsidRDefault="00FD197F" w:rsidP="00FC728E">
      <w:pPr>
        <w:pStyle w:val="ListParagraph"/>
        <w:tabs>
          <w:tab w:val="left" w:pos="3500"/>
        </w:tabs>
        <w:spacing w:after="120"/>
        <w:ind w:left="0"/>
        <w:contextualSpacing w:val="0"/>
      </w:pPr>
    </w:p>
    <w:p w14:paraId="154368EF" w14:textId="55387851" w:rsidR="00FD197F" w:rsidRDefault="00FD197F" w:rsidP="00FC728E">
      <w:pPr>
        <w:pStyle w:val="ListParagraph"/>
        <w:tabs>
          <w:tab w:val="left" w:pos="3500"/>
        </w:tabs>
        <w:spacing w:after="120"/>
        <w:ind w:left="0"/>
        <w:contextualSpacing w:val="0"/>
      </w:pPr>
      <w:r>
        <w:t>Where:</w:t>
      </w:r>
    </w:p>
    <w:p w14:paraId="726C8ED1" w14:textId="6680F351" w:rsidR="00FD197F" w:rsidRDefault="00FD197F" w:rsidP="00FD197F">
      <w:pPr>
        <w:pStyle w:val="ListParagraph"/>
        <w:numPr>
          <w:ilvl w:val="0"/>
          <w:numId w:val="5"/>
        </w:numPr>
        <w:tabs>
          <w:tab w:val="left" w:pos="3500"/>
        </w:tabs>
        <w:spacing w:after="120"/>
        <w:contextualSpacing w:val="0"/>
      </w:pPr>
      <w:r>
        <w:t>A is number of follicles at anagen state.</w:t>
      </w:r>
    </w:p>
    <w:p w14:paraId="1496567F" w14:textId="5183A03E" w:rsidR="00FD197F" w:rsidRDefault="00FD197F" w:rsidP="00FD197F">
      <w:pPr>
        <w:pStyle w:val="ListParagraph"/>
        <w:numPr>
          <w:ilvl w:val="0"/>
          <w:numId w:val="5"/>
        </w:numPr>
        <w:tabs>
          <w:tab w:val="left" w:pos="3500"/>
        </w:tabs>
        <w:spacing w:after="120"/>
        <w:contextualSpacing w:val="0"/>
      </w:pPr>
      <w:r>
        <w:t>C is number of follicles at catagen state.</w:t>
      </w:r>
    </w:p>
    <w:p w14:paraId="05E7A021" w14:textId="0FF4EE8E" w:rsidR="00FD197F" w:rsidRPr="00FD197F" w:rsidRDefault="00FD197F" w:rsidP="00FD197F">
      <w:pPr>
        <w:pStyle w:val="ListParagraph"/>
        <w:numPr>
          <w:ilvl w:val="0"/>
          <w:numId w:val="5"/>
        </w:numPr>
        <w:tabs>
          <w:tab w:val="left" w:pos="3500"/>
        </w:tabs>
        <w:spacing w:after="120"/>
        <w:contextualSpacing w:val="0"/>
      </w:pPr>
      <w:r>
        <w:t xml:space="preserve">T is number of follicles at telogen state. </w:t>
      </w:r>
    </w:p>
    <w:p w14:paraId="30E6B2FB" w14:textId="2FDD8B85" w:rsidR="00FD197F" w:rsidRDefault="00FD197F" w:rsidP="00FC728E">
      <w:pPr>
        <w:pStyle w:val="ListParagraph"/>
        <w:tabs>
          <w:tab w:val="left" w:pos="3500"/>
        </w:tabs>
        <w:spacing w:after="120"/>
        <w:ind w:left="0"/>
        <w:contextualSpacing w:val="0"/>
        <w:rPr>
          <w:b/>
        </w:rPr>
      </w:pPr>
    </w:p>
    <w:p w14:paraId="613E3C84" w14:textId="42708957" w:rsidR="00FD197F" w:rsidRDefault="00FD197F" w:rsidP="00FC728E">
      <w:pPr>
        <w:pStyle w:val="ListParagraph"/>
        <w:tabs>
          <w:tab w:val="left" w:pos="3500"/>
        </w:tabs>
        <w:spacing w:after="120"/>
        <w:ind w:left="0"/>
        <w:contextualSpacing w:val="0"/>
      </w:pPr>
      <w:r w:rsidRPr="00FD197F">
        <w:t xml:space="preserve">The total number of </w:t>
      </w:r>
      <w:r>
        <w:t>follicles N = A + C + T is assumed constant.</w:t>
      </w:r>
    </w:p>
    <w:p w14:paraId="72519A94" w14:textId="3FA42703" w:rsidR="00FD197F" w:rsidRDefault="00FD197F" w:rsidP="00FC728E">
      <w:pPr>
        <w:pStyle w:val="ListParagraph"/>
        <w:tabs>
          <w:tab w:val="left" w:pos="3500"/>
        </w:tabs>
        <w:spacing w:after="120"/>
        <w:ind w:left="0"/>
        <w:contextualSpacing w:val="0"/>
      </w:pPr>
    </w:p>
    <w:p w14:paraId="177972B0" w14:textId="3BF74C05" w:rsidR="00FD197F" w:rsidRDefault="00FD197F" w:rsidP="00FC728E">
      <w:pPr>
        <w:pStyle w:val="ListParagraph"/>
        <w:tabs>
          <w:tab w:val="left" w:pos="3500"/>
        </w:tabs>
        <w:spacing w:after="120"/>
        <w:ind w:left="0"/>
        <w:contextualSpacing w:val="0"/>
        <w:rPr>
          <w:b/>
        </w:rPr>
      </w:pPr>
      <w:r w:rsidRPr="00FD197F">
        <w:rPr>
          <w:b/>
        </w:rPr>
        <w:t>Matrix representation and steady state analysis:</w:t>
      </w:r>
    </w:p>
    <w:p w14:paraId="192C380E" w14:textId="1571C37A" w:rsidR="00FD197F" w:rsidRPr="00FD197F" w:rsidRDefault="00FD197F" w:rsidP="00FC728E">
      <w:pPr>
        <w:pStyle w:val="ListParagraph"/>
        <w:tabs>
          <w:tab w:val="left" w:pos="3500"/>
        </w:tabs>
        <w:spacing w:after="120"/>
        <w:ind w:left="0"/>
        <w:contextualSpacing w:val="0"/>
      </w:pPr>
      <w:r w:rsidRPr="00FD197F">
        <w:t>Define a = A/N, c = C/N and r = T/N</w:t>
      </w:r>
      <w:r>
        <w:t>. The matric representation of the model becomes</w:t>
      </w:r>
    </w:p>
    <w:p w14:paraId="270A935A" w14:textId="0778AFA7" w:rsidR="00FD197F" w:rsidRDefault="00FD197F" w:rsidP="00FD197F">
      <w:pPr>
        <w:pStyle w:val="BodyText"/>
      </w:pPr>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a</m:t>
                        </m:r>
                      </m:e>
                    </m:acc>
                  </m:e>
                </m:mr>
                <m:mr>
                  <m:e>
                    <m:acc>
                      <m:accPr>
                        <m:chr m:val="̇"/>
                        <m:ctrlPr>
                          <w:rPr>
                            <w:rFonts w:ascii="Cambria Math" w:hAnsi="Cambria Math"/>
                          </w:rPr>
                        </m:ctrlPr>
                      </m:accPr>
                      <m:e>
                        <m:r>
                          <w:rPr>
                            <w:rFonts w:ascii="Cambria Math" w:hAnsi="Cambria Math"/>
                          </w:rPr>
                          <m:t>c</m:t>
                        </m:r>
                      </m:e>
                    </m:acc>
                  </m:e>
                </m:mr>
                <m:mr>
                  <m:e>
                    <m:acc>
                      <m:accPr>
                        <m:chr m:val="̇"/>
                        <m:ctrlPr>
                          <w:rPr>
                            <w:rFonts w:ascii="Cambria Math" w:hAnsi="Cambria Math"/>
                          </w:rPr>
                        </m:ctrlPr>
                      </m:accPr>
                      <m:e>
                        <m:r>
                          <w:rPr>
                            <w:rFonts w:ascii="Cambria Math" w:hAnsi="Cambria Math"/>
                          </w:rPr>
                          <m:t>r</m:t>
                        </m:r>
                      </m:e>
                    </m:acc>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β</m:t>
                    </m:r>
                  </m:e>
                  <m:e>
                    <m:r>
                      <w:rPr>
                        <w:rFonts w:ascii="Cambria Math" w:hAnsi="Cambria Math"/>
                      </w:rPr>
                      <m:t>0</m:t>
                    </m:r>
                  </m:e>
                  <m:e>
                    <m:r>
                      <w:rPr>
                        <w:rFonts w:ascii="Cambria Math" w:hAnsi="Cambria Math"/>
                      </w:rPr>
                      <m:t>α</m:t>
                    </m:r>
                  </m:e>
                </m:mr>
                <m:mr>
                  <m:e>
                    <m:r>
                      <w:rPr>
                        <w:rFonts w:ascii="Cambria Math" w:hAnsi="Cambria Math"/>
                      </w:rPr>
                      <m:t>β</m:t>
                    </m:r>
                  </m:e>
                  <m:e>
                    <m:r>
                      <m:rPr>
                        <m:sty m:val="p"/>
                      </m:rPr>
                      <w:rPr>
                        <w:rFonts w:ascii="Cambria Math" w:hAnsi="Cambria Math"/>
                      </w:rPr>
                      <m:t>-</m:t>
                    </m:r>
                    <m:r>
                      <w:rPr>
                        <w:rFonts w:ascii="Cambria Math" w:hAnsi="Cambria Math"/>
                      </w:rPr>
                      <m:t>γ</m:t>
                    </m:r>
                  </m:e>
                  <m:e>
                    <m:r>
                      <w:rPr>
                        <w:rFonts w:ascii="Cambria Math" w:hAnsi="Cambria Math"/>
                      </w:rPr>
                      <m:t>0</m:t>
                    </m:r>
                  </m:e>
                </m:mr>
                <m:mr>
                  <m:e>
                    <m:r>
                      <w:rPr>
                        <w:rFonts w:ascii="Cambria Math" w:hAnsi="Cambria Math"/>
                      </w:rPr>
                      <m:t>0</m:t>
                    </m:r>
                  </m:e>
                  <m:e>
                    <m:r>
                      <w:rPr>
                        <w:rFonts w:ascii="Cambria Math" w:hAnsi="Cambria Math"/>
                      </w:rPr>
                      <m:t>γ</m:t>
                    </m:r>
                  </m:e>
                  <m:e>
                    <m:r>
                      <m:rPr>
                        <m:sty m:val="p"/>
                      </m:rPr>
                      <w:rPr>
                        <w:rFonts w:ascii="Cambria Math" w:hAnsi="Cambria Math"/>
                      </w:rPr>
                      <m:t>-</m:t>
                    </m:r>
                    <m:r>
                      <w:rPr>
                        <w:rFonts w:ascii="Cambria Math" w:hAnsi="Cambria Math"/>
                      </w:rPr>
                      <m:t>α</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c</m:t>
                    </m:r>
                  </m:e>
                </m:mr>
                <m:mr>
                  <m:e>
                    <m:r>
                      <w:rPr>
                        <w:rFonts w:ascii="Cambria Math" w:hAnsi="Cambria Math"/>
                      </w:rPr>
                      <m:t>r</m:t>
                    </m:r>
                  </m:e>
                </m:mr>
              </m:m>
            </m:e>
          </m:d>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=Mx</m:t>
          </m:r>
        </m:oMath>
      </m:oMathPara>
    </w:p>
    <w:p w14:paraId="53A97971" w14:textId="06E61482" w:rsidR="00FD197F" w:rsidRDefault="00FD197F" w:rsidP="00FC728E">
      <w:pPr>
        <w:pStyle w:val="ListParagraph"/>
        <w:tabs>
          <w:tab w:val="left" w:pos="3500"/>
        </w:tabs>
        <w:spacing w:after="120"/>
        <w:ind w:left="0"/>
        <w:contextualSpacing w:val="0"/>
      </w:pPr>
      <w:r>
        <w:t>The steady states values can be obtained from:</w:t>
      </w:r>
    </w:p>
    <w:p w14:paraId="43AD70E7" w14:textId="4C307B62" w:rsidR="00FD197F" w:rsidRDefault="00FD197F" w:rsidP="00FC728E">
      <w:pPr>
        <w:pStyle w:val="ListParagraph"/>
        <w:tabs>
          <w:tab w:val="left" w:pos="3500"/>
        </w:tabs>
        <w:spacing w:after="120"/>
        <w:ind w:left="0"/>
        <w:contextualSpacing w:val="0"/>
      </w:pPr>
      <w:r>
        <w:tab/>
      </w:r>
      <m:oMath>
        <m:acc>
          <m:accPr>
            <m:chr m:val="̇"/>
            <m:ctrlPr>
              <w:rPr>
                <w:rFonts w:ascii="Cambria Math" w:hAnsi="Cambria Math"/>
                <w:i/>
              </w:rPr>
            </m:ctrlPr>
          </m:accPr>
          <m:e>
            <m:r>
              <w:rPr>
                <w:rFonts w:ascii="Cambria Math" w:hAnsi="Cambria Math"/>
              </w:rPr>
              <m:t>x</m:t>
            </m:r>
          </m:e>
        </m:acc>
        <m:r>
          <w:rPr>
            <w:rFonts w:ascii="Cambria Math" w:hAnsi="Cambria Math"/>
          </w:rPr>
          <m:t>= Mx=0</m:t>
        </m:r>
      </m:oMath>
    </w:p>
    <w:p w14:paraId="010DB001" w14:textId="0525B816" w:rsidR="00FD197F" w:rsidRDefault="00FD197F" w:rsidP="00FC728E">
      <w:pPr>
        <w:pStyle w:val="ListParagraph"/>
        <w:tabs>
          <w:tab w:val="left" w:pos="3500"/>
        </w:tabs>
        <w:spacing w:after="120"/>
        <w:ind w:left="0"/>
        <w:contextualSpacing w:val="0"/>
      </w:pPr>
    </w:p>
    <w:p w14:paraId="6F4BC438" w14:textId="6075FC94" w:rsidR="00FD197F" w:rsidRDefault="00FD197F" w:rsidP="00FD197F">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αγ</m:t>
              </m:r>
            </m:num>
            <m:den>
              <m:r>
                <w:rPr>
                  <w:rFonts w:ascii="Cambria Math" w:hAnsi="Cambria Math"/>
                </w:rPr>
                <m:t>αβ</m:t>
              </m:r>
              <m:r>
                <m:rPr>
                  <m:sty m:val="p"/>
                </m:rPr>
                <w:rPr>
                  <w:rFonts w:ascii="Cambria Math" w:hAnsi="Cambria Math"/>
                </w:rPr>
                <m:t>+</m:t>
              </m:r>
              <m:r>
                <w:rPr>
                  <w:rFonts w:ascii="Cambria Math" w:hAnsi="Cambria Math"/>
                </w:rPr>
                <m:t>βγ</m:t>
              </m:r>
              <m:r>
                <m:rPr>
                  <m:sty m:val="p"/>
                </m:rPr>
                <w:rPr>
                  <w:rFonts w:ascii="Cambria Math" w:hAnsi="Cambria Math"/>
                </w:rPr>
                <m:t>+</m:t>
              </m:r>
              <m:r>
                <w:rPr>
                  <w:rFonts w:ascii="Cambria Math" w:hAnsi="Cambria Math"/>
                </w:rPr>
                <m:t>αγ</m:t>
              </m:r>
            </m:den>
          </m:f>
        </m:oMath>
      </m:oMathPara>
    </w:p>
    <w:p w14:paraId="48B3995F" w14:textId="099E648E" w:rsidR="00FD197F" w:rsidRDefault="00FD197F" w:rsidP="00FD197F">
      <w:pPr>
        <w:pStyle w:val="FirstParagraph"/>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αβ</m:t>
              </m:r>
            </m:num>
            <m:den>
              <m:r>
                <w:rPr>
                  <w:rFonts w:ascii="Cambria Math" w:hAnsi="Cambria Math"/>
                </w:rPr>
                <m:t>αβ</m:t>
              </m:r>
              <m:r>
                <m:rPr>
                  <m:sty m:val="p"/>
                </m:rPr>
                <w:rPr>
                  <w:rFonts w:ascii="Cambria Math" w:hAnsi="Cambria Math"/>
                </w:rPr>
                <m:t>+</m:t>
              </m:r>
              <m:r>
                <w:rPr>
                  <w:rFonts w:ascii="Cambria Math" w:hAnsi="Cambria Math"/>
                </w:rPr>
                <m:t>βγ</m:t>
              </m:r>
              <m:r>
                <m:rPr>
                  <m:sty m:val="p"/>
                </m:rPr>
                <w:rPr>
                  <w:rFonts w:ascii="Cambria Math" w:hAnsi="Cambria Math"/>
                </w:rPr>
                <m:t>+</m:t>
              </m:r>
              <m:r>
                <w:rPr>
                  <w:rFonts w:ascii="Cambria Math" w:hAnsi="Cambria Math"/>
                </w:rPr>
                <m:t>αγ</m:t>
              </m:r>
            </m:den>
          </m:f>
        </m:oMath>
      </m:oMathPara>
    </w:p>
    <w:p w14:paraId="2D0FA343" w14:textId="1D49AE6C" w:rsidR="00FD197F" w:rsidRDefault="00FD197F" w:rsidP="00FD197F">
      <w:pPr>
        <w:pStyle w:val="FirstParagraph"/>
      </w:pPr>
      <m:oMathPara>
        <m:oMathParaPr>
          <m:jc m:val="center"/>
        </m:oMathParaP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βγ</m:t>
              </m:r>
            </m:num>
            <m:den>
              <m:r>
                <w:rPr>
                  <w:rFonts w:ascii="Cambria Math" w:hAnsi="Cambria Math"/>
                </w:rPr>
                <m:t>αβ</m:t>
              </m:r>
              <m:r>
                <m:rPr>
                  <m:sty m:val="p"/>
                </m:rPr>
                <w:rPr>
                  <w:rFonts w:ascii="Cambria Math" w:hAnsi="Cambria Math"/>
                </w:rPr>
                <m:t>+</m:t>
              </m:r>
              <m:r>
                <w:rPr>
                  <w:rFonts w:ascii="Cambria Math" w:hAnsi="Cambria Math"/>
                </w:rPr>
                <m:t>βγ</m:t>
              </m:r>
              <m:r>
                <m:rPr>
                  <m:sty m:val="p"/>
                </m:rPr>
                <w:rPr>
                  <w:rFonts w:ascii="Cambria Math" w:hAnsi="Cambria Math"/>
                </w:rPr>
                <m:t>+</m:t>
              </m:r>
              <m:r>
                <w:rPr>
                  <w:rFonts w:ascii="Cambria Math" w:hAnsi="Cambria Math"/>
                </w:rPr>
                <m:t>αγ</m:t>
              </m:r>
            </m:den>
          </m:f>
        </m:oMath>
      </m:oMathPara>
    </w:p>
    <w:p w14:paraId="1313CD6F" w14:textId="77777777" w:rsidR="00FD197F" w:rsidRPr="00FD197F" w:rsidRDefault="00FD197F" w:rsidP="00FC728E">
      <w:pPr>
        <w:pStyle w:val="ListParagraph"/>
        <w:tabs>
          <w:tab w:val="left" w:pos="3500"/>
        </w:tabs>
        <w:spacing w:after="120"/>
        <w:ind w:left="0"/>
        <w:contextualSpacing w:val="0"/>
      </w:pPr>
    </w:p>
    <w:p w14:paraId="71D180BF" w14:textId="19F08367" w:rsidR="00FD197F" w:rsidRDefault="00FD197F" w:rsidP="00FC728E">
      <w:pPr>
        <w:pStyle w:val="ListParagraph"/>
        <w:tabs>
          <w:tab w:val="left" w:pos="3500"/>
        </w:tabs>
        <w:spacing w:after="120"/>
        <w:ind w:left="0"/>
        <w:contextualSpacing w:val="0"/>
      </w:pPr>
      <w:r>
        <w:t>T</w:t>
      </w:r>
      <w:r w:rsidRPr="00FD197F">
        <w:t xml:space="preserve">race(M) &lt;0 and </w:t>
      </w:r>
      <w:proofErr w:type="spellStart"/>
      <w:r w:rsidRPr="00FD197F">
        <w:t>det</w:t>
      </w:r>
      <w:proofErr w:type="spellEnd"/>
      <w:r w:rsidRPr="00FD197F">
        <w:t xml:space="preserve">(M) = </w:t>
      </w:r>
      <m:oMath>
        <m:r>
          <w:rPr>
            <w:rFonts w:ascii="Cambria Math" w:hAnsi="Cambria Math"/>
          </w:rPr>
          <m:t>-β*</m:t>
        </m:r>
        <m:d>
          <m:dPr>
            <m:ctrlPr>
              <w:rPr>
                <w:rFonts w:ascii="Cambria Math" w:hAnsi="Cambria Math"/>
                <w:i/>
              </w:rPr>
            </m:ctrlPr>
          </m:dPr>
          <m:e>
            <m:r>
              <w:rPr>
                <w:rFonts w:ascii="Cambria Math" w:hAnsi="Cambria Math"/>
              </w:rPr>
              <m:t>γ*α</m:t>
            </m:r>
          </m:e>
        </m:d>
        <m:r>
          <w:rPr>
            <w:rFonts w:ascii="Cambria Math" w:hAnsi="Cambria Math"/>
          </w:rPr>
          <m:t>+ α*β*γ=0</m:t>
        </m:r>
      </m:oMath>
      <w:r>
        <w:t xml:space="preserve"> and </w:t>
      </w:r>
      <m:oMath>
        <m:r>
          <w:rPr>
            <w:rFonts w:ascii="Cambria Math" w:hAnsi="Cambria Math"/>
          </w:rPr>
          <m:t>a+c+r=1</m:t>
        </m:r>
      </m:oMath>
      <w:r>
        <w:t xml:space="preserve"> leads that one of eigen value is 0 and the rest are negative. Therefore, the stationary point is stable. </w:t>
      </w:r>
    </w:p>
    <w:p w14:paraId="26F6D88A" w14:textId="77777777" w:rsidR="00FD197F" w:rsidRPr="00FD197F" w:rsidRDefault="00FD197F" w:rsidP="00FC728E">
      <w:pPr>
        <w:pStyle w:val="ListParagraph"/>
        <w:tabs>
          <w:tab w:val="left" w:pos="3500"/>
        </w:tabs>
        <w:spacing w:after="120"/>
        <w:ind w:left="0"/>
        <w:contextualSpacing w:val="0"/>
      </w:pPr>
    </w:p>
    <w:p w14:paraId="6984753C" w14:textId="3AEDCD4D" w:rsidR="00FD197F" w:rsidRDefault="00FD197F" w:rsidP="00FC728E">
      <w:pPr>
        <w:pStyle w:val="ListParagraph"/>
        <w:tabs>
          <w:tab w:val="left" w:pos="3500"/>
        </w:tabs>
        <w:spacing w:after="120"/>
        <w:ind w:left="0"/>
        <w:contextualSpacing w:val="0"/>
        <w:rPr>
          <w:b/>
        </w:rPr>
      </w:pPr>
      <w:r>
        <w:rPr>
          <w:b/>
        </w:rPr>
        <w:t xml:space="preserve">Biochemical interpretation of the parameters. </w:t>
      </w:r>
    </w:p>
    <w:p w14:paraId="4FE9D65E" w14:textId="17A1199E" w:rsidR="00FD197F" w:rsidRDefault="00FD197F" w:rsidP="00FC728E">
      <w:pPr>
        <w:pStyle w:val="ListParagraph"/>
        <w:tabs>
          <w:tab w:val="left" w:pos="3500"/>
        </w:tabs>
        <w:spacing w:after="120"/>
        <w:ind w:left="0"/>
        <w:contextualSpacing w:val="0"/>
        <w:rPr>
          <w:b/>
        </w:rPr>
      </w:pPr>
    </w:p>
    <w:p w14:paraId="1A606FF5" w14:textId="14FCBDE8" w:rsidR="00FD197F" w:rsidRPr="00FD197F" w:rsidRDefault="00FD197F" w:rsidP="00FD197F">
      <w:pPr>
        <w:pStyle w:val="ListParagraph"/>
        <w:numPr>
          <w:ilvl w:val="0"/>
          <w:numId w:val="6"/>
        </w:numPr>
        <w:tabs>
          <w:tab w:val="left" w:pos="3500"/>
        </w:tabs>
        <w:spacing w:after="120"/>
        <w:contextualSpacing w:val="0"/>
        <w:jc w:val="both"/>
        <w:rPr>
          <w:rFonts w:eastAsiaTheme="minorHAnsi"/>
        </w:rPr>
      </w:pPr>
      <m:oMath>
        <m:r>
          <w:rPr>
            <w:rFonts w:ascii="Cambria Math" w:eastAsiaTheme="minorHAnsi" w:hAnsi="Cambria Math"/>
          </w:rPr>
          <m:t>β</m:t>
        </m:r>
      </m:oMath>
      <w:r w:rsidRPr="00FD197F">
        <w:rPr>
          <w:rFonts w:eastAsiaTheme="minorHAnsi"/>
        </w:rPr>
        <w:t>: Exit from gro</w:t>
      </w:r>
      <w:proofErr w:type="spellStart"/>
      <w:r w:rsidRPr="00FD197F">
        <w:rPr>
          <w:rFonts w:eastAsiaTheme="minorHAnsi"/>
        </w:rPr>
        <w:t>wth</w:t>
      </w:r>
      <w:proofErr w:type="spellEnd"/>
      <w:r w:rsidRPr="00FD197F">
        <w:rPr>
          <w:rFonts w:eastAsiaTheme="minorHAnsi"/>
        </w:rPr>
        <w:t xml:space="preserve"> rate: is related to the Fibroblast Growth Factor F (FGF5) protein concentration. When the concentration reaches a specific threshold, it triggers the transition to catagen. It also measures the influence of DHT hormones. High concentration of DHT increases the value of the parameter.</w:t>
      </w:r>
    </w:p>
    <w:p w14:paraId="3F0E3AC2" w14:textId="09A1188F" w:rsidR="00FD197F" w:rsidRPr="00FD197F" w:rsidRDefault="00FD197F" w:rsidP="00FD197F">
      <w:pPr>
        <w:pStyle w:val="ListParagraph"/>
        <w:numPr>
          <w:ilvl w:val="0"/>
          <w:numId w:val="6"/>
        </w:numPr>
        <w:tabs>
          <w:tab w:val="left" w:pos="3500"/>
        </w:tabs>
        <w:spacing w:after="120"/>
        <w:contextualSpacing w:val="0"/>
        <w:jc w:val="both"/>
        <w:rPr>
          <w:rFonts w:eastAsiaTheme="minorHAnsi"/>
        </w:rPr>
      </w:pPr>
      <m:oMath>
        <m:r>
          <w:rPr>
            <w:rFonts w:ascii="Cambria Math" w:eastAsiaTheme="minorHAnsi" w:hAnsi="Cambria Math"/>
          </w:rPr>
          <m:t>γ</m:t>
        </m:r>
      </m:oMath>
      <w:r w:rsidRPr="00FD197F">
        <w:rPr>
          <w:rFonts w:eastAsiaTheme="minorHAnsi"/>
        </w:rPr>
        <w:t xml:space="preserve"> : is largely a fixed biological timer derived by programmed cell death.</w:t>
      </w:r>
    </w:p>
    <w:p w14:paraId="0230BE6F" w14:textId="0437CF04" w:rsidR="00FD197F" w:rsidRPr="00FD197F" w:rsidRDefault="00FD197F" w:rsidP="00FD197F">
      <w:pPr>
        <w:pStyle w:val="ListParagraph"/>
        <w:numPr>
          <w:ilvl w:val="0"/>
          <w:numId w:val="6"/>
        </w:numPr>
        <w:tabs>
          <w:tab w:val="left" w:pos="3500"/>
        </w:tabs>
        <w:spacing w:after="120"/>
        <w:contextualSpacing w:val="0"/>
        <w:jc w:val="both"/>
        <w:rPr>
          <w:rFonts w:eastAsiaTheme="minorHAnsi"/>
        </w:rPr>
      </w:pPr>
      <m:oMath>
        <m:r>
          <w:rPr>
            <w:rFonts w:ascii="Cambria Math" w:eastAsiaTheme="minorHAnsi" w:hAnsi="Cambria Math"/>
          </w:rPr>
          <m:t>α</m:t>
        </m:r>
      </m:oMath>
      <w:r w:rsidRPr="00FD197F">
        <w:rPr>
          <w:rFonts w:eastAsiaTheme="minorHAnsi"/>
        </w:rPr>
        <w:t xml:space="preserve">: is an activation rate related to the wake-up signal. It is related to </w:t>
      </w:r>
      <w:proofErr w:type="spellStart"/>
      <w:r w:rsidRPr="00FD197F">
        <w:rPr>
          <w:rFonts w:eastAsiaTheme="minorHAnsi"/>
        </w:rPr>
        <w:t>Wnt</w:t>
      </w:r>
      <w:proofErr w:type="spellEnd"/>
      <w:r w:rsidRPr="00FD197F">
        <w:rPr>
          <w:rFonts w:eastAsiaTheme="minorHAnsi"/>
        </w:rPr>
        <w:t xml:space="preserve"> protein and high concentration of </w:t>
      </w:r>
      <w:proofErr w:type="spellStart"/>
      <w:r w:rsidRPr="00FD197F">
        <w:rPr>
          <w:rFonts w:eastAsiaTheme="minorHAnsi"/>
        </w:rPr>
        <w:t>Wnt</w:t>
      </w:r>
      <w:proofErr w:type="spellEnd"/>
      <w:r w:rsidRPr="00FD197F">
        <w:rPr>
          <w:rFonts w:eastAsiaTheme="minorHAnsi"/>
        </w:rPr>
        <w:t xml:space="preserve"> increases the parameter.</w:t>
      </w:r>
    </w:p>
    <w:p w14:paraId="12DF3280" w14:textId="77777777" w:rsidR="00FD197F" w:rsidRDefault="00FD197F" w:rsidP="00FC728E">
      <w:pPr>
        <w:pStyle w:val="ListParagraph"/>
        <w:tabs>
          <w:tab w:val="left" w:pos="3500"/>
        </w:tabs>
        <w:spacing w:after="120"/>
        <w:ind w:left="0"/>
        <w:contextualSpacing w:val="0"/>
        <w:rPr>
          <w:b/>
        </w:rPr>
      </w:pPr>
    </w:p>
    <w:p w14:paraId="62B5FF8E" w14:textId="14743A10" w:rsidR="00075ED4" w:rsidRPr="008D090A" w:rsidRDefault="00FD197F" w:rsidP="00FC728E">
      <w:pPr>
        <w:pStyle w:val="ListParagraph"/>
        <w:tabs>
          <w:tab w:val="left" w:pos="3500"/>
        </w:tabs>
        <w:spacing w:after="120"/>
        <w:ind w:left="0"/>
        <w:contextualSpacing w:val="0"/>
        <w:rPr>
          <w:b/>
        </w:rPr>
      </w:pPr>
      <w:r>
        <w:rPr>
          <w:b/>
        </w:rPr>
        <w:t>Biochemical p</w:t>
      </w:r>
      <w:r w:rsidR="00D276F3" w:rsidRPr="00BF4711">
        <w:rPr>
          <w:b/>
        </w:rPr>
        <w:t>arameter ranges and descriptions</w:t>
      </w:r>
      <w:r w:rsidR="000420BC" w:rsidRPr="00BF4711">
        <w:rPr>
          <w:b/>
        </w:rPr>
        <w:t>.</w:t>
      </w:r>
      <w:r w:rsidR="00D276F3" w:rsidRPr="00BF4711">
        <w:rPr>
          <w:b/>
        </w:rPr>
        <w:t xml:space="preserve"> </w:t>
      </w:r>
    </w:p>
    <w:p w14:paraId="05F97980" w14:textId="77777777" w:rsidR="00FD197F" w:rsidRPr="00FD197F" w:rsidRDefault="00FD197F" w:rsidP="00FD197F">
      <w:pPr>
        <w:jc w:val="both"/>
      </w:pPr>
      <w:r w:rsidRPr="00FD197F">
        <w:t>The following table summarizes the ranges of biochemical parameters relevant to the hair follicle life cycle. These ranges are used to assess the validity of the parameters estimated from the nonlinear regression of the ODE model.</w:t>
      </w:r>
    </w:p>
    <w:p w14:paraId="3CE9C5EF" w14:textId="3DB8F54F" w:rsidR="000420BC" w:rsidRPr="00BF4711" w:rsidRDefault="000420BC" w:rsidP="0026028D">
      <w:pPr>
        <w:pStyle w:val="ListParagraph"/>
        <w:tabs>
          <w:tab w:val="left" w:pos="350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93"/>
        <w:gridCol w:w="1398"/>
        <w:gridCol w:w="2229"/>
        <w:gridCol w:w="2229"/>
      </w:tblGrid>
      <w:tr w:rsidR="0072372B" w:rsidRPr="00BF4711" w14:paraId="32497E56" w14:textId="77777777" w:rsidTr="00ED3F70">
        <w:trPr>
          <w:trHeight w:val="122"/>
          <w:tblHeader/>
        </w:trPr>
        <w:tc>
          <w:tcPr>
            <w:tcW w:w="4093" w:type="dxa"/>
            <w:shd w:val="clear" w:color="auto" w:fill="FFFFFF"/>
            <w:tcMar>
              <w:top w:w="120" w:type="dxa"/>
              <w:left w:w="120" w:type="dxa"/>
              <w:bottom w:w="120" w:type="dxa"/>
              <w:right w:w="120" w:type="dxa"/>
            </w:tcMar>
            <w:vAlign w:val="center"/>
            <w:hideMark/>
          </w:tcPr>
          <w:p w14:paraId="22D39490" w14:textId="1D118A1D" w:rsidR="0072372B" w:rsidRPr="00BF4711" w:rsidRDefault="0072372B" w:rsidP="0026028D">
            <w:pPr>
              <w:contextualSpacing/>
              <w:rPr>
                <w:b/>
                <w:bCs/>
              </w:rPr>
            </w:pPr>
            <w:r>
              <w:rPr>
                <w:b/>
                <w:bCs/>
              </w:rPr>
              <w:t>Metrics</w:t>
            </w:r>
          </w:p>
        </w:tc>
        <w:tc>
          <w:tcPr>
            <w:tcW w:w="0" w:type="auto"/>
            <w:shd w:val="clear" w:color="auto" w:fill="FFFFFF"/>
            <w:tcMar>
              <w:top w:w="120" w:type="dxa"/>
              <w:left w:w="120" w:type="dxa"/>
              <w:bottom w:w="120" w:type="dxa"/>
              <w:right w:w="120" w:type="dxa"/>
            </w:tcMar>
            <w:vAlign w:val="center"/>
            <w:hideMark/>
          </w:tcPr>
          <w:p w14:paraId="29F72B69" w14:textId="77777777" w:rsidR="0072372B" w:rsidRPr="00BF4711" w:rsidRDefault="0072372B" w:rsidP="0026028D">
            <w:pPr>
              <w:contextualSpacing/>
              <w:jc w:val="right"/>
              <w:rPr>
                <w:b/>
                <w:bCs/>
              </w:rPr>
            </w:pPr>
            <w:r w:rsidRPr="00BF4711">
              <w:rPr>
                <w:b/>
                <w:bCs/>
              </w:rPr>
              <w:t>Symbol</w:t>
            </w:r>
          </w:p>
        </w:tc>
        <w:tc>
          <w:tcPr>
            <w:tcW w:w="2229" w:type="dxa"/>
            <w:shd w:val="clear" w:color="auto" w:fill="FFFFFF"/>
          </w:tcPr>
          <w:p w14:paraId="52590864" w14:textId="78FD4FF9" w:rsidR="0072372B" w:rsidRPr="00BF4711" w:rsidRDefault="0072372B" w:rsidP="0072372B">
            <w:pPr>
              <w:contextualSpacing/>
              <w:jc w:val="center"/>
              <w:rPr>
                <w:b/>
                <w:bCs/>
              </w:rPr>
            </w:pPr>
            <w:r>
              <w:rPr>
                <w:b/>
                <w:bCs/>
              </w:rPr>
              <w:t>Description</w:t>
            </w:r>
          </w:p>
        </w:tc>
        <w:tc>
          <w:tcPr>
            <w:tcW w:w="2229" w:type="dxa"/>
            <w:shd w:val="clear" w:color="auto" w:fill="FFFFFF"/>
            <w:tcMar>
              <w:top w:w="120" w:type="dxa"/>
              <w:left w:w="120" w:type="dxa"/>
              <w:bottom w:w="120" w:type="dxa"/>
              <w:right w:w="120" w:type="dxa"/>
            </w:tcMar>
            <w:vAlign w:val="center"/>
            <w:hideMark/>
          </w:tcPr>
          <w:p w14:paraId="0A491F7C" w14:textId="4ED60A5B" w:rsidR="0072372B" w:rsidRPr="00BF4711" w:rsidRDefault="0072372B" w:rsidP="0026028D">
            <w:pPr>
              <w:contextualSpacing/>
              <w:jc w:val="right"/>
              <w:rPr>
                <w:b/>
                <w:bCs/>
              </w:rPr>
            </w:pPr>
            <w:r w:rsidRPr="00BF4711">
              <w:rPr>
                <w:b/>
                <w:bCs/>
              </w:rPr>
              <w:t>Typical range</w:t>
            </w:r>
            <w:r>
              <w:rPr>
                <w:b/>
                <w:bCs/>
              </w:rPr>
              <w:t xml:space="preserve"> (per month)</w:t>
            </w:r>
          </w:p>
        </w:tc>
      </w:tr>
      <w:tr w:rsidR="0072372B" w:rsidRPr="00BF4711" w14:paraId="17DD43FF"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45922838" w14:textId="1898B173" w:rsidR="0072372B" w:rsidRPr="0072372B" w:rsidRDefault="0072372B" w:rsidP="0026028D">
            <w:pPr>
              <w:contextualSpacing/>
              <w:rPr>
                <w:bCs/>
              </w:rPr>
            </w:pPr>
            <w:r w:rsidRPr="0072372B">
              <w:rPr>
                <w:bCs/>
              </w:rPr>
              <w:t>gamma</w:t>
            </w:r>
          </w:p>
        </w:tc>
        <w:tc>
          <w:tcPr>
            <w:tcW w:w="0" w:type="auto"/>
            <w:shd w:val="clear" w:color="auto" w:fill="FFFFFF"/>
            <w:tcMar>
              <w:top w:w="120" w:type="dxa"/>
              <w:left w:w="120" w:type="dxa"/>
              <w:bottom w:w="120" w:type="dxa"/>
              <w:right w:w="120" w:type="dxa"/>
            </w:tcMar>
            <w:vAlign w:val="center"/>
          </w:tcPr>
          <w:p w14:paraId="131DC0CA" w14:textId="3985B20E" w:rsidR="0072372B" w:rsidRPr="0072372B" w:rsidRDefault="0072372B" w:rsidP="0026028D">
            <w:pPr>
              <w:contextualSpacing/>
              <w:jc w:val="right"/>
              <w:rPr>
                <w:bCs/>
              </w:rPr>
            </w:pPr>
            <m:oMathPara>
              <m:oMath>
                <m:r>
                  <w:rPr>
                    <w:rFonts w:ascii="Cambria Math" w:hAnsi="Cambria Math"/>
                  </w:rPr>
                  <m:t>γ</m:t>
                </m:r>
              </m:oMath>
            </m:oMathPara>
          </w:p>
        </w:tc>
        <w:tc>
          <w:tcPr>
            <w:tcW w:w="2229" w:type="dxa"/>
            <w:shd w:val="clear" w:color="auto" w:fill="FFFFFF"/>
          </w:tcPr>
          <w:p w14:paraId="7779D40E" w14:textId="5BC4E4F0" w:rsidR="0072372B" w:rsidRPr="0072372B" w:rsidRDefault="0072372B" w:rsidP="0072372B">
            <w:pPr>
              <w:contextualSpacing/>
              <w:jc w:val="center"/>
              <w:rPr>
                <w:bCs/>
              </w:rPr>
            </w:pPr>
            <w:r w:rsidRPr="0072372B">
              <w:rPr>
                <w:bCs/>
              </w:rPr>
              <w:t xml:space="preserve">Catagen to </w:t>
            </w:r>
            <w:proofErr w:type="spellStart"/>
            <w:r w:rsidRPr="0072372B">
              <w:rPr>
                <w:bCs/>
              </w:rPr>
              <w:t>Telogent</w:t>
            </w:r>
            <w:proofErr w:type="spellEnd"/>
            <w:r w:rsidRPr="0072372B">
              <w:rPr>
                <w:bCs/>
              </w:rPr>
              <w:t xml:space="preserve"> transit rate</w:t>
            </w:r>
          </w:p>
        </w:tc>
        <w:tc>
          <w:tcPr>
            <w:tcW w:w="2229" w:type="dxa"/>
            <w:shd w:val="clear" w:color="auto" w:fill="FFFFFF"/>
            <w:tcMar>
              <w:top w:w="120" w:type="dxa"/>
              <w:left w:w="120" w:type="dxa"/>
              <w:bottom w:w="120" w:type="dxa"/>
              <w:right w:w="120" w:type="dxa"/>
            </w:tcMar>
            <w:vAlign w:val="center"/>
          </w:tcPr>
          <w:p w14:paraId="17C912A7" w14:textId="198631F3" w:rsidR="0072372B" w:rsidRPr="0072372B" w:rsidRDefault="0072372B" w:rsidP="0026028D">
            <w:pPr>
              <w:contextualSpacing/>
              <w:jc w:val="right"/>
              <w:rPr>
                <w:bCs/>
              </w:rPr>
            </w:pPr>
            <w:r w:rsidRPr="0072372B">
              <w:rPr>
                <w:bCs/>
              </w:rPr>
              <w:t>1.3 to 1.5</w:t>
            </w:r>
          </w:p>
        </w:tc>
      </w:tr>
      <w:tr w:rsidR="0072372B" w:rsidRPr="00BF4711" w14:paraId="6648BBB9"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3A5E62CA" w14:textId="5AE98F3E" w:rsidR="0072372B" w:rsidRPr="0072372B" w:rsidRDefault="0072372B" w:rsidP="0026028D">
            <w:pPr>
              <w:contextualSpacing/>
              <w:rPr>
                <w:bCs/>
              </w:rPr>
            </w:pPr>
            <w:r w:rsidRPr="0072372B">
              <w:rPr>
                <w:bCs/>
              </w:rPr>
              <w:t>Telogen base rate</w:t>
            </w:r>
          </w:p>
        </w:tc>
        <w:tc>
          <w:tcPr>
            <w:tcW w:w="0" w:type="auto"/>
            <w:shd w:val="clear" w:color="auto" w:fill="FFFFFF"/>
            <w:tcMar>
              <w:top w:w="120" w:type="dxa"/>
              <w:left w:w="120" w:type="dxa"/>
              <w:bottom w:w="120" w:type="dxa"/>
              <w:right w:w="120" w:type="dxa"/>
            </w:tcMar>
            <w:vAlign w:val="center"/>
          </w:tcPr>
          <w:p w14:paraId="5200A537" w14:textId="542B336B" w:rsidR="0072372B" w:rsidRPr="0072372B" w:rsidRDefault="003067FC" w:rsidP="0026028D">
            <w:pPr>
              <w:contextualSpacing/>
              <w:jc w:val="right"/>
              <w:rPr>
                <w:bCs/>
              </w:rPr>
            </w:pPr>
            <m:oMathPara>
              <m:oMath>
                <m:sSub>
                  <m:sSubPr>
                    <m:ctrlPr>
                      <w:rPr>
                        <w:rFonts w:ascii="Cambria Math" w:hAnsi="Cambria Math"/>
                        <w:bCs/>
                        <w:i/>
                      </w:rPr>
                    </m:ctrlPr>
                  </m:sSubPr>
                  <m:e>
                    <m:r>
                      <w:rPr>
                        <w:rFonts w:ascii="Cambria Math" w:hAnsi="Cambria Math"/>
                      </w:rPr>
                      <m:t>k</m:t>
                    </m:r>
                  </m:e>
                  <m:sub>
                    <m:r>
                      <w:rPr>
                        <w:rFonts w:ascii="Cambria Math" w:hAnsi="Cambria Math"/>
                      </w:rPr>
                      <m:t>wake</m:t>
                    </m:r>
                  </m:sub>
                </m:sSub>
              </m:oMath>
            </m:oMathPara>
          </w:p>
        </w:tc>
        <w:tc>
          <w:tcPr>
            <w:tcW w:w="2229" w:type="dxa"/>
            <w:shd w:val="clear" w:color="auto" w:fill="FFFFFF"/>
          </w:tcPr>
          <w:p w14:paraId="7DCF13E8" w14:textId="09D50E65" w:rsidR="0072372B" w:rsidRPr="0072372B" w:rsidRDefault="0072372B" w:rsidP="0072372B">
            <w:pPr>
              <w:contextualSpacing/>
              <w:jc w:val="center"/>
              <w:rPr>
                <w:bCs/>
              </w:rPr>
            </w:pPr>
            <w:r w:rsidRPr="0072372B">
              <w:rPr>
                <w:bCs/>
              </w:rPr>
              <w:t>Telogen to Anagen transfer rate</w:t>
            </w:r>
          </w:p>
        </w:tc>
        <w:tc>
          <w:tcPr>
            <w:tcW w:w="2229" w:type="dxa"/>
            <w:shd w:val="clear" w:color="auto" w:fill="FFFFFF"/>
            <w:tcMar>
              <w:top w:w="120" w:type="dxa"/>
              <w:left w:w="120" w:type="dxa"/>
              <w:bottom w:w="120" w:type="dxa"/>
              <w:right w:w="120" w:type="dxa"/>
            </w:tcMar>
            <w:vAlign w:val="center"/>
          </w:tcPr>
          <w:p w14:paraId="0C3B9ED3" w14:textId="5985696F" w:rsidR="0072372B" w:rsidRPr="0072372B" w:rsidRDefault="0072372B" w:rsidP="0026028D">
            <w:pPr>
              <w:contextualSpacing/>
              <w:jc w:val="right"/>
              <w:rPr>
                <w:bCs/>
              </w:rPr>
            </w:pPr>
            <w:r w:rsidRPr="0072372B">
              <w:rPr>
                <w:bCs/>
              </w:rPr>
              <w:t xml:space="preserve">0.25 to 0.33 </w:t>
            </w:r>
          </w:p>
        </w:tc>
      </w:tr>
      <w:tr w:rsidR="0072372B" w:rsidRPr="00BF4711" w14:paraId="09061AE1"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3D1C600E" w14:textId="07A84272" w:rsidR="0072372B" w:rsidRPr="0072372B" w:rsidRDefault="0072372B" w:rsidP="0026028D">
            <w:pPr>
              <w:contextualSpacing/>
              <w:rPr>
                <w:bCs/>
              </w:rPr>
            </w:pPr>
            <w:r w:rsidRPr="0072372B">
              <w:rPr>
                <w:bCs/>
              </w:rPr>
              <w:t>Anagen base rate</w:t>
            </w:r>
          </w:p>
        </w:tc>
        <w:tc>
          <w:tcPr>
            <w:tcW w:w="0" w:type="auto"/>
            <w:shd w:val="clear" w:color="auto" w:fill="FFFFFF"/>
            <w:tcMar>
              <w:top w:w="120" w:type="dxa"/>
              <w:left w:w="120" w:type="dxa"/>
              <w:bottom w:w="120" w:type="dxa"/>
              <w:right w:w="120" w:type="dxa"/>
            </w:tcMar>
            <w:vAlign w:val="center"/>
          </w:tcPr>
          <w:p w14:paraId="049DCCC9" w14:textId="4BA77C28" w:rsidR="0072372B" w:rsidRPr="0072372B" w:rsidRDefault="003067FC" w:rsidP="0026028D">
            <w:pPr>
              <w:contextualSpacing/>
              <w:jc w:val="right"/>
              <w:rPr>
                <w:bCs/>
              </w:rPr>
            </w:pPr>
            <m:oMathPara>
              <m:oMath>
                <m:sSub>
                  <m:sSubPr>
                    <m:ctrlPr>
                      <w:rPr>
                        <w:rFonts w:ascii="Cambria Math" w:hAnsi="Cambria Math"/>
                        <w:bCs/>
                        <w:i/>
                      </w:rPr>
                    </m:ctrlPr>
                  </m:sSubPr>
                  <m:e>
                    <m:r>
                      <w:rPr>
                        <w:rFonts w:ascii="Cambria Math" w:hAnsi="Cambria Math"/>
                      </w:rPr>
                      <m:t>β</m:t>
                    </m:r>
                  </m:e>
                  <m:sub>
                    <m:r>
                      <w:rPr>
                        <w:rFonts w:ascii="Cambria Math" w:hAnsi="Cambria Math"/>
                      </w:rPr>
                      <m:t>base</m:t>
                    </m:r>
                  </m:sub>
                </m:sSub>
              </m:oMath>
            </m:oMathPara>
          </w:p>
        </w:tc>
        <w:tc>
          <w:tcPr>
            <w:tcW w:w="2229" w:type="dxa"/>
            <w:shd w:val="clear" w:color="auto" w:fill="FFFFFF"/>
          </w:tcPr>
          <w:p w14:paraId="34C5F5D7" w14:textId="12A929C4" w:rsidR="0072372B" w:rsidRPr="0072372B" w:rsidRDefault="0072372B" w:rsidP="0072372B">
            <w:pPr>
              <w:contextualSpacing/>
              <w:jc w:val="center"/>
              <w:rPr>
                <w:bCs/>
              </w:rPr>
            </w:pPr>
            <w:r w:rsidRPr="0072372B">
              <w:rPr>
                <w:bCs/>
              </w:rPr>
              <w:t>Anagen to Catagen transfer rate</w:t>
            </w:r>
          </w:p>
        </w:tc>
        <w:tc>
          <w:tcPr>
            <w:tcW w:w="2229" w:type="dxa"/>
            <w:shd w:val="clear" w:color="auto" w:fill="FFFFFF"/>
            <w:tcMar>
              <w:top w:w="120" w:type="dxa"/>
              <w:left w:w="120" w:type="dxa"/>
              <w:bottom w:w="120" w:type="dxa"/>
              <w:right w:w="120" w:type="dxa"/>
            </w:tcMar>
            <w:vAlign w:val="center"/>
          </w:tcPr>
          <w:p w14:paraId="29750323" w14:textId="725ECBBD" w:rsidR="0072372B" w:rsidRPr="0072372B" w:rsidRDefault="0072372B" w:rsidP="0026028D">
            <w:pPr>
              <w:contextualSpacing/>
              <w:jc w:val="right"/>
              <w:rPr>
                <w:bCs/>
              </w:rPr>
            </w:pPr>
            <w:r w:rsidRPr="0072372B">
              <w:rPr>
                <w:bCs/>
              </w:rPr>
              <w:t>0.027</w:t>
            </w:r>
          </w:p>
        </w:tc>
      </w:tr>
      <w:tr w:rsidR="0072372B" w:rsidRPr="00BF4711" w14:paraId="0616E86C"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51817743" w14:textId="59177830" w:rsidR="0072372B" w:rsidRPr="0072372B" w:rsidRDefault="0072372B" w:rsidP="0026028D">
            <w:pPr>
              <w:contextualSpacing/>
              <w:rPr>
                <w:bCs/>
              </w:rPr>
            </w:pPr>
            <w:proofErr w:type="spellStart"/>
            <w:r w:rsidRPr="0072372B">
              <w:rPr>
                <w:bCs/>
              </w:rPr>
              <w:t>Wnt</w:t>
            </w:r>
            <w:proofErr w:type="spellEnd"/>
            <w:r w:rsidRPr="0072372B">
              <w:rPr>
                <w:bCs/>
              </w:rPr>
              <w:t>/FGF5</w:t>
            </w:r>
            <w:r>
              <w:rPr>
                <w:bCs/>
              </w:rPr>
              <w:t>/DHT</w:t>
            </w:r>
          </w:p>
        </w:tc>
        <w:tc>
          <w:tcPr>
            <w:tcW w:w="0" w:type="auto"/>
            <w:shd w:val="clear" w:color="auto" w:fill="FFFFFF"/>
            <w:tcMar>
              <w:top w:w="120" w:type="dxa"/>
              <w:left w:w="120" w:type="dxa"/>
              <w:bottom w:w="120" w:type="dxa"/>
              <w:right w:w="120" w:type="dxa"/>
            </w:tcMar>
            <w:vAlign w:val="center"/>
          </w:tcPr>
          <w:p w14:paraId="6EC913CA" w14:textId="77777777" w:rsidR="0072372B" w:rsidRPr="0072372B" w:rsidRDefault="0072372B" w:rsidP="0026028D">
            <w:pPr>
              <w:contextualSpacing/>
              <w:jc w:val="right"/>
              <w:rPr>
                <w:bCs/>
              </w:rPr>
            </w:pPr>
          </w:p>
        </w:tc>
        <w:tc>
          <w:tcPr>
            <w:tcW w:w="2229" w:type="dxa"/>
            <w:shd w:val="clear" w:color="auto" w:fill="FFFFFF"/>
          </w:tcPr>
          <w:p w14:paraId="33090D0B" w14:textId="05B7269D" w:rsidR="0072372B" w:rsidRPr="0072372B" w:rsidRDefault="0072372B" w:rsidP="0072372B">
            <w:pPr>
              <w:contextualSpacing/>
              <w:jc w:val="center"/>
              <w:rPr>
                <w:bCs/>
              </w:rPr>
            </w:pPr>
            <w:r w:rsidRPr="0072372B">
              <w:rPr>
                <w:bCs/>
              </w:rPr>
              <w:t>Signal strength</w:t>
            </w:r>
          </w:p>
        </w:tc>
        <w:tc>
          <w:tcPr>
            <w:tcW w:w="2229" w:type="dxa"/>
            <w:shd w:val="clear" w:color="auto" w:fill="FFFFFF"/>
            <w:tcMar>
              <w:top w:w="120" w:type="dxa"/>
              <w:left w:w="120" w:type="dxa"/>
              <w:bottom w:w="120" w:type="dxa"/>
              <w:right w:w="120" w:type="dxa"/>
            </w:tcMar>
            <w:vAlign w:val="center"/>
          </w:tcPr>
          <w:p w14:paraId="7D461EC2" w14:textId="4CF0E286" w:rsidR="0072372B" w:rsidRPr="0072372B" w:rsidRDefault="0072372B" w:rsidP="0026028D">
            <w:pPr>
              <w:contextualSpacing/>
              <w:jc w:val="right"/>
              <w:rPr>
                <w:bCs/>
              </w:rPr>
            </w:pPr>
            <w:r w:rsidRPr="0072372B">
              <w:rPr>
                <w:bCs/>
              </w:rPr>
              <w:t>Normalized to 1</w:t>
            </w:r>
          </w:p>
        </w:tc>
      </w:tr>
      <w:tr w:rsidR="0072372B" w:rsidRPr="00BF4711" w14:paraId="6C31F80B"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3C99392F" w14:textId="716C8F8F" w:rsidR="0072372B" w:rsidRPr="0072372B" w:rsidRDefault="0072372B" w:rsidP="0026028D">
            <w:pPr>
              <w:contextualSpacing/>
              <w:rPr>
                <w:bCs/>
              </w:rPr>
            </w:pPr>
            <w:r w:rsidRPr="0072372B">
              <w:rPr>
                <w:bCs/>
              </w:rPr>
              <w:t>Biological Threshold</w:t>
            </w:r>
          </w:p>
        </w:tc>
        <w:tc>
          <w:tcPr>
            <w:tcW w:w="0" w:type="auto"/>
            <w:shd w:val="clear" w:color="auto" w:fill="FFFFFF"/>
            <w:tcMar>
              <w:top w:w="120" w:type="dxa"/>
              <w:left w:w="120" w:type="dxa"/>
              <w:bottom w:w="120" w:type="dxa"/>
              <w:right w:w="120" w:type="dxa"/>
            </w:tcMar>
            <w:vAlign w:val="center"/>
          </w:tcPr>
          <w:p w14:paraId="5D338648" w14:textId="18820A40" w:rsidR="0072372B" w:rsidRPr="0072372B" w:rsidRDefault="003067FC" w:rsidP="0026028D">
            <w:pPr>
              <w:contextualSpacing/>
              <w:jc w:val="right"/>
              <w:rPr>
                <w:bCs/>
              </w:rPr>
            </w:pPr>
            <m:oMathPara>
              <m:oMath>
                <m:sSub>
                  <m:sSubPr>
                    <m:ctrlPr>
                      <w:rPr>
                        <w:rFonts w:ascii="Cambria Math" w:hAnsi="Cambria Math"/>
                        <w:bCs/>
                        <w:i/>
                      </w:rPr>
                    </m:ctrlPr>
                  </m:sSubPr>
                  <m:e>
                    <m:r>
                      <w:rPr>
                        <w:rFonts w:ascii="Cambria Math" w:hAnsi="Cambria Math"/>
                      </w:rPr>
                      <m:t>K</m:t>
                    </m:r>
                  </m:e>
                  <m:sub>
                    <m:r>
                      <w:rPr>
                        <w:rFonts w:ascii="Cambria Math" w:hAnsi="Cambria Math"/>
                      </w:rPr>
                      <m:t>wnt</m:t>
                    </m:r>
                  </m:sub>
                </m:sSub>
                <m:r>
                  <w:rPr>
                    <w:rFonts w:ascii="Cambria Math" w:hAnsi="Cambria Math"/>
                  </w:rPr>
                  <m:t xml:space="preserve">, </m:t>
                </m:r>
                <m:sSub>
                  <m:sSubPr>
                    <m:ctrlPr>
                      <w:rPr>
                        <w:rFonts w:ascii="Cambria Math" w:hAnsi="Cambria Math"/>
                        <w:bCs/>
                        <w:i/>
                      </w:rPr>
                    </m:ctrlPr>
                  </m:sSubPr>
                  <m:e>
                    <m:r>
                      <w:rPr>
                        <w:rFonts w:ascii="Cambria Math" w:hAnsi="Cambria Math"/>
                      </w:rPr>
                      <m:t>K</m:t>
                    </m:r>
                  </m:e>
                  <m:sub>
                    <m:r>
                      <w:rPr>
                        <w:rFonts w:ascii="Cambria Math" w:hAnsi="Cambria Math"/>
                      </w:rPr>
                      <m:t>FGF</m:t>
                    </m:r>
                    <m:r>
                      <w:rPr>
                        <w:rFonts w:ascii="Cambria Math" w:hAnsi="Cambria Math"/>
                      </w:rPr>
                      <m:t>5</m:t>
                    </m:r>
                  </m:sub>
                </m:sSub>
              </m:oMath>
            </m:oMathPara>
          </w:p>
        </w:tc>
        <w:tc>
          <w:tcPr>
            <w:tcW w:w="2229" w:type="dxa"/>
            <w:shd w:val="clear" w:color="auto" w:fill="FFFFFF"/>
          </w:tcPr>
          <w:p w14:paraId="1CB35991" w14:textId="77777777" w:rsidR="0072372B" w:rsidRPr="0072372B" w:rsidRDefault="0072372B" w:rsidP="0072372B">
            <w:pPr>
              <w:contextualSpacing/>
              <w:jc w:val="center"/>
              <w:rPr>
                <w:bCs/>
              </w:rPr>
            </w:pPr>
          </w:p>
        </w:tc>
        <w:tc>
          <w:tcPr>
            <w:tcW w:w="2229" w:type="dxa"/>
            <w:shd w:val="clear" w:color="auto" w:fill="FFFFFF"/>
            <w:tcMar>
              <w:top w:w="120" w:type="dxa"/>
              <w:left w:w="120" w:type="dxa"/>
              <w:bottom w:w="120" w:type="dxa"/>
              <w:right w:w="120" w:type="dxa"/>
            </w:tcMar>
            <w:vAlign w:val="center"/>
          </w:tcPr>
          <w:p w14:paraId="277FC840" w14:textId="2E9D1747" w:rsidR="0072372B" w:rsidRPr="0072372B" w:rsidRDefault="0072372B" w:rsidP="0026028D">
            <w:pPr>
              <w:contextualSpacing/>
              <w:jc w:val="right"/>
              <w:rPr>
                <w:bCs/>
              </w:rPr>
            </w:pPr>
            <w:r>
              <w:rPr>
                <w:bCs/>
              </w:rPr>
              <w:t>0.4 to 0.6 normalized</w:t>
            </w:r>
          </w:p>
        </w:tc>
      </w:tr>
      <w:tr w:rsidR="0072372B" w:rsidRPr="00BF4711" w14:paraId="710E71DF" w14:textId="77777777" w:rsidTr="00ED3F70">
        <w:trPr>
          <w:trHeight w:val="122"/>
          <w:tblHeader/>
        </w:trPr>
        <w:tc>
          <w:tcPr>
            <w:tcW w:w="4093" w:type="dxa"/>
            <w:shd w:val="clear" w:color="auto" w:fill="FFFFFF"/>
            <w:tcMar>
              <w:top w:w="120" w:type="dxa"/>
              <w:left w:w="120" w:type="dxa"/>
              <w:bottom w:w="120" w:type="dxa"/>
              <w:right w:w="120" w:type="dxa"/>
            </w:tcMar>
            <w:vAlign w:val="center"/>
          </w:tcPr>
          <w:p w14:paraId="10DECA22" w14:textId="397F928B" w:rsidR="0072372B" w:rsidRPr="0072372B" w:rsidRDefault="0072372B" w:rsidP="0026028D">
            <w:pPr>
              <w:contextualSpacing/>
              <w:rPr>
                <w:bCs/>
              </w:rPr>
            </w:pPr>
            <w:r w:rsidRPr="0072372B">
              <w:rPr>
                <w:bCs/>
              </w:rPr>
              <w:t>Biological Threshold</w:t>
            </w:r>
          </w:p>
        </w:tc>
        <w:tc>
          <w:tcPr>
            <w:tcW w:w="0" w:type="auto"/>
            <w:shd w:val="clear" w:color="auto" w:fill="FFFFFF"/>
            <w:tcMar>
              <w:top w:w="120" w:type="dxa"/>
              <w:left w:w="120" w:type="dxa"/>
              <w:bottom w:w="120" w:type="dxa"/>
              <w:right w:w="120" w:type="dxa"/>
            </w:tcMar>
            <w:vAlign w:val="center"/>
          </w:tcPr>
          <w:p w14:paraId="4DFD3B64" w14:textId="595310AF" w:rsidR="0072372B" w:rsidRPr="00FF5DD3" w:rsidRDefault="003067FC" w:rsidP="0026028D">
            <w:pPr>
              <w:contextualSpacing/>
              <w:jc w:val="right"/>
              <w:rPr>
                <w:bCs/>
              </w:rPr>
            </w:pPr>
            <m:oMathPara>
              <m:oMath>
                <m:sSub>
                  <m:sSubPr>
                    <m:ctrlPr>
                      <w:rPr>
                        <w:rFonts w:ascii="Cambria Math" w:hAnsi="Cambria Math"/>
                        <w:bCs/>
                        <w:i/>
                      </w:rPr>
                    </m:ctrlPr>
                  </m:sSubPr>
                  <m:e>
                    <m:r>
                      <w:rPr>
                        <w:rFonts w:ascii="Cambria Math" w:hAnsi="Cambria Math"/>
                      </w:rPr>
                      <m:t>K</m:t>
                    </m:r>
                  </m:e>
                  <m:sub>
                    <m:r>
                      <w:rPr>
                        <w:rFonts w:ascii="Cambria Math" w:hAnsi="Cambria Math"/>
                      </w:rPr>
                      <m:t>DHT</m:t>
                    </m:r>
                  </m:sub>
                </m:sSub>
              </m:oMath>
            </m:oMathPara>
          </w:p>
        </w:tc>
        <w:tc>
          <w:tcPr>
            <w:tcW w:w="2229" w:type="dxa"/>
            <w:shd w:val="clear" w:color="auto" w:fill="FFFFFF"/>
          </w:tcPr>
          <w:p w14:paraId="06DC4F49" w14:textId="77777777" w:rsidR="0072372B" w:rsidRPr="0072372B" w:rsidRDefault="0072372B" w:rsidP="0072372B">
            <w:pPr>
              <w:contextualSpacing/>
              <w:jc w:val="center"/>
              <w:rPr>
                <w:bCs/>
              </w:rPr>
            </w:pPr>
          </w:p>
        </w:tc>
        <w:tc>
          <w:tcPr>
            <w:tcW w:w="2229" w:type="dxa"/>
            <w:shd w:val="clear" w:color="auto" w:fill="FFFFFF"/>
            <w:tcMar>
              <w:top w:w="120" w:type="dxa"/>
              <w:left w:w="120" w:type="dxa"/>
              <w:bottom w:w="120" w:type="dxa"/>
              <w:right w:w="120" w:type="dxa"/>
            </w:tcMar>
            <w:vAlign w:val="center"/>
          </w:tcPr>
          <w:p w14:paraId="4CDA62D5" w14:textId="03240F0C" w:rsidR="0072372B" w:rsidRDefault="0072372B" w:rsidP="0026028D">
            <w:pPr>
              <w:contextualSpacing/>
              <w:jc w:val="right"/>
              <w:rPr>
                <w:bCs/>
              </w:rPr>
            </w:pPr>
            <w:r>
              <w:rPr>
                <w:bCs/>
              </w:rPr>
              <w:t>0.2 to 0.8 normalized</w:t>
            </w:r>
          </w:p>
        </w:tc>
      </w:tr>
    </w:tbl>
    <w:p w14:paraId="31FB1406" w14:textId="77777777" w:rsidR="00D276F3" w:rsidRPr="00BF4711" w:rsidRDefault="00D276F3" w:rsidP="0026028D">
      <w:pPr>
        <w:pStyle w:val="ListParagraph"/>
        <w:tabs>
          <w:tab w:val="left" w:pos="3500"/>
        </w:tabs>
      </w:pPr>
    </w:p>
    <w:p w14:paraId="083BF2B7" w14:textId="2273BB30" w:rsidR="00172740" w:rsidRDefault="00FD197F" w:rsidP="0026028D">
      <w:pPr>
        <w:contextualSpacing/>
        <w:jc w:val="both"/>
        <w:rPr>
          <w:rFonts w:eastAsiaTheme="minorEastAsia"/>
          <w:bCs/>
        </w:rPr>
      </w:pPr>
      <w:r>
        <w:rPr>
          <w:rFonts w:eastAsiaTheme="minorHAnsi"/>
        </w:rPr>
        <w:t xml:space="preserve">Large value of </w:t>
      </w:r>
      <m:oMath>
        <m:sSub>
          <m:sSubPr>
            <m:ctrlPr>
              <w:rPr>
                <w:rFonts w:ascii="Cambria Math" w:hAnsi="Cambria Math"/>
                <w:bCs/>
                <w:i/>
              </w:rPr>
            </m:ctrlPr>
          </m:sSubPr>
          <m:e>
            <m:r>
              <w:rPr>
                <w:rFonts w:ascii="Cambria Math" w:hAnsi="Cambria Math"/>
              </w:rPr>
              <m:t>K</m:t>
            </m:r>
          </m:e>
          <m:sub>
            <m:r>
              <w:rPr>
                <w:rFonts w:ascii="Cambria Math" w:hAnsi="Cambria Math"/>
              </w:rPr>
              <m:t>wnt</m:t>
            </m:r>
          </m:sub>
        </m:sSub>
      </m:oMath>
      <w:r>
        <w:rPr>
          <w:rFonts w:eastAsiaTheme="minorEastAsia"/>
          <w:bCs/>
        </w:rPr>
        <w:t xml:space="preserve"> results in blocking the hair follicle to leave telogen phase and enter anagen phase. </w:t>
      </w:r>
      <m:oMath>
        <m:sSub>
          <m:sSubPr>
            <m:ctrlPr>
              <w:rPr>
                <w:rFonts w:ascii="Cambria Math" w:hAnsi="Cambria Math"/>
                <w:bCs/>
                <w:i/>
              </w:rPr>
            </m:ctrlPr>
          </m:sSubPr>
          <m:e>
            <m:r>
              <w:rPr>
                <w:rFonts w:ascii="Cambria Math" w:hAnsi="Cambria Math"/>
              </w:rPr>
              <m:t>K</m:t>
            </m:r>
          </m:e>
          <m:sub>
            <m:r>
              <w:rPr>
                <w:rFonts w:ascii="Cambria Math" w:hAnsi="Cambria Math"/>
              </w:rPr>
              <m:t>FGF5</m:t>
            </m:r>
          </m:sub>
        </m:sSub>
        <m:r>
          <w:rPr>
            <w:rFonts w:ascii="Cambria Math" w:hAnsi="Cambria Math"/>
          </w:rPr>
          <m:t xml:space="preserve"> and </m:t>
        </m:r>
        <m:sSub>
          <m:sSubPr>
            <m:ctrlPr>
              <w:rPr>
                <w:rFonts w:ascii="Cambria Math" w:hAnsi="Cambria Math"/>
                <w:bCs/>
                <w:i/>
              </w:rPr>
            </m:ctrlPr>
          </m:sSubPr>
          <m:e>
            <m:r>
              <w:rPr>
                <w:rFonts w:ascii="Cambria Math" w:hAnsi="Cambria Math"/>
              </w:rPr>
              <m:t>K</m:t>
            </m:r>
          </m:e>
          <m:sub>
            <m:r>
              <w:rPr>
                <w:rFonts w:ascii="Cambria Math" w:hAnsi="Cambria Math"/>
              </w:rPr>
              <m:t>DHT</m:t>
            </m:r>
          </m:sub>
        </m:sSub>
      </m:oMath>
      <w:r>
        <w:rPr>
          <w:rFonts w:eastAsiaTheme="minorEastAsia"/>
          <w:bCs/>
        </w:rPr>
        <w:t xml:space="preserve"> dictates the exit of the follicle from growing phase. These values are directly related to the parameters of compartment model. </w:t>
      </w:r>
    </w:p>
    <w:p w14:paraId="24D16015" w14:textId="0F5FDE7F" w:rsidR="00FD197F" w:rsidRDefault="00FD197F" w:rsidP="0026028D">
      <w:pPr>
        <w:contextualSpacing/>
        <w:jc w:val="both"/>
        <w:rPr>
          <w:rFonts w:eastAsiaTheme="minorHAnsi"/>
        </w:rPr>
      </w:pPr>
    </w:p>
    <w:p w14:paraId="411DB6D0" w14:textId="531F059B" w:rsidR="00FD197F" w:rsidRPr="00FD197F" w:rsidRDefault="00FD197F" w:rsidP="0026028D">
      <w:pPr>
        <w:contextualSpacing/>
        <w:jc w:val="both"/>
        <w:rPr>
          <w:rFonts w:eastAsiaTheme="minorHAnsi"/>
          <w:b/>
        </w:rPr>
      </w:pPr>
      <w:r w:rsidRPr="00FD197F">
        <w:rPr>
          <w:rFonts w:eastAsiaTheme="minorHAnsi"/>
          <w:b/>
        </w:rPr>
        <w:t>Nonlinear regression:</w:t>
      </w:r>
    </w:p>
    <w:p w14:paraId="4FED7AB6" w14:textId="4CE0F674" w:rsidR="00FD197F" w:rsidRPr="00C9475C" w:rsidRDefault="00FD197F" w:rsidP="00FD197F">
      <w:pPr>
        <w:pStyle w:val="NormalWeb"/>
        <w:jc w:val="both"/>
        <w:rPr>
          <w:rFonts w:eastAsiaTheme="minorHAnsi"/>
        </w:rPr>
      </w:pPr>
      <w:r>
        <w:rPr>
          <w:rFonts w:eastAsiaTheme="minorHAnsi"/>
        </w:rPr>
        <w:t xml:space="preserve">We attempted to estimate the value the model parameters through nonlinear regression. </w:t>
      </w:r>
      <w:r w:rsidRPr="00C9475C">
        <w:rPr>
          <w:rFonts w:eastAsiaTheme="minorHAnsi"/>
        </w:rPr>
        <w:t>Due to the lack of accessible longitudinal clinical data,</w:t>
      </w:r>
      <w:r>
        <w:rPr>
          <w:rFonts w:eastAsiaTheme="minorHAnsi"/>
        </w:rPr>
        <w:t xml:space="preserve"> we generated</w:t>
      </w:r>
      <w:r w:rsidRPr="00C9475C">
        <w:rPr>
          <w:rFonts w:eastAsiaTheme="minorHAnsi"/>
        </w:rPr>
        <w:t xml:space="preserve"> synthetic</w:t>
      </w:r>
      <w:r>
        <w:rPr>
          <w:rFonts w:eastAsiaTheme="minorHAnsi"/>
        </w:rPr>
        <w:t xml:space="preserve"> </w:t>
      </w:r>
      <w:r w:rsidRPr="00C9475C">
        <w:rPr>
          <w:rFonts w:eastAsiaTheme="minorHAnsi"/>
        </w:rPr>
        <w:t xml:space="preserve">data. Specifically, we leveraged the stochastic framework presented in </w:t>
      </w:r>
      <w:proofErr w:type="spellStart"/>
      <w:r w:rsidRPr="00C9475C">
        <w:rPr>
          <w:rFonts w:eastAsiaTheme="minorHAnsi"/>
        </w:rPr>
        <w:t>Halloy</w:t>
      </w:r>
      <w:proofErr w:type="spellEnd"/>
      <w:r w:rsidRPr="00C9475C">
        <w:rPr>
          <w:rFonts w:eastAsiaTheme="minorHAnsi"/>
        </w:rPr>
        <w:t xml:space="preserve"> et al. (2026), which provides statistical characteristics for both alopecic </w:t>
      </w:r>
      <w:r w:rsidRPr="00C9475C">
        <w:rPr>
          <w:rFonts w:eastAsiaTheme="minorHAnsi"/>
        </w:rPr>
        <w:lastRenderedPageBreak/>
        <w:t>and non-alopecic populations. Using this framework, we implemented an agent-based simulation to generate realistic time-series data for follicle state transitions.</w:t>
      </w:r>
    </w:p>
    <w:p w14:paraId="0E6A9CCD" w14:textId="559F314F" w:rsidR="00FD197F" w:rsidRDefault="00FD197F" w:rsidP="00FD197F">
      <w:pPr>
        <w:pStyle w:val="NormalWeb"/>
        <w:jc w:val="both"/>
        <w:rPr>
          <w:rFonts w:eastAsiaTheme="minorHAnsi"/>
        </w:rPr>
      </w:pPr>
      <w:r>
        <w:rPr>
          <w:rFonts w:eastAsiaTheme="minorHAnsi"/>
        </w:rPr>
        <w:t xml:space="preserve">One of the challenges we faced during nonlinear fitting on ODE to the synthetic data is that, the ODE is a memoryless system while biological systems in general and the synthetic data in particular are not memoryless. </w:t>
      </w:r>
    </w:p>
    <w:p w14:paraId="0752FC46" w14:textId="6ED0F861" w:rsidR="00FD197F" w:rsidRDefault="00FD197F" w:rsidP="00FD197F">
      <w:pPr>
        <w:pStyle w:val="NormalWeb"/>
        <w:jc w:val="both"/>
        <w:rPr>
          <w:rFonts w:eastAsiaTheme="minorHAnsi"/>
        </w:rPr>
      </w:pPr>
      <w:r w:rsidRPr="00C9475C">
        <w:rPr>
          <w:rFonts w:eastAsiaTheme="minorHAnsi"/>
        </w:rPr>
        <w:t>To address this limitation, we extended the model by introducing sub</w:t>
      </w:r>
      <w:r>
        <w:rPr>
          <w:rFonts w:eastAsiaTheme="minorHAnsi"/>
        </w:rPr>
        <w:t>-</w:t>
      </w:r>
      <w:r w:rsidRPr="00C9475C">
        <w:rPr>
          <w:rFonts w:eastAsiaTheme="minorHAnsi"/>
        </w:rPr>
        <w:t xml:space="preserve">compartments within the primary states </w:t>
      </w:r>
      <w:r>
        <w:rPr>
          <w:rFonts w:eastAsiaTheme="minorHAnsi"/>
        </w:rPr>
        <w:t xml:space="preserve">of </w:t>
      </w:r>
      <w:r w:rsidRPr="00C9475C">
        <w:rPr>
          <w:rFonts w:eastAsiaTheme="minorHAnsi"/>
        </w:rPr>
        <w:t>anagen</w:t>
      </w:r>
      <w:r>
        <w:rPr>
          <w:rFonts w:eastAsiaTheme="minorHAnsi"/>
        </w:rPr>
        <w:t xml:space="preserve"> </w:t>
      </w:r>
      <w:r w:rsidRPr="00C9475C">
        <w:rPr>
          <w:rFonts w:eastAsiaTheme="minorHAnsi"/>
        </w:rPr>
        <w:t xml:space="preserve">and telogen. </w:t>
      </w:r>
    </w:p>
    <w:p w14:paraId="61D58856" w14:textId="38EB2A3A" w:rsidR="00FD197F" w:rsidRPr="00C9475C" w:rsidRDefault="00FD197F" w:rsidP="00FD197F">
      <w:pPr>
        <w:pStyle w:val="NormalWeb"/>
        <w:jc w:val="center"/>
        <w:rPr>
          <w:rFonts w:eastAsiaTheme="minorHAnsi"/>
        </w:rPr>
      </w:pPr>
      <w:r>
        <w:rPr>
          <w:rFonts w:eastAsiaTheme="minorHAnsi"/>
          <w:noProof/>
        </w:rPr>
        <w:drawing>
          <wp:inline distT="0" distB="0" distL="0" distR="0" wp14:anchorId="30BFB6E2" wp14:editId="00ADD8F7">
            <wp:extent cx="2400300" cy="54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b_hair_cycle_diagram_final_LR.png"/>
                    <pic:cNvPicPr/>
                  </pic:nvPicPr>
                  <pic:blipFill>
                    <a:blip r:embed="rId8">
                      <a:extLst>
                        <a:ext uri="{28A0092B-C50C-407E-A947-70E740481C1C}">
                          <a14:useLocalDpi xmlns:a14="http://schemas.microsoft.com/office/drawing/2010/main" val="0"/>
                        </a:ext>
                      </a:extLst>
                    </a:blip>
                    <a:stretch>
                      <a:fillRect/>
                    </a:stretch>
                  </pic:blipFill>
                  <pic:spPr>
                    <a:xfrm>
                      <a:off x="0" y="0"/>
                      <a:ext cx="2400300" cy="546100"/>
                    </a:xfrm>
                    <a:prstGeom prst="rect">
                      <a:avLst/>
                    </a:prstGeom>
                  </pic:spPr>
                </pic:pic>
              </a:graphicData>
            </a:graphic>
          </wp:inline>
        </w:drawing>
      </w:r>
    </w:p>
    <w:p w14:paraId="2E5A0E90" w14:textId="052FFC0E" w:rsidR="00FD197F" w:rsidRDefault="00FD197F" w:rsidP="0026028D">
      <w:pPr>
        <w:contextualSpacing/>
        <w:jc w:val="both"/>
        <w:rPr>
          <w:rFonts w:eastAsiaTheme="minorHAnsi"/>
        </w:rPr>
      </w:pPr>
    </w:p>
    <w:p w14:paraId="2A720FF2" w14:textId="1C188A02" w:rsidR="00FD197F" w:rsidRDefault="00FD197F" w:rsidP="00FD197F">
      <w:pPr>
        <w:jc w:val="both"/>
      </w:pPr>
      <w:r w:rsidRPr="00FD197F">
        <w:t>The residence time in each sub-compartment is assumed to follow an exponential distribution. Consequently, the total time spent within a state—being the sum of multiple exponential stages—follows an Erlang distribution. This removes the memoryless property of the system.</w:t>
      </w:r>
    </w:p>
    <w:p w14:paraId="747336CE" w14:textId="030A7300" w:rsidR="00AF39BB" w:rsidRDefault="00AF39BB" w:rsidP="00FD197F">
      <w:pPr>
        <w:jc w:val="both"/>
      </w:pPr>
    </w:p>
    <w:p w14:paraId="42EA8BB6" w14:textId="77777777" w:rsidR="00AF39BB" w:rsidRDefault="00AF39BB" w:rsidP="00FD197F">
      <w:pPr>
        <w:jc w:val="both"/>
      </w:pPr>
    </w:p>
    <w:p w14:paraId="52A40285" w14:textId="63A50BFB" w:rsidR="00AF39BB" w:rsidRPr="00AF39BB" w:rsidRDefault="00AF39BB" w:rsidP="00FD197F">
      <w:pPr>
        <w:jc w:val="both"/>
      </w:pPr>
      <m:oMathPara>
        <m:oMath>
          <m:r>
            <w:rPr>
              <w:rFonts w:ascii="Cambria Math" w:hAnsi="Cambria Math"/>
            </w:rPr>
            <m:t xml:space="preserve">t=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expon(λ)</m:t>
          </m:r>
        </m:oMath>
      </m:oMathPara>
    </w:p>
    <w:p w14:paraId="0A3CE91B" w14:textId="3AFE8E40" w:rsidR="00AF39BB" w:rsidRPr="00FD197F" w:rsidRDefault="00AF39BB" w:rsidP="00FD197F">
      <w:pPr>
        <w:jc w:val="both"/>
      </w:pPr>
      <m:oMathPara>
        <m:oMath>
          <m:r>
            <w:rPr>
              <w:rFonts w:ascii="Cambria Math" w:hAnsi="Cambria Math"/>
            </w:rPr>
            <m:t>f</m:t>
          </m:r>
          <m:d>
            <m:dPr>
              <m:ctrlPr>
                <w:rPr>
                  <w:rFonts w:ascii="Cambria Math" w:hAnsi="Cambria Math"/>
                  <w:i/>
                </w:rPr>
              </m:ctrlPr>
            </m:dPr>
            <m:e>
              <m:r>
                <w:rPr>
                  <w:rFonts w:ascii="Cambria Math" w:hAnsi="Cambria Math"/>
                </w:rPr>
                <m:t>t;k, λ</m:t>
              </m:r>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k</m:t>
                  </m:r>
                </m:sup>
              </m:sSup>
              <m:sSup>
                <m:sSupPr>
                  <m:ctrlPr>
                    <w:rPr>
                      <w:rFonts w:ascii="Cambria Math" w:hAnsi="Cambria Math"/>
                      <w:i/>
                    </w:rPr>
                  </m:ctrlPr>
                </m:sSupPr>
                <m:e>
                  <m:r>
                    <w:rPr>
                      <w:rFonts w:ascii="Cambria Math" w:hAnsi="Cambria Math"/>
                    </w:rPr>
                    <m:t>t</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-λt</m:t>
                  </m:r>
                </m:sup>
              </m:sSup>
            </m:num>
            <m:den>
              <m:r>
                <w:rPr>
                  <w:rFonts w:ascii="Cambria Math" w:hAnsi="Cambria Math"/>
                </w:rPr>
                <m:t>k-1</m:t>
              </m:r>
            </m:den>
          </m:f>
        </m:oMath>
      </m:oMathPara>
    </w:p>
    <w:p w14:paraId="02837A44" w14:textId="77777777" w:rsidR="00FD197F" w:rsidRPr="00BF4711" w:rsidRDefault="00FD197F" w:rsidP="0026028D">
      <w:pPr>
        <w:contextualSpacing/>
        <w:jc w:val="both"/>
        <w:rPr>
          <w:rFonts w:eastAsiaTheme="minorHAnsi"/>
        </w:rPr>
      </w:pPr>
    </w:p>
    <w:p w14:paraId="6E943253" w14:textId="4DC98589" w:rsidR="00840BB6" w:rsidRDefault="00AF39BB" w:rsidP="00AF39BB">
      <w:pPr>
        <w:tabs>
          <w:tab w:val="left" w:pos="7618"/>
        </w:tabs>
        <w:contextualSpacing/>
        <w:jc w:val="both"/>
        <w:rPr>
          <w:rFonts w:eastAsiaTheme="minorHAnsi"/>
        </w:rPr>
      </w:pPr>
      <w:r>
        <w:rPr>
          <w:rFonts w:eastAsiaTheme="minorHAnsi"/>
        </w:rPr>
        <w:tab/>
      </w:r>
      <w:bookmarkStart w:id="0" w:name="_GoBack"/>
      <w:bookmarkEnd w:id="0"/>
    </w:p>
    <w:p w14:paraId="116C051F" w14:textId="77777777" w:rsidR="00FD197F" w:rsidRPr="00BF4711" w:rsidRDefault="00FD197F" w:rsidP="0026028D">
      <w:pPr>
        <w:contextualSpacing/>
        <w:jc w:val="both"/>
        <w:rPr>
          <w:rFonts w:eastAsiaTheme="minorHAnsi"/>
        </w:rPr>
      </w:pPr>
    </w:p>
    <w:p w14:paraId="2735714C" w14:textId="5A6C2558" w:rsidR="00853AE7" w:rsidRPr="00BF4711" w:rsidRDefault="00BC2B04" w:rsidP="0026028D">
      <w:pPr>
        <w:pStyle w:val="ListParagraph"/>
        <w:numPr>
          <w:ilvl w:val="0"/>
          <w:numId w:val="1"/>
        </w:numPr>
        <w:ind w:left="360"/>
        <w:rPr>
          <w:b/>
        </w:rPr>
      </w:pPr>
      <w:r w:rsidRPr="00BF4711">
        <w:rPr>
          <w:b/>
        </w:rPr>
        <w:t>Results &amp; Discussion</w:t>
      </w:r>
    </w:p>
    <w:p w14:paraId="23752C39" w14:textId="77777777" w:rsidR="00C91902" w:rsidRDefault="00C91902" w:rsidP="0026028D">
      <w:pPr>
        <w:pStyle w:val="NormalWeb"/>
        <w:spacing w:before="0" w:beforeAutospacing="0" w:after="0" w:afterAutospacing="0"/>
        <w:contextualSpacing/>
        <w:jc w:val="both"/>
        <w:rPr>
          <w:rFonts w:eastAsiaTheme="minorHAnsi"/>
        </w:rPr>
      </w:pPr>
    </w:p>
    <w:p w14:paraId="5FB10E66" w14:textId="3AB5D0A9" w:rsidR="00CF264E" w:rsidRDefault="00DF2004" w:rsidP="0026028D">
      <w:pPr>
        <w:pStyle w:val="NormalWeb"/>
        <w:spacing w:before="0" w:beforeAutospacing="0" w:after="0" w:afterAutospacing="0"/>
        <w:contextualSpacing/>
        <w:jc w:val="both"/>
        <w:rPr>
          <w:rFonts w:eastAsiaTheme="minorHAnsi"/>
        </w:rPr>
      </w:pPr>
      <w:r>
        <w:rPr>
          <w:rFonts w:eastAsiaTheme="minorHAnsi"/>
        </w:rPr>
        <w:t>&lt;</w:t>
      </w:r>
      <w:r w:rsidRPr="00DF2004">
        <w:t xml:space="preserve"> </w:t>
      </w:r>
      <w:r w:rsidR="007D219A" w:rsidRPr="007D219A">
        <w:rPr>
          <w:rFonts w:eastAsiaTheme="minorHAnsi"/>
        </w:rPr>
        <w:t>Figure 6. Subject Level Population Dynamics (Simulated vs. ODE fit)</w:t>
      </w:r>
      <w:r>
        <w:rPr>
          <w:rFonts w:eastAsiaTheme="minorHAnsi"/>
        </w:rPr>
        <w:t>&gt;</w:t>
      </w:r>
    </w:p>
    <w:p w14:paraId="61B8B0A1" w14:textId="526AEF31" w:rsidR="00DF2004" w:rsidRDefault="00835EE2" w:rsidP="0026028D">
      <w:pPr>
        <w:pStyle w:val="NormalWeb"/>
        <w:spacing w:before="0" w:beforeAutospacing="0" w:after="0" w:afterAutospacing="0"/>
        <w:contextualSpacing/>
        <w:jc w:val="both"/>
        <w:rPr>
          <w:rFonts w:eastAsiaTheme="minorHAnsi"/>
        </w:rPr>
      </w:pPr>
      <w:r>
        <w:rPr>
          <w:rFonts w:eastAsiaTheme="minorHAnsi"/>
        </w:rPr>
        <w:t>&lt;</w:t>
      </w:r>
      <w:r w:rsidR="00527098" w:rsidRPr="00527098">
        <w:t xml:space="preserve"> </w:t>
      </w:r>
      <w:r w:rsidR="00527098" w:rsidRPr="00527098">
        <w:rPr>
          <w:rFonts w:eastAsiaTheme="minorHAnsi"/>
        </w:rPr>
        <w:t>Table 2: Parameter Uncertainty (Standard Errors)</w:t>
      </w:r>
      <w:r>
        <w:rPr>
          <w:rFonts w:eastAsiaTheme="minorHAnsi"/>
        </w:rPr>
        <w:t>&gt;</w:t>
      </w:r>
    </w:p>
    <w:p w14:paraId="67A0973F" w14:textId="34BE6582" w:rsidR="00835EE2" w:rsidRDefault="00835EE2" w:rsidP="0026028D">
      <w:pPr>
        <w:pStyle w:val="NormalWeb"/>
        <w:spacing w:before="0" w:beforeAutospacing="0" w:after="0" w:afterAutospacing="0"/>
        <w:contextualSpacing/>
        <w:jc w:val="both"/>
        <w:rPr>
          <w:rFonts w:eastAsiaTheme="minorHAnsi"/>
        </w:rPr>
      </w:pPr>
      <w:r>
        <w:rPr>
          <w:rFonts w:eastAsiaTheme="minorHAnsi"/>
        </w:rPr>
        <w:t>&lt;</w:t>
      </w:r>
      <w:r w:rsidR="008A5184" w:rsidRPr="008A5184">
        <w:t xml:space="preserve"> </w:t>
      </w:r>
      <w:r w:rsidR="008A5184" w:rsidRPr="008A5184">
        <w:rPr>
          <w:rFonts w:eastAsiaTheme="minorHAnsi"/>
        </w:rPr>
        <w:t>Figure 8. Residuals (Line Plots), Subject Level Population Dynamics</w:t>
      </w:r>
      <w:r>
        <w:rPr>
          <w:rFonts w:eastAsiaTheme="minorHAnsi"/>
        </w:rPr>
        <w:t>&gt;</w:t>
      </w:r>
    </w:p>
    <w:p w14:paraId="677A0B7E" w14:textId="78860882" w:rsidR="00835EE2" w:rsidRDefault="00835EE2" w:rsidP="0026028D">
      <w:pPr>
        <w:pStyle w:val="NormalWeb"/>
        <w:spacing w:before="0" w:beforeAutospacing="0" w:after="0" w:afterAutospacing="0"/>
        <w:contextualSpacing/>
        <w:jc w:val="both"/>
        <w:rPr>
          <w:rFonts w:eastAsiaTheme="minorHAnsi"/>
        </w:rPr>
      </w:pPr>
      <w:r>
        <w:rPr>
          <w:rFonts w:eastAsiaTheme="minorHAnsi"/>
        </w:rPr>
        <w:t>&lt;</w:t>
      </w:r>
      <w:r w:rsidR="002D26D4" w:rsidRPr="002D26D4">
        <w:t xml:space="preserve"> </w:t>
      </w:r>
      <w:r w:rsidR="002D26D4" w:rsidRPr="002D26D4">
        <w:rPr>
          <w:rFonts w:eastAsiaTheme="minorHAnsi"/>
        </w:rPr>
        <w:t>Figure 9. Residuals (Autocorrelation), Subject Level Population Dynamics</w:t>
      </w:r>
      <w:r>
        <w:rPr>
          <w:rFonts w:eastAsiaTheme="minorHAnsi"/>
        </w:rPr>
        <w:t>&gt;</w:t>
      </w:r>
    </w:p>
    <w:p w14:paraId="200BD75C" w14:textId="36A111A9" w:rsidR="00835EE2" w:rsidRDefault="00835EE2" w:rsidP="0026028D">
      <w:pPr>
        <w:pStyle w:val="NormalWeb"/>
        <w:spacing w:before="0" w:beforeAutospacing="0" w:after="0" w:afterAutospacing="0"/>
        <w:contextualSpacing/>
        <w:jc w:val="both"/>
        <w:rPr>
          <w:rFonts w:eastAsiaTheme="minorHAnsi"/>
        </w:rPr>
      </w:pPr>
      <w:r>
        <w:rPr>
          <w:rFonts w:eastAsiaTheme="minorHAnsi"/>
        </w:rPr>
        <w:t>&lt;&gt;</w:t>
      </w:r>
    </w:p>
    <w:p w14:paraId="1F916DD7" w14:textId="77777777" w:rsidR="00835EE2" w:rsidRDefault="00835EE2" w:rsidP="0026028D">
      <w:pPr>
        <w:pStyle w:val="NormalWeb"/>
        <w:spacing w:before="0" w:beforeAutospacing="0" w:after="0" w:afterAutospacing="0"/>
        <w:contextualSpacing/>
        <w:jc w:val="both"/>
        <w:rPr>
          <w:rFonts w:eastAsiaTheme="minorHAnsi"/>
        </w:rPr>
      </w:pPr>
    </w:p>
    <w:p w14:paraId="4A2828A0" w14:textId="77777777" w:rsidR="00DF2004" w:rsidRPr="00BF4711" w:rsidRDefault="00DF2004" w:rsidP="0026028D">
      <w:pPr>
        <w:pStyle w:val="NormalWeb"/>
        <w:spacing w:before="0" w:beforeAutospacing="0" w:after="0" w:afterAutospacing="0"/>
        <w:contextualSpacing/>
        <w:jc w:val="both"/>
        <w:rPr>
          <w:rFonts w:eastAsiaTheme="minorHAnsi"/>
        </w:rPr>
      </w:pPr>
    </w:p>
    <w:tbl>
      <w:tblPr>
        <w:tblStyle w:val="TableGrid"/>
        <w:tblW w:w="0" w:type="auto"/>
        <w:tblCellMar>
          <w:left w:w="43" w:type="dxa"/>
          <w:right w:w="43" w:type="dxa"/>
        </w:tblCellMar>
        <w:tblLook w:val="04A0" w:firstRow="1" w:lastRow="0" w:firstColumn="1" w:lastColumn="0" w:noHBand="0" w:noVBand="1"/>
      </w:tblPr>
      <w:tblGrid>
        <w:gridCol w:w="5035"/>
        <w:gridCol w:w="5035"/>
      </w:tblGrid>
      <w:tr w:rsidR="003F6FC6" w:rsidRPr="00BF4711" w14:paraId="3236663F" w14:textId="77777777" w:rsidTr="00A53C63">
        <w:trPr>
          <w:trHeight w:val="3392"/>
        </w:trPr>
        <w:tc>
          <w:tcPr>
            <w:tcW w:w="5035" w:type="dxa"/>
          </w:tcPr>
          <w:p w14:paraId="714B49AB" w14:textId="5F9173BB" w:rsidR="00764E4B" w:rsidRPr="00BF4711" w:rsidRDefault="00764E4B" w:rsidP="0026028D">
            <w:pPr>
              <w:pStyle w:val="NormalWeb"/>
              <w:spacing w:before="0" w:beforeAutospacing="0" w:after="0" w:afterAutospacing="0"/>
              <w:contextualSpacing/>
              <w:jc w:val="both"/>
              <w:rPr>
                <w:rFonts w:eastAsiaTheme="minorHAnsi"/>
              </w:rPr>
            </w:pPr>
          </w:p>
        </w:tc>
        <w:tc>
          <w:tcPr>
            <w:tcW w:w="5035" w:type="dxa"/>
          </w:tcPr>
          <w:p w14:paraId="70561A28" w14:textId="37F49058" w:rsidR="00764E4B" w:rsidRPr="00BF4711" w:rsidRDefault="00764E4B" w:rsidP="0026028D">
            <w:pPr>
              <w:pStyle w:val="NormalWeb"/>
              <w:spacing w:before="0" w:beforeAutospacing="0" w:after="0" w:afterAutospacing="0"/>
              <w:contextualSpacing/>
              <w:jc w:val="both"/>
              <w:rPr>
                <w:rFonts w:eastAsiaTheme="minorHAnsi"/>
              </w:rPr>
            </w:pPr>
          </w:p>
        </w:tc>
      </w:tr>
      <w:tr w:rsidR="00F93CF2" w:rsidRPr="00BF4711" w14:paraId="34CEDCED" w14:textId="77777777" w:rsidTr="00A53C63">
        <w:tc>
          <w:tcPr>
            <w:tcW w:w="10070" w:type="dxa"/>
            <w:gridSpan w:val="2"/>
          </w:tcPr>
          <w:p w14:paraId="6D92D3A9" w14:textId="01AB4FC1" w:rsidR="00F93CF2" w:rsidRPr="00BF4711" w:rsidRDefault="00070F28"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104517">
              <w:rPr>
                <w:rFonts w:eastAsiaTheme="minorHAnsi"/>
                <w:b/>
                <w:bCs/>
                <w:i/>
                <w:iCs/>
              </w:rPr>
              <w:t>xx</w:t>
            </w:r>
            <w:r w:rsidR="00333342" w:rsidRPr="00BF4711">
              <w:rPr>
                <w:rFonts w:eastAsiaTheme="minorHAnsi"/>
                <w:b/>
                <w:bCs/>
                <w:i/>
                <w:iCs/>
              </w:rPr>
              <w:t>.</w:t>
            </w:r>
            <w:r w:rsidR="00333342" w:rsidRPr="00BF4711">
              <w:rPr>
                <w:rFonts w:eastAsiaTheme="minorHAnsi"/>
              </w:rPr>
              <w:t xml:space="preserve"> </w:t>
            </w:r>
          </w:p>
        </w:tc>
      </w:tr>
    </w:tbl>
    <w:p w14:paraId="3F421EA1" w14:textId="77777777" w:rsidR="0091372F" w:rsidRPr="00BF4711" w:rsidRDefault="0091372F" w:rsidP="0026028D">
      <w:pPr>
        <w:pStyle w:val="NormalWeb"/>
        <w:spacing w:before="0" w:beforeAutospacing="0" w:after="0" w:afterAutospacing="0"/>
        <w:contextualSpacing/>
        <w:jc w:val="both"/>
        <w:rPr>
          <w:rFonts w:eastAsiaTheme="minorHAnsi"/>
        </w:rPr>
      </w:pPr>
    </w:p>
    <w:p w14:paraId="5EE623F6" w14:textId="30A79112" w:rsidR="00164712" w:rsidRPr="00631250" w:rsidRDefault="006E37A6" w:rsidP="00DC030F">
      <w:pPr>
        <w:pStyle w:val="NormalWeb"/>
        <w:spacing w:before="0" w:beforeAutospacing="0" w:after="120" w:afterAutospacing="0"/>
        <w:jc w:val="both"/>
        <w:rPr>
          <w:rFonts w:eastAsiaTheme="minorEastAsia"/>
          <w:b/>
          <w:bCs/>
        </w:rPr>
      </w:pPr>
      <w:r w:rsidRPr="00BF4711">
        <w:rPr>
          <w:rFonts w:eastAsiaTheme="minorEastAsia"/>
          <w:b/>
          <w:bCs/>
        </w:rPr>
        <w:t>Sensitivity to K</w:t>
      </w:r>
      <w:r w:rsidRPr="00BF4711">
        <w:rPr>
          <w:rFonts w:eastAsiaTheme="minorEastAsia"/>
          <w:b/>
          <w:bCs/>
          <w:vertAlign w:val="subscript"/>
        </w:rPr>
        <w:t>0</w:t>
      </w:r>
      <w:r w:rsidRPr="00BF4711">
        <w:rPr>
          <w:rFonts w:eastAsiaTheme="minorEastAsia"/>
          <w:b/>
          <w:bCs/>
        </w:rPr>
        <w:t>A.</w:t>
      </w:r>
    </w:p>
    <w:p w14:paraId="7357FC2B" w14:textId="20289DB0" w:rsidR="0098210B" w:rsidRPr="00BF4711" w:rsidRDefault="001E2FED" w:rsidP="0026028D">
      <w:pPr>
        <w:pStyle w:val="NormalWeb"/>
        <w:spacing w:before="0" w:beforeAutospacing="0" w:after="0" w:afterAutospacing="0"/>
        <w:contextualSpacing/>
        <w:jc w:val="both"/>
        <w:rPr>
          <w:rFonts w:eastAsiaTheme="minorEastAsia"/>
        </w:rPr>
      </w:pPr>
      <w:r w:rsidRPr="00BF4711">
        <w:rPr>
          <w:rFonts w:eastAsiaTheme="minorEastAsia"/>
        </w:rPr>
        <w:t xml:space="preserve">The sensitivity of </w:t>
      </w:r>
      <w:r w:rsidR="00CA5DF7" w:rsidRPr="00BF4711">
        <w:rPr>
          <w:rFonts w:eastAsiaTheme="minorEastAsia"/>
        </w:rPr>
        <w:t>the box model to changes in mass-transfer capacity K</w:t>
      </w:r>
      <w:r w:rsidR="00CA5DF7" w:rsidRPr="00BF4711">
        <w:rPr>
          <w:rFonts w:eastAsiaTheme="minorEastAsia"/>
          <w:vertAlign w:val="subscript"/>
        </w:rPr>
        <w:t>0</w:t>
      </w:r>
      <w:r w:rsidR="00CA5DF7" w:rsidRPr="00BF4711">
        <w:rPr>
          <w:rFonts w:eastAsiaTheme="minorEastAsia"/>
        </w:rPr>
        <w:t>A</w:t>
      </w:r>
      <w:r w:rsidR="00A620D1" w:rsidRPr="00BF4711">
        <w:rPr>
          <w:rFonts w:eastAsiaTheme="minorEastAsia"/>
        </w:rPr>
        <w:t xml:space="preserve"> is illustrated in </w:t>
      </w:r>
      <w:r w:rsidR="00A620D1" w:rsidRPr="00BF4711">
        <w:rPr>
          <w:rFonts w:eastAsiaTheme="minorEastAsia"/>
          <w:b/>
          <w:bCs/>
        </w:rPr>
        <w:t xml:space="preserve">Figure </w:t>
      </w:r>
      <w:r w:rsidR="00802886">
        <w:rPr>
          <w:rFonts w:eastAsiaTheme="minorEastAsia"/>
          <w:b/>
          <w:bCs/>
        </w:rPr>
        <w:t>3</w:t>
      </w:r>
      <w:r w:rsidR="00A620D1" w:rsidRPr="00BF4711">
        <w:rPr>
          <w:rFonts w:eastAsiaTheme="minorEastAsia"/>
        </w:rPr>
        <w:t xml:space="preserve">. These plots show how the concentration difference </w:t>
      </w:r>
      <w:r w:rsidR="00CA5DF7" w:rsidRPr="00BF4711">
        <w:rPr>
          <w:rFonts w:eastAsiaTheme="minorEastAsia"/>
        </w:rPr>
        <w:t xml:space="preserve"> </w:t>
      </w:r>
      <m:oMath>
        <m:r>
          <w:rPr>
            <w:rFonts w:ascii="Cambria Math" w:hAnsi="Cambria Math"/>
          </w:rPr>
          <m:t>∆</m:t>
        </m:r>
        <m:d>
          <m:dPr>
            <m:ctrlPr>
              <w:rPr>
                <w:rFonts w:ascii="Cambria Math" w:hAnsi="Cambria Math"/>
                <w:i/>
              </w:rPr>
            </m:ctrlPr>
          </m:dPr>
          <m:e>
            <m:r>
              <w:rPr>
                <w:rFonts w:ascii="Cambria Math" w:hAnsi="Cambria Math"/>
              </w:rPr>
              <m:t>x</m:t>
            </m:r>
          </m:e>
        </m:d>
      </m:oMath>
      <w:r w:rsidR="00F013EA" w:rsidRPr="00BF4711">
        <w:rPr>
          <w:rFonts w:eastAsiaTheme="minorEastAsia"/>
        </w:rPr>
        <w:t xml:space="preserve"> evolves along the fiber axis for both CO and CC</w:t>
      </w:r>
      <w:r w:rsidR="005877DE" w:rsidRPr="00BF4711">
        <w:rPr>
          <w:rFonts w:eastAsiaTheme="minorEastAsia"/>
        </w:rPr>
        <w:t xml:space="preserve"> flow when K</w:t>
      </w:r>
      <w:r w:rsidR="005877DE" w:rsidRPr="00BF4711">
        <w:rPr>
          <w:rFonts w:eastAsiaTheme="minorEastAsia"/>
          <w:vertAlign w:val="subscript"/>
        </w:rPr>
        <w:t>0</w:t>
      </w:r>
      <w:r w:rsidR="005877DE" w:rsidRPr="00BF4711">
        <w:rPr>
          <w:rFonts w:eastAsiaTheme="minorEastAsia"/>
        </w:rPr>
        <w:t xml:space="preserve">A is varied. </w:t>
      </w:r>
      <w:r w:rsidR="002015CD" w:rsidRPr="00BF4711">
        <w:rPr>
          <w:rFonts w:eastAsiaTheme="minorEastAsia"/>
        </w:rPr>
        <w:t>Changing K</w:t>
      </w:r>
      <w:r w:rsidR="002015CD" w:rsidRPr="00BF4711">
        <w:rPr>
          <w:rFonts w:eastAsiaTheme="minorEastAsia"/>
          <w:vertAlign w:val="subscript"/>
        </w:rPr>
        <w:t>0</w:t>
      </w:r>
      <w:r w:rsidR="002015CD" w:rsidRPr="00BF4711">
        <w:rPr>
          <w:rFonts w:eastAsiaTheme="minorEastAsia"/>
        </w:rPr>
        <w:t>A</w:t>
      </w:r>
      <w:r w:rsidR="0083568C" w:rsidRPr="00BF4711">
        <w:rPr>
          <w:rFonts w:eastAsiaTheme="minorEastAsia"/>
        </w:rPr>
        <w:t xml:space="preserve"> effectively mimics the behavior of </w:t>
      </w:r>
      <w:r w:rsidR="0075004A" w:rsidRPr="00BF4711">
        <w:rPr>
          <w:rFonts w:eastAsiaTheme="minorEastAsia"/>
        </w:rPr>
        <w:t>solutes with different diffusi</w:t>
      </w:r>
      <w:r w:rsidR="002729E7" w:rsidRPr="00BF4711">
        <w:rPr>
          <w:rFonts w:eastAsiaTheme="minorEastAsia"/>
        </w:rPr>
        <w:t>vities</w:t>
      </w:r>
      <w:r w:rsidR="0071519A" w:rsidRPr="00BF4711">
        <w:rPr>
          <w:rFonts w:eastAsiaTheme="minorEastAsia"/>
        </w:rPr>
        <w:t xml:space="preserve">: </w:t>
      </w:r>
      <w:r w:rsidR="002729E7" w:rsidRPr="00BF4711">
        <w:rPr>
          <w:rFonts w:eastAsiaTheme="minorEastAsia"/>
        </w:rPr>
        <w:t>lower K</w:t>
      </w:r>
      <w:r w:rsidR="002729E7" w:rsidRPr="00BF4711">
        <w:rPr>
          <w:rFonts w:eastAsiaTheme="minorEastAsia"/>
          <w:vertAlign w:val="subscript"/>
        </w:rPr>
        <w:t>0</w:t>
      </w:r>
      <w:r w:rsidR="002729E7" w:rsidRPr="00BF4711">
        <w:rPr>
          <w:rFonts w:eastAsiaTheme="minorEastAsia"/>
        </w:rPr>
        <w:t>A values resemble larger</w:t>
      </w:r>
      <w:r w:rsidR="007D1FB1" w:rsidRPr="00BF4711">
        <w:rPr>
          <w:rFonts w:eastAsiaTheme="minorEastAsia"/>
        </w:rPr>
        <w:t xml:space="preserve"> </w:t>
      </w:r>
      <w:r w:rsidR="00B006DB" w:rsidRPr="00BF4711">
        <w:rPr>
          <w:rFonts w:eastAsiaTheme="minorEastAsia"/>
        </w:rPr>
        <w:t xml:space="preserve">(slower diffusive) </w:t>
      </w:r>
      <w:r w:rsidR="00991804" w:rsidRPr="00BF4711">
        <w:rPr>
          <w:rFonts w:eastAsiaTheme="minorEastAsia"/>
        </w:rPr>
        <w:t>solutes</w:t>
      </w:r>
      <w:r w:rsidR="004157D5" w:rsidRPr="00BF4711">
        <w:rPr>
          <w:rFonts w:eastAsiaTheme="minorEastAsia"/>
        </w:rPr>
        <w:t xml:space="preserve"> such as phosphate</w:t>
      </w:r>
      <w:r w:rsidR="0000425B" w:rsidRPr="00BF4711">
        <w:rPr>
          <w:rFonts w:eastAsiaTheme="minorEastAsia"/>
        </w:rPr>
        <w:t xml:space="preserve"> (PO</w:t>
      </w:r>
      <w:r w:rsidR="0000425B" w:rsidRPr="00BF4711">
        <w:rPr>
          <w:rFonts w:eastAsiaTheme="minorEastAsia"/>
          <w:vertAlign w:val="subscript"/>
        </w:rPr>
        <w:t>4</w:t>
      </w:r>
      <w:r w:rsidR="0000425B" w:rsidRPr="00BF4711">
        <w:rPr>
          <w:rFonts w:eastAsiaTheme="minorEastAsia"/>
          <w:vertAlign w:val="superscript"/>
        </w:rPr>
        <w:t>2-</w:t>
      </w:r>
      <w:r w:rsidR="0000425B" w:rsidRPr="00BF4711">
        <w:rPr>
          <w:rFonts w:eastAsiaTheme="minorEastAsia"/>
        </w:rPr>
        <w:t>)</w:t>
      </w:r>
      <w:r w:rsidR="00DC5DF9" w:rsidRPr="00BF4711">
        <w:rPr>
          <w:rFonts w:eastAsiaTheme="minorEastAsia"/>
        </w:rPr>
        <w:t>, mid-range values correspond to solutes like crea</w:t>
      </w:r>
      <w:r w:rsidR="00553F53" w:rsidRPr="00BF4711">
        <w:rPr>
          <w:rFonts w:eastAsiaTheme="minorEastAsia"/>
        </w:rPr>
        <w:t>tinine, and high K</w:t>
      </w:r>
      <w:r w:rsidR="00553F53" w:rsidRPr="00BF4711">
        <w:rPr>
          <w:rFonts w:eastAsiaTheme="minorEastAsia"/>
          <w:vertAlign w:val="subscript"/>
        </w:rPr>
        <w:t>0</w:t>
      </w:r>
      <w:r w:rsidR="00553F53" w:rsidRPr="00BF4711">
        <w:rPr>
          <w:rFonts w:eastAsiaTheme="minorEastAsia"/>
        </w:rPr>
        <w:t>A</w:t>
      </w:r>
      <w:r w:rsidR="00980A07" w:rsidRPr="00BF4711">
        <w:rPr>
          <w:rFonts w:eastAsiaTheme="minorEastAsia"/>
        </w:rPr>
        <w:t xml:space="preserve"> values reflect small (fast diffusing) solutes such as urea. By comparing these</w:t>
      </w:r>
      <w:r w:rsidR="002A6B71" w:rsidRPr="00BF4711">
        <w:rPr>
          <w:rFonts w:eastAsiaTheme="minorEastAsia"/>
        </w:rPr>
        <w:t xml:space="preserve"> three representative cases, the </w:t>
      </w:r>
      <w:r w:rsidR="009B6071" w:rsidRPr="00BF4711">
        <w:rPr>
          <w:rFonts w:eastAsiaTheme="minorEastAsia"/>
        </w:rPr>
        <w:t>f</w:t>
      </w:r>
      <w:r w:rsidR="002A6B71" w:rsidRPr="00BF4711">
        <w:rPr>
          <w:rFonts w:eastAsiaTheme="minorEastAsia"/>
        </w:rPr>
        <w:t>igure highlights how strongly the predicted CO</w:t>
      </w:r>
      <w:r w:rsidR="0098210B" w:rsidRPr="00BF4711">
        <w:rPr>
          <w:rFonts w:eastAsiaTheme="minorEastAsia"/>
        </w:rPr>
        <w:t xml:space="preserve"> and CC gradients depend on the underlying mass-transfer capacity of the system.</w:t>
      </w:r>
      <w:r w:rsidR="00731F14" w:rsidRPr="00BF4711">
        <w:rPr>
          <w:rFonts w:eastAsiaTheme="minorEastAsia"/>
        </w:rPr>
        <w:t xml:space="preserve"> This interpretation is consistent </w:t>
      </w:r>
      <w:r w:rsidR="00456FC5" w:rsidRPr="00BF4711">
        <w:rPr>
          <w:rFonts w:eastAsiaTheme="minorEastAsia"/>
        </w:rPr>
        <w:t>with in vivo</w:t>
      </w:r>
      <w:r w:rsidR="00731F14" w:rsidRPr="00BF4711">
        <w:rPr>
          <w:rFonts w:eastAsiaTheme="minorEastAsia"/>
        </w:rPr>
        <w:t xml:space="preserve"> measurements reported in the HEMO Study (Depner et al., 2004</w:t>
      </w:r>
      <w:r w:rsidR="00B361A2" w:rsidRPr="00BF4711">
        <w:rPr>
          <w:rFonts w:eastAsiaTheme="minorEastAsia"/>
        </w:rPr>
        <w:t xml:space="preserve"> [</w:t>
      </w:r>
      <w:r w:rsidR="00A45B25" w:rsidRPr="00BF4711">
        <w:rPr>
          <w:rFonts w:eastAsiaTheme="minorEastAsia"/>
        </w:rPr>
        <w:t>5</w:t>
      </w:r>
      <w:r w:rsidR="00B361A2" w:rsidRPr="00BF4711">
        <w:rPr>
          <w:rFonts w:eastAsiaTheme="minorEastAsia"/>
        </w:rPr>
        <w:t>]</w:t>
      </w:r>
      <w:r w:rsidR="00731F14" w:rsidRPr="00BF4711">
        <w:rPr>
          <w:rFonts w:eastAsiaTheme="minorEastAsia"/>
        </w:rPr>
        <w:t>).</w:t>
      </w:r>
    </w:p>
    <w:p w14:paraId="5BB20644" w14:textId="1845978E" w:rsidR="002A73E7" w:rsidRDefault="002A73E7" w:rsidP="0026028D">
      <w:pPr>
        <w:pStyle w:val="NormalWeb"/>
        <w:spacing w:before="0" w:beforeAutospacing="0" w:after="0" w:afterAutospacing="0"/>
        <w:contextualSpacing/>
        <w:jc w:val="both"/>
        <w:rPr>
          <w:rFonts w:eastAsiaTheme="minorEastAsia"/>
        </w:rPr>
      </w:pPr>
    </w:p>
    <w:p w14:paraId="4FBE5AC6" w14:textId="1C67DBC6" w:rsidR="00554766" w:rsidRPr="00BF4711" w:rsidRDefault="00554766" w:rsidP="0026028D">
      <w:pPr>
        <w:pStyle w:val="NormalWeb"/>
        <w:spacing w:before="0" w:beforeAutospacing="0" w:after="0" w:afterAutospacing="0"/>
        <w:contextualSpacing/>
        <w:jc w:val="both"/>
        <w:rPr>
          <w:rFonts w:eastAsiaTheme="minorEastAsia"/>
        </w:rPr>
      </w:pPr>
      <w:r w:rsidRPr="00BF4711">
        <w:rPr>
          <w:rFonts w:eastAsiaTheme="minorHAnsi"/>
        </w:rPr>
        <w:t>At low K</w:t>
      </w:r>
      <w:r w:rsidRPr="00BF4711">
        <w:rPr>
          <w:rFonts w:eastAsiaTheme="minorHAnsi"/>
          <w:vertAlign w:val="subscript"/>
        </w:rPr>
        <w:t>0</w:t>
      </w:r>
      <w:r w:rsidRPr="00BF4711">
        <w:rPr>
          <w:rFonts w:eastAsiaTheme="minorHAnsi"/>
        </w:rPr>
        <w:t>A (400 mL/min) (</w:t>
      </w:r>
      <w:r w:rsidRPr="00BF4711">
        <w:rPr>
          <w:rFonts w:eastAsiaTheme="minorHAnsi"/>
          <w:b/>
          <w:bCs/>
          <w:i/>
          <w:iCs/>
        </w:rPr>
        <w:t xml:space="preserve">Figure </w:t>
      </w:r>
      <w:r w:rsidR="007D7A72">
        <w:rPr>
          <w:rFonts w:eastAsiaTheme="minorHAnsi"/>
          <w:b/>
          <w:bCs/>
          <w:i/>
          <w:iCs/>
        </w:rPr>
        <w:t>3</w:t>
      </w:r>
      <w:r w:rsidRPr="00BF4711">
        <w:rPr>
          <w:rFonts w:eastAsiaTheme="minorHAnsi"/>
          <w:b/>
          <w:bCs/>
          <w:i/>
          <w:iCs/>
        </w:rPr>
        <w:t>a</w:t>
      </w:r>
      <w:r w:rsidRPr="00BF4711">
        <w:rPr>
          <w:rFonts w:eastAsiaTheme="minorHAnsi"/>
        </w:rPr>
        <w:t xml:space="preserve">), both CO and CC flows show a slow, gradual decline in </w:t>
      </w:r>
      <m:oMath>
        <m:r>
          <w:rPr>
            <w:rFonts w:ascii="Cambria Math" w:hAnsi="Cambria Math"/>
          </w:rPr>
          <m:t>∆</m:t>
        </m:r>
        <m:d>
          <m:dPr>
            <m:ctrlPr>
              <w:rPr>
                <w:rFonts w:ascii="Cambria Math" w:hAnsi="Cambria Math"/>
                <w:i/>
              </w:rPr>
            </m:ctrlPr>
          </m:dPr>
          <m:e>
            <m:r>
              <w:rPr>
                <w:rFonts w:ascii="Cambria Math" w:hAnsi="Cambria Math"/>
              </w:rPr>
              <m:t>x</m:t>
            </m:r>
          </m:e>
        </m:d>
      </m:oMath>
      <w:r w:rsidRPr="00BF4711">
        <w:rPr>
          <w:rFonts w:eastAsiaTheme="minorEastAsia"/>
        </w:rPr>
        <w:t>. CC maintains a slightly higher gradient, but the difference between the two configurations is small. This behavior is typical of larger or slower-diffusing solutes, where membrane transport is the limiting step and equilibration occurs slowly.</w:t>
      </w:r>
    </w:p>
    <w:p w14:paraId="54AD4C00" w14:textId="77777777" w:rsidR="00554766" w:rsidRPr="00BF4711" w:rsidRDefault="00554766" w:rsidP="0026028D">
      <w:pPr>
        <w:pStyle w:val="NormalWeb"/>
        <w:spacing w:before="0" w:beforeAutospacing="0" w:after="0" w:afterAutospacing="0"/>
        <w:contextualSpacing/>
        <w:jc w:val="both"/>
        <w:rPr>
          <w:rFonts w:eastAsiaTheme="minorEastAsia"/>
        </w:rPr>
      </w:pPr>
    </w:p>
    <w:p w14:paraId="17496F53" w14:textId="22E8FC8D" w:rsidR="00554766" w:rsidRPr="00BF4711" w:rsidRDefault="00554766" w:rsidP="0026028D">
      <w:pPr>
        <w:pStyle w:val="NormalWeb"/>
        <w:spacing w:before="0" w:beforeAutospacing="0" w:after="0" w:afterAutospacing="0"/>
        <w:contextualSpacing/>
        <w:jc w:val="both"/>
        <w:rPr>
          <w:rFonts w:eastAsiaTheme="minorEastAsia"/>
        </w:rPr>
      </w:pPr>
      <w:r w:rsidRPr="00BF4711">
        <w:rPr>
          <w:rFonts w:eastAsiaTheme="minorEastAsia"/>
        </w:rPr>
        <w:t>At moderate K</w:t>
      </w:r>
      <w:r w:rsidRPr="00D30D4E">
        <w:rPr>
          <w:rFonts w:eastAsiaTheme="minorEastAsia"/>
          <w:vertAlign w:val="subscript"/>
        </w:rPr>
        <w:t>0</w:t>
      </w:r>
      <w:r w:rsidRPr="00BF4711">
        <w:rPr>
          <w:rFonts w:eastAsiaTheme="minorEastAsia"/>
        </w:rPr>
        <w:t>A (800 mL/min) (</w:t>
      </w:r>
      <w:r w:rsidRPr="00BF4711">
        <w:rPr>
          <w:rFonts w:eastAsiaTheme="minorEastAsia"/>
          <w:b/>
          <w:bCs/>
          <w:i/>
          <w:iCs/>
        </w:rPr>
        <w:t xml:space="preserve">Figure </w:t>
      </w:r>
      <w:r w:rsidR="007D7A72">
        <w:rPr>
          <w:rFonts w:eastAsiaTheme="minorEastAsia"/>
          <w:b/>
          <w:bCs/>
          <w:i/>
          <w:iCs/>
        </w:rPr>
        <w:t>3</w:t>
      </w:r>
      <w:r w:rsidRPr="00BF4711">
        <w:rPr>
          <w:rFonts w:eastAsiaTheme="minorEastAsia"/>
          <w:b/>
          <w:bCs/>
          <w:i/>
          <w:iCs/>
        </w:rPr>
        <w:t>b</w:t>
      </w:r>
      <w:r w:rsidRPr="00BF4711">
        <w:rPr>
          <w:rFonts w:eastAsiaTheme="minorEastAsia"/>
        </w:rPr>
        <w:t>), the gradients decay more quickly. The CO curve collapses early, reaching near-equilibrium within the first half of the fiber, while CC still preserves a meaningful gradient over a longer distance. This pattern resembles mid-range solutes like creatinine, where the membrane is more effective and the advantage of CC becomes more noticeable.</w:t>
      </w:r>
    </w:p>
    <w:p w14:paraId="08556989" w14:textId="77777777" w:rsidR="00554766" w:rsidRDefault="00554766" w:rsidP="0026028D">
      <w:pPr>
        <w:pStyle w:val="NormalWeb"/>
        <w:spacing w:before="0" w:beforeAutospacing="0" w:after="0" w:afterAutospacing="0"/>
        <w:contextualSpacing/>
        <w:jc w:val="both"/>
        <w:rPr>
          <w:rFonts w:eastAsiaTheme="minorEastAsia"/>
        </w:rPr>
      </w:pPr>
    </w:p>
    <w:p w14:paraId="61148C49" w14:textId="6C3F550C" w:rsidR="001C54E9" w:rsidRPr="00BF4711" w:rsidRDefault="001C54E9" w:rsidP="001C54E9">
      <w:pPr>
        <w:pStyle w:val="NormalWeb"/>
        <w:spacing w:before="0" w:beforeAutospacing="0" w:after="0" w:afterAutospacing="0"/>
        <w:contextualSpacing/>
        <w:jc w:val="both"/>
        <w:rPr>
          <w:rFonts w:eastAsiaTheme="minorEastAsia"/>
        </w:rPr>
      </w:pPr>
      <w:r w:rsidRPr="00BF4711">
        <w:rPr>
          <w:rFonts w:eastAsiaTheme="minorEastAsia"/>
        </w:rPr>
        <w:t>At high K</w:t>
      </w:r>
      <w:r w:rsidRPr="00BF4711">
        <w:rPr>
          <w:rFonts w:eastAsiaTheme="minorEastAsia"/>
          <w:vertAlign w:val="subscript"/>
        </w:rPr>
        <w:t>0</w:t>
      </w:r>
      <w:r w:rsidRPr="00BF4711">
        <w:rPr>
          <w:rFonts w:eastAsiaTheme="minorEastAsia"/>
        </w:rPr>
        <w:t>A (</w:t>
      </w:r>
      <w:r w:rsidRPr="00BF4711">
        <w:rPr>
          <w:rFonts w:eastAsiaTheme="minorEastAsia"/>
          <w:b/>
          <w:bCs/>
          <w:i/>
          <w:iCs/>
        </w:rPr>
        <w:t xml:space="preserve">Figure </w:t>
      </w:r>
      <w:r w:rsidR="007D7A72">
        <w:rPr>
          <w:rFonts w:eastAsiaTheme="minorEastAsia"/>
          <w:b/>
          <w:bCs/>
          <w:i/>
          <w:iCs/>
        </w:rPr>
        <w:t>3</w:t>
      </w:r>
      <w:r w:rsidRPr="00BF4711">
        <w:rPr>
          <w:rFonts w:eastAsiaTheme="minorEastAsia"/>
          <w:b/>
          <w:bCs/>
          <w:i/>
          <w:iCs/>
        </w:rPr>
        <w:t>c</w:t>
      </w:r>
      <w:r w:rsidRPr="00BF4711">
        <w:rPr>
          <w:rFonts w:eastAsiaTheme="minorEastAsia"/>
        </w:rPr>
        <w:t xml:space="preserve">), equilibrium happens rapidly. The CO gradient drops almost immediately near the inlet, leaving little driving force downstream. CC also decays faster than before, but it still maintains a larger gradient across most of the fiber. This behavior mirrors small, fast-diffusing solutes like urea, where the membrane is highly effective and CC flow shows a clear performance advantage. </w:t>
      </w:r>
    </w:p>
    <w:p w14:paraId="7ED589CD" w14:textId="77777777" w:rsidR="001C54E9" w:rsidRPr="00BF4711" w:rsidRDefault="001C54E9" w:rsidP="0026028D">
      <w:pPr>
        <w:pStyle w:val="NormalWeb"/>
        <w:spacing w:before="0" w:beforeAutospacing="0" w:after="0" w:afterAutospacing="0"/>
        <w:contextualSpacing/>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5040"/>
        <w:gridCol w:w="5040"/>
      </w:tblGrid>
      <w:tr w:rsidR="00FB5D17" w:rsidRPr="00BF4711" w14:paraId="5E49E58F" w14:textId="77777777" w:rsidTr="00F70B24">
        <w:tc>
          <w:tcPr>
            <w:tcW w:w="5035" w:type="dxa"/>
          </w:tcPr>
          <w:p w14:paraId="7DF0309B" w14:textId="79528523" w:rsidR="00FB5D17" w:rsidRPr="00BF4711" w:rsidRDefault="00890BE8" w:rsidP="0026028D">
            <w:pPr>
              <w:pStyle w:val="NormalWeb"/>
              <w:spacing w:before="0" w:beforeAutospacing="0" w:after="0" w:afterAutospacing="0"/>
              <w:contextualSpacing/>
              <w:jc w:val="both"/>
              <w:rPr>
                <w:rFonts w:eastAsiaTheme="minorHAnsi"/>
              </w:rPr>
            </w:pPr>
            <w:r w:rsidRPr="00BF4711">
              <w:rPr>
                <w:rFonts w:eastAsiaTheme="minorHAnsi"/>
                <w:noProof/>
              </w:rPr>
              <w:lastRenderedPageBreak/>
              <w:drawing>
                <wp:inline distT="0" distB="0" distL="0" distR="0" wp14:anchorId="6DCA904A" wp14:editId="1EDF01B9">
                  <wp:extent cx="3227832" cy="2569464"/>
                  <wp:effectExtent l="0" t="0" r="0" b="2540"/>
                  <wp:docPr id="32077101"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101" name="Graphic 32077101"/>
                          <pic:cNvPicPr/>
                        </pic:nvPicPr>
                        <pic:blipFill>
                          <a:blip r:embed="rId9">
                            <a:extLst>
                              <a:ext uri="{96DAC541-7B7A-43D3-8B79-37D633B846F1}">
                                <asvg:svgBlip xmlns:asvg="http://schemas.microsoft.com/office/drawing/2016/SVG/main" r:embed="rId10"/>
                              </a:ext>
                            </a:extLst>
                          </a:blip>
                          <a:stretch>
                            <a:fillRect/>
                          </a:stretch>
                        </pic:blipFill>
                        <pic:spPr>
                          <a:xfrm>
                            <a:off x="0" y="0"/>
                            <a:ext cx="3227832" cy="2569464"/>
                          </a:xfrm>
                          <a:prstGeom prst="rect">
                            <a:avLst/>
                          </a:prstGeom>
                        </pic:spPr>
                      </pic:pic>
                    </a:graphicData>
                  </a:graphic>
                </wp:inline>
              </w:drawing>
            </w:r>
          </w:p>
        </w:tc>
        <w:tc>
          <w:tcPr>
            <w:tcW w:w="5035" w:type="dxa"/>
          </w:tcPr>
          <w:p w14:paraId="0285B3A8" w14:textId="56A01E77" w:rsidR="00FB5D17" w:rsidRPr="00BF4711" w:rsidRDefault="00AF23F4" w:rsidP="0026028D">
            <w:pPr>
              <w:pStyle w:val="NormalWeb"/>
              <w:spacing w:before="0" w:beforeAutospacing="0" w:after="0" w:afterAutospacing="0"/>
              <w:contextualSpacing/>
              <w:jc w:val="both"/>
              <w:rPr>
                <w:rFonts w:eastAsiaTheme="minorHAnsi"/>
              </w:rPr>
            </w:pPr>
            <w:r w:rsidRPr="00BF4711">
              <w:rPr>
                <w:rFonts w:eastAsiaTheme="minorHAnsi"/>
                <w:noProof/>
              </w:rPr>
              <w:drawing>
                <wp:inline distT="0" distB="0" distL="0" distR="0" wp14:anchorId="57BDA0C2" wp14:editId="6C51C94E">
                  <wp:extent cx="3227832" cy="2569464"/>
                  <wp:effectExtent l="0" t="0" r="0" b="2540"/>
                  <wp:docPr id="59473965"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965" name="Graphic 59473965"/>
                          <pic:cNvPicPr/>
                        </pic:nvPicPr>
                        <pic:blipFill>
                          <a:blip r:embed="rId11">
                            <a:extLst>
                              <a:ext uri="{96DAC541-7B7A-43D3-8B79-37D633B846F1}">
                                <asvg:svgBlip xmlns:asvg="http://schemas.microsoft.com/office/drawing/2016/SVG/main" r:embed="rId12"/>
                              </a:ext>
                            </a:extLst>
                          </a:blip>
                          <a:stretch>
                            <a:fillRect/>
                          </a:stretch>
                        </pic:blipFill>
                        <pic:spPr>
                          <a:xfrm>
                            <a:off x="0" y="0"/>
                            <a:ext cx="3227832" cy="2569464"/>
                          </a:xfrm>
                          <a:prstGeom prst="rect">
                            <a:avLst/>
                          </a:prstGeom>
                        </pic:spPr>
                      </pic:pic>
                    </a:graphicData>
                  </a:graphic>
                </wp:inline>
              </w:drawing>
            </w:r>
          </w:p>
        </w:tc>
      </w:tr>
      <w:tr w:rsidR="00257840" w:rsidRPr="00BF4711" w14:paraId="0054A42B" w14:textId="77777777" w:rsidTr="00F70B24">
        <w:trPr>
          <w:trHeight w:val="3932"/>
        </w:trPr>
        <w:tc>
          <w:tcPr>
            <w:tcW w:w="10070" w:type="dxa"/>
            <w:gridSpan w:val="2"/>
          </w:tcPr>
          <w:p w14:paraId="7E9DA1C9" w14:textId="2978FD18" w:rsidR="00257840" w:rsidRPr="00BF4711" w:rsidRDefault="00257840" w:rsidP="0026028D">
            <w:pPr>
              <w:pStyle w:val="NormalWeb"/>
              <w:spacing w:before="0" w:beforeAutospacing="0" w:after="0" w:afterAutospacing="0"/>
              <w:contextualSpacing/>
              <w:jc w:val="center"/>
              <w:rPr>
                <w:rFonts w:eastAsiaTheme="minorHAnsi"/>
              </w:rPr>
            </w:pPr>
            <w:r w:rsidRPr="00BF4711">
              <w:rPr>
                <w:rFonts w:eastAsiaTheme="minorHAnsi"/>
                <w:noProof/>
              </w:rPr>
              <w:drawing>
                <wp:inline distT="0" distB="0" distL="0" distR="0" wp14:anchorId="21923D97" wp14:editId="1F9A3C50">
                  <wp:extent cx="3227832" cy="2569464"/>
                  <wp:effectExtent l="0" t="0" r="0" b="2540"/>
                  <wp:docPr id="1897750937"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0937" name="Graphic 1897750937"/>
                          <pic:cNvPicPr/>
                        </pic:nvPicPr>
                        <pic:blipFill>
                          <a:blip r:embed="rId13">
                            <a:extLst>
                              <a:ext uri="{96DAC541-7B7A-43D3-8B79-37D633B846F1}">
                                <asvg:svgBlip xmlns:asvg="http://schemas.microsoft.com/office/drawing/2016/SVG/main" r:embed="rId14"/>
                              </a:ext>
                            </a:extLst>
                          </a:blip>
                          <a:stretch>
                            <a:fillRect/>
                          </a:stretch>
                        </pic:blipFill>
                        <pic:spPr>
                          <a:xfrm>
                            <a:off x="0" y="0"/>
                            <a:ext cx="3227832" cy="2569464"/>
                          </a:xfrm>
                          <a:prstGeom prst="rect">
                            <a:avLst/>
                          </a:prstGeom>
                        </pic:spPr>
                      </pic:pic>
                    </a:graphicData>
                  </a:graphic>
                </wp:inline>
              </w:drawing>
            </w:r>
          </w:p>
        </w:tc>
      </w:tr>
      <w:tr w:rsidR="00070F28" w:rsidRPr="00BF4711" w14:paraId="2CBB7E7C" w14:textId="77777777" w:rsidTr="00F70B24">
        <w:trPr>
          <w:trHeight w:val="602"/>
        </w:trPr>
        <w:tc>
          <w:tcPr>
            <w:tcW w:w="10070" w:type="dxa"/>
            <w:gridSpan w:val="2"/>
          </w:tcPr>
          <w:p w14:paraId="644B02E9" w14:textId="33F9D15F" w:rsidR="00070F28" w:rsidRPr="00BF4711" w:rsidRDefault="007169F7"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7014EF">
              <w:rPr>
                <w:rFonts w:eastAsiaTheme="minorHAnsi"/>
                <w:b/>
                <w:bCs/>
                <w:i/>
                <w:iCs/>
              </w:rPr>
              <w:t>3</w:t>
            </w:r>
            <w:r w:rsidRPr="00BF4711">
              <w:rPr>
                <w:rFonts w:eastAsiaTheme="minorHAnsi"/>
                <w:b/>
                <w:bCs/>
                <w:i/>
                <w:iCs/>
              </w:rPr>
              <w:t>.</w:t>
            </w:r>
            <w:r w:rsidRPr="00BF4711">
              <w:rPr>
                <w:rFonts w:eastAsiaTheme="minorHAnsi"/>
              </w:rPr>
              <w:t xml:space="preserve"> </w:t>
            </w:r>
            <w:r w:rsidR="005304C9" w:rsidRPr="00BF4711">
              <w:rPr>
                <w:rFonts w:eastAsiaTheme="minorHAnsi"/>
              </w:rPr>
              <w:t>S</w:t>
            </w:r>
            <w:r w:rsidR="0058617E" w:rsidRPr="00BF4711">
              <w:rPr>
                <w:rFonts w:eastAsiaTheme="minorHAnsi"/>
              </w:rPr>
              <w:t xml:space="preserve">ensitivity of the box model </w:t>
            </w:r>
            <w:r w:rsidR="00470802" w:rsidRPr="00BF4711">
              <w:rPr>
                <w:rFonts w:eastAsiaTheme="minorHAnsi"/>
              </w:rPr>
              <w:t xml:space="preserve">predicted </w:t>
            </w:r>
            <w:r w:rsidR="00F87166" w:rsidRPr="00BF4711">
              <w:rPr>
                <w:rFonts w:eastAsiaTheme="minorHAnsi"/>
              </w:rPr>
              <w:t xml:space="preserve">spatial concentration profiles </w:t>
            </w:r>
            <w:r w:rsidR="0058617E" w:rsidRPr="00BF4711">
              <w:rPr>
                <w:rFonts w:eastAsiaTheme="minorHAnsi"/>
              </w:rPr>
              <w:t>to changes in mass-transfer capacity K</w:t>
            </w:r>
            <w:r w:rsidR="0058617E" w:rsidRPr="00BF4711">
              <w:rPr>
                <w:rFonts w:eastAsiaTheme="minorHAnsi"/>
                <w:vertAlign w:val="subscript"/>
              </w:rPr>
              <w:t>0</w:t>
            </w:r>
            <w:r w:rsidR="0058617E" w:rsidRPr="00BF4711">
              <w:rPr>
                <w:rFonts w:eastAsiaTheme="minorHAnsi"/>
              </w:rPr>
              <w:t xml:space="preserve">A </w:t>
            </w:r>
            <w:r w:rsidR="00F87166" w:rsidRPr="00BF4711">
              <w:rPr>
                <w:rFonts w:eastAsiaTheme="minorHAnsi"/>
              </w:rPr>
              <w:t xml:space="preserve">during co-current and counter-current </w:t>
            </w:r>
            <w:r w:rsidR="00297AF9" w:rsidRPr="00BF4711">
              <w:rPr>
                <w:rFonts w:eastAsiaTheme="minorHAnsi"/>
              </w:rPr>
              <w:t xml:space="preserve">kidney </w:t>
            </w:r>
            <w:r w:rsidR="00F87166" w:rsidRPr="00BF4711">
              <w:rPr>
                <w:rFonts w:eastAsiaTheme="minorHAnsi"/>
              </w:rPr>
              <w:t>dialysis</w:t>
            </w:r>
            <w:r w:rsidR="00297AF9" w:rsidRPr="00BF4711">
              <w:rPr>
                <w:rFonts w:eastAsiaTheme="minorHAnsi"/>
              </w:rPr>
              <w:t>.</w:t>
            </w:r>
          </w:p>
        </w:tc>
      </w:tr>
    </w:tbl>
    <w:p w14:paraId="1EC4B225" w14:textId="77777777" w:rsidR="00FB5D17" w:rsidRPr="00BF4711" w:rsidRDefault="00FB5D17" w:rsidP="0026028D">
      <w:pPr>
        <w:pStyle w:val="NormalWeb"/>
        <w:spacing w:before="0" w:beforeAutospacing="0" w:after="0" w:afterAutospacing="0"/>
        <w:contextualSpacing/>
        <w:jc w:val="both"/>
        <w:rPr>
          <w:rFonts w:eastAsiaTheme="minorHAnsi"/>
        </w:rPr>
      </w:pPr>
    </w:p>
    <w:p w14:paraId="34C2466B" w14:textId="77777777" w:rsidR="0086415E" w:rsidRPr="00BF4711" w:rsidRDefault="0086415E" w:rsidP="0026028D">
      <w:pPr>
        <w:pStyle w:val="NormalWeb"/>
        <w:spacing w:before="0" w:beforeAutospacing="0" w:after="0" w:afterAutospacing="0"/>
        <w:contextualSpacing/>
        <w:jc w:val="both"/>
        <w:rPr>
          <w:rFonts w:eastAsiaTheme="minorHAnsi"/>
        </w:rPr>
      </w:pPr>
    </w:p>
    <w:p w14:paraId="5C24DC15" w14:textId="64C51D71" w:rsidR="00FA64CC" w:rsidRPr="00A67114" w:rsidRDefault="00CB5ADC" w:rsidP="001C54E9">
      <w:pPr>
        <w:pStyle w:val="NormalWeb"/>
        <w:spacing w:before="0" w:beforeAutospacing="0" w:after="120" w:afterAutospacing="0"/>
        <w:jc w:val="both"/>
        <w:rPr>
          <w:rFonts w:eastAsiaTheme="minorEastAsia"/>
          <w:b/>
          <w:bCs/>
        </w:rPr>
      </w:pPr>
      <w:r w:rsidRPr="00BF4711">
        <w:rPr>
          <w:rFonts w:eastAsiaTheme="minorEastAsia"/>
          <w:b/>
          <w:bCs/>
        </w:rPr>
        <w:t xml:space="preserve">Sensitivity to </w:t>
      </w:r>
      <w:r w:rsidR="00C55AEE" w:rsidRPr="00BF4711">
        <w:rPr>
          <w:rFonts w:eastAsiaTheme="minorEastAsia"/>
          <w:b/>
          <w:bCs/>
        </w:rPr>
        <w:t>Dialysate Flow Rate</w:t>
      </w:r>
      <w:r w:rsidR="00F670C2" w:rsidRPr="00BF4711">
        <w:rPr>
          <w:rFonts w:eastAsiaTheme="minorEastAsia"/>
          <w:b/>
          <w:bCs/>
        </w:rPr>
        <w:t xml:space="preserve"> </w:t>
      </w:r>
      <w:r w:rsidR="005023F0" w:rsidRPr="00BF4711">
        <w:rPr>
          <w:rFonts w:eastAsiaTheme="minorEastAsia"/>
          <w:b/>
          <w:bCs/>
        </w:rPr>
        <w:t>Q</w:t>
      </w:r>
      <w:r w:rsidR="005023F0" w:rsidRPr="00BF4711">
        <w:rPr>
          <w:rFonts w:eastAsiaTheme="minorEastAsia"/>
          <w:b/>
          <w:bCs/>
          <w:vertAlign w:val="subscript"/>
        </w:rPr>
        <w:t>d</w:t>
      </w:r>
      <w:r w:rsidRPr="00BF4711">
        <w:rPr>
          <w:rFonts w:eastAsiaTheme="minorEastAsia"/>
          <w:b/>
          <w:bCs/>
        </w:rPr>
        <w:t>.</w:t>
      </w:r>
    </w:p>
    <w:p w14:paraId="62CEDD6F" w14:textId="1BC2EF70" w:rsidR="00361DE0" w:rsidRPr="00BF4711" w:rsidRDefault="00CB5ADC" w:rsidP="0026028D">
      <w:pPr>
        <w:pStyle w:val="NormalWeb"/>
        <w:spacing w:before="0" w:beforeAutospacing="0" w:after="0" w:afterAutospacing="0"/>
        <w:contextualSpacing/>
        <w:jc w:val="both"/>
        <w:rPr>
          <w:rFonts w:eastAsiaTheme="minorEastAsia"/>
        </w:rPr>
      </w:pPr>
      <w:r w:rsidRPr="00BF4711">
        <w:rPr>
          <w:rFonts w:eastAsiaTheme="minorEastAsia"/>
        </w:rPr>
        <w:t xml:space="preserve">The </w:t>
      </w:r>
      <w:r w:rsidR="00544360" w:rsidRPr="00BF4711">
        <w:rPr>
          <w:rFonts w:eastAsiaTheme="minorEastAsia"/>
        </w:rPr>
        <w:t>influence of dialysate flow rate Q</w:t>
      </w:r>
      <w:r w:rsidR="00544360" w:rsidRPr="00BF4711">
        <w:rPr>
          <w:rFonts w:eastAsiaTheme="minorEastAsia"/>
          <w:vertAlign w:val="subscript"/>
        </w:rPr>
        <w:t>d</w:t>
      </w:r>
      <w:r w:rsidR="003768AF" w:rsidRPr="00BF4711">
        <w:rPr>
          <w:rFonts w:eastAsiaTheme="minorEastAsia"/>
        </w:rPr>
        <w:t xml:space="preserve"> on the axial concentration profiles is shown </w:t>
      </w:r>
      <w:r w:rsidRPr="00BF4711">
        <w:rPr>
          <w:rFonts w:eastAsiaTheme="minorEastAsia"/>
        </w:rPr>
        <w:t xml:space="preserve">in </w:t>
      </w:r>
      <w:r w:rsidRPr="00BF4711">
        <w:rPr>
          <w:rFonts w:eastAsiaTheme="minorEastAsia"/>
          <w:b/>
          <w:bCs/>
        </w:rPr>
        <w:t xml:space="preserve">Figure </w:t>
      </w:r>
      <w:r w:rsidR="00754E70">
        <w:rPr>
          <w:rFonts w:eastAsiaTheme="minorEastAsia"/>
          <w:b/>
          <w:bCs/>
        </w:rPr>
        <w:t>4</w:t>
      </w:r>
      <w:r w:rsidRPr="00BF4711">
        <w:rPr>
          <w:rFonts w:eastAsiaTheme="minorEastAsia"/>
        </w:rPr>
        <w:t xml:space="preserve">. </w:t>
      </w:r>
      <w:r w:rsidR="009F3A56" w:rsidRPr="00BF4711">
        <w:rPr>
          <w:rFonts w:eastAsiaTheme="minorEastAsia"/>
        </w:rPr>
        <w:t>As Q</w:t>
      </w:r>
      <w:r w:rsidR="009F3A56" w:rsidRPr="00BF4711">
        <w:rPr>
          <w:rFonts w:eastAsiaTheme="minorEastAsia"/>
          <w:vertAlign w:val="subscript"/>
        </w:rPr>
        <w:t>d</w:t>
      </w:r>
      <w:r w:rsidR="009F3A56" w:rsidRPr="00BF4711">
        <w:rPr>
          <w:rFonts w:eastAsiaTheme="minorEastAsia"/>
        </w:rPr>
        <w:t xml:space="preserve"> is </w:t>
      </w:r>
      <w:r w:rsidR="003E4E59" w:rsidRPr="00BF4711">
        <w:rPr>
          <w:rFonts w:eastAsiaTheme="minorEastAsia"/>
        </w:rPr>
        <w:t>altered</w:t>
      </w:r>
      <w:r w:rsidR="009F3A56" w:rsidRPr="00BF4711">
        <w:rPr>
          <w:rFonts w:eastAsiaTheme="minorEastAsia"/>
        </w:rPr>
        <w:t>, the model predicts clear changes in how the concentration</w:t>
      </w:r>
      <w:r w:rsidR="00E9256F" w:rsidRPr="00BF4711">
        <w:rPr>
          <w:rFonts w:eastAsiaTheme="minorEastAsia"/>
        </w:rPr>
        <w:t xml:space="preserve"> difference</w:t>
      </w:r>
      <w:r w:rsidR="00E00629" w:rsidRPr="00BF4711">
        <w:rPr>
          <w:rFonts w:eastAsiaTheme="minorEastAsia"/>
        </w:rPr>
        <w:t xml:space="preserve"> </w:t>
      </w:r>
      <m:oMath>
        <m:r>
          <w:rPr>
            <w:rFonts w:ascii="Cambria Math" w:hAnsi="Cambria Math"/>
          </w:rPr>
          <m:t>∆</m:t>
        </m:r>
        <m:d>
          <m:dPr>
            <m:ctrlPr>
              <w:rPr>
                <w:rFonts w:ascii="Cambria Math" w:hAnsi="Cambria Math"/>
                <w:i/>
              </w:rPr>
            </m:ctrlPr>
          </m:dPr>
          <m:e>
            <m:r>
              <w:rPr>
                <w:rFonts w:ascii="Cambria Math" w:hAnsi="Cambria Math"/>
              </w:rPr>
              <m:t>x</m:t>
            </m:r>
          </m:e>
        </m:d>
      </m:oMath>
      <w:r w:rsidR="00E00629" w:rsidRPr="00BF4711">
        <w:rPr>
          <w:rFonts w:eastAsiaTheme="minorEastAsia"/>
        </w:rPr>
        <w:t xml:space="preserve"> develops along the fiber for </w:t>
      </w:r>
      <w:r w:rsidRPr="00BF4711">
        <w:rPr>
          <w:rFonts w:eastAsiaTheme="minorEastAsia"/>
        </w:rPr>
        <w:t xml:space="preserve">both CO and CC </w:t>
      </w:r>
      <w:r w:rsidR="000F4CE1" w:rsidRPr="00BF4711">
        <w:rPr>
          <w:rFonts w:eastAsiaTheme="minorEastAsia"/>
        </w:rPr>
        <w:t>operation</w:t>
      </w:r>
      <w:r w:rsidR="00483017" w:rsidRPr="00BF4711">
        <w:rPr>
          <w:rFonts w:eastAsiaTheme="minorEastAsia"/>
        </w:rPr>
        <w:t>. Higher Q</w:t>
      </w:r>
      <w:r w:rsidR="00483017" w:rsidRPr="00BF4711">
        <w:rPr>
          <w:rFonts w:eastAsiaTheme="minorEastAsia"/>
          <w:vertAlign w:val="subscript"/>
        </w:rPr>
        <w:t>d</w:t>
      </w:r>
      <w:r w:rsidR="00483017" w:rsidRPr="00BF4711">
        <w:rPr>
          <w:rFonts w:eastAsiaTheme="minorEastAsia"/>
        </w:rPr>
        <w:t xml:space="preserve"> supplies </w:t>
      </w:r>
      <w:r w:rsidR="00A87026" w:rsidRPr="00BF4711">
        <w:rPr>
          <w:rFonts w:eastAsiaTheme="minorEastAsia"/>
        </w:rPr>
        <w:t xml:space="preserve">cleaner dialysate more rapidly, limiting solute buildup on the </w:t>
      </w:r>
      <w:r w:rsidR="00027E47" w:rsidRPr="00BF4711">
        <w:rPr>
          <w:rFonts w:eastAsiaTheme="minorEastAsia"/>
        </w:rPr>
        <w:t>dialysate side and helping maintain a stronger driving force for diffusion. Comparing</w:t>
      </w:r>
      <w:r w:rsidR="007F3EF0" w:rsidRPr="00BF4711">
        <w:rPr>
          <w:rFonts w:eastAsiaTheme="minorEastAsia"/>
        </w:rPr>
        <w:t xml:space="preserve"> </w:t>
      </w:r>
      <w:r w:rsidR="00AD5B28" w:rsidRPr="00BF4711">
        <w:rPr>
          <w:rFonts w:eastAsiaTheme="minorEastAsia"/>
        </w:rPr>
        <w:t xml:space="preserve">the predictions at </w:t>
      </w:r>
      <w:r w:rsidR="007F3EF0" w:rsidRPr="00BF4711">
        <w:rPr>
          <w:rFonts w:eastAsiaTheme="minorEastAsia"/>
        </w:rPr>
        <w:t>the high, intermediate, and low Q</w:t>
      </w:r>
      <w:r w:rsidR="007F3EF0" w:rsidRPr="00BF4711">
        <w:rPr>
          <w:rFonts w:eastAsiaTheme="minorEastAsia"/>
          <w:vertAlign w:val="subscript"/>
        </w:rPr>
        <w:t>d</w:t>
      </w:r>
      <w:r w:rsidR="007F3EF0" w:rsidRPr="00BF4711">
        <w:rPr>
          <w:rFonts w:eastAsiaTheme="minorEastAsia"/>
        </w:rPr>
        <w:t xml:space="preserve"> reveals how dialysate flow redistributes the available driving force</w:t>
      </w:r>
      <w:r w:rsidR="00361DE0" w:rsidRPr="00BF4711">
        <w:rPr>
          <w:rFonts w:eastAsiaTheme="minorEastAsia"/>
        </w:rPr>
        <w:t xml:space="preserve"> along the device and how the performance gap between CC and CO shifts with flow rate.</w:t>
      </w:r>
    </w:p>
    <w:p w14:paraId="0A7FD77D" w14:textId="77777777" w:rsidR="00361DE0" w:rsidRPr="00BF4711" w:rsidRDefault="00361DE0" w:rsidP="0026028D">
      <w:pPr>
        <w:pStyle w:val="NormalWeb"/>
        <w:spacing w:before="0" w:beforeAutospacing="0" w:after="0" w:afterAutospacing="0"/>
        <w:contextualSpacing/>
        <w:jc w:val="both"/>
        <w:rPr>
          <w:rFonts w:eastAsiaTheme="minorEastAsia"/>
        </w:rPr>
      </w:pPr>
    </w:p>
    <w:p w14:paraId="74CE7BB1" w14:textId="4BD1687D" w:rsidR="001C238A" w:rsidRPr="00BF4711" w:rsidRDefault="00443240" w:rsidP="0026028D">
      <w:pPr>
        <w:pStyle w:val="NormalWeb"/>
        <w:spacing w:before="0" w:beforeAutospacing="0" w:after="0" w:afterAutospacing="0"/>
        <w:contextualSpacing/>
        <w:jc w:val="both"/>
        <w:rPr>
          <w:rFonts w:eastAsiaTheme="minorEastAsia"/>
        </w:rPr>
      </w:pPr>
      <w:r w:rsidRPr="00BF4711">
        <w:rPr>
          <w:rFonts w:eastAsiaTheme="minorEastAsia"/>
          <w:b/>
          <w:bCs/>
          <w:i/>
          <w:iCs/>
        </w:rPr>
        <w:t>F</w:t>
      </w:r>
      <w:r w:rsidR="003D3D5B" w:rsidRPr="00BF4711">
        <w:rPr>
          <w:rFonts w:eastAsiaTheme="minorEastAsia"/>
          <w:b/>
          <w:bCs/>
          <w:i/>
          <w:iCs/>
        </w:rPr>
        <w:t xml:space="preserve">igures </w:t>
      </w:r>
      <w:r w:rsidR="00754E70">
        <w:rPr>
          <w:rFonts w:eastAsiaTheme="minorEastAsia"/>
          <w:b/>
          <w:bCs/>
          <w:i/>
          <w:iCs/>
        </w:rPr>
        <w:t>4</w:t>
      </w:r>
      <w:r w:rsidR="003D3D5B" w:rsidRPr="00BF4711">
        <w:rPr>
          <w:rFonts w:eastAsiaTheme="minorEastAsia"/>
          <w:b/>
          <w:bCs/>
          <w:i/>
          <w:iCs/>
        </w:rPr>
        <w:t>a-</w:t>
      </w:r>
      <w:r w:rsidR="00754E70">
        <w:rPr>
          <w:rFonts w:eastAsiaTheme="minorEastAsia"/>
          <w:b/>
          <w:bCs/>
          <w:i/>
          <w:iCs/>
        </w:rPr>
        <w:t>4</w:t>
      </w:r>
      <w:r w:rsidR="003D3D5B" w:rsidRPr="00BF4711">
        <w:rPr>
          <w:rFonts w:eastAsiaTheme="minorEastAsia"/>
          <w:b/>
          <w:bCs/>
          <w:i/>
          <w:iCs/>
        </w:rPr>
        <w:t>c</w:t>
      </w:r>
      <w:r w:rsidR="003D3D5B" w:rsidRPr="00BF4711">
        <w:rPr>
          <w:rFonts w:eastAsiaTheme="minorEastAsia"/>
        </w:rPr>
        <w:t xml:space="preserve"> show a clear progression in the axial concentration </w:t>
      </w:r>
      <w:r w:rsidR="00447ABF" w:rsidRPr="00BF4711">
        <w:rPr>
          <w:rFonts w:eastAsiaTheme="minorEastAsia"/>
        </w:rPr>
        <w:t>profiles as the dialysate flow rate is reduced from 1000 to 400 mL/min</w:t>
      </w:r>
      <w:r w:rsidR="002F4442" w:rsidRPr="00BF4711">
        <w:rPr>
          <w:rFonts w:eastAsiaTheme="minorEastAsia"/>
        </w:rPr>
        <w:t>. At the highest flow</w:t>
      </w:r>
      <w:r w:rsidR="000437C7" w:rsidRPr="00BF4711">
        <w:rPr>
          <w:rFonts w:eastAsiaTheme="minorEastAsia"/>
        </w:rPr>
        <w:t xml:space="preserve">, the dialysate remains close to its inlet concentration, causing both CO and CC gradients to fall sharply and leaving CO with very little driving force beyond </w:t>
      </w:r>
      <w:r w:rsidR="00581F71" w:rsidRPr="00BF4711">
        <w:rPr>
          <w:rFonts w:eastAsiaTheme="minorEastAsia"/>
        </w:rPr>
        <w:t xml:space="preserve">the inlet region. As the flow is lowered to 700 mL/min, the decay of </w:t>
      </w:r>
      <m:oMath>
        <m:r>
          <w:rPr>
            <w:rFonts w:ascii="Cambria Math" w:hAnsi="Cambria Math"/>
          </w:rPr>
          <m:t>∆</m:t>
        </m:r>
        <m:d>
          <m:dPr>
            <m:ctrlPr>
              <w:rPr>
                <w:rFonts w:ascii="Cambria Math" w:hAnsi="Cambria Math"/>
                <w:i/>
              </w:rPr>
            </m:ctrlPr>
          </m:dPr>
          <m:e>
            <m:r>
              <w:rPr>
                <w:rFonts w:ascii="Cambria Math" w:hAnsi="Cambria Math"/>
              </w:rPr>
              <m:t>x</m:t>
            </m:r>
          </m:e>
        </m:d>
      </m:oMath>
      <w:r w:rsidR="00862268" w:rsidRPr="00BF4711">
        <w:rPr>
          <w:rFonts w:eastAsiaTheme="minorEastAsia"/>
        </w:rPr>
        <w:t xml:space="preserve"> becomes less </w:t>
      </w:r>
      <w:r w:rsidR="00862268" w:rsidRPr="00BF4711">
        <w:rPr>
          <w:rFonts w:eastAsiaTheme="minorEastAsia"/>
        </w:rPr>
        <w:lastRenderedPageBreak/>
        <w:t>abrupt</w:t>
      </w:r>
      <w:r w:rsidR="003857E4" w:rsidRPr="00BF4711">
        <w:rPr>
          <w:rFonts w:eastAsiaTheme="minorEastAsia"/>
        </w:rPr>
        <w:t>, a</w:t>
      </w:r>
      <w:r w:rsidR="00862268" w:rsidRPr="00BF4711">
        <w:rPr>
          <w:rFonts w:eastAsiaTheme="minorEastAsia"/>
        </w:rPr>
        <w:t xml:space="preserve">nd the distinction between CO and CC becomes more evident as CC maintains a usable gradient over a </w:t>
      </w:r>
      <w:r w:rsidR="00496CFA" w:rsidRPr="00BF4711">
        <w:rPr>
          <w:rFonts w:eastAsiaTheme="minorEastAsia"/>
        </w:rPr>
        <w:t>larger</w:t>
      </w:r>
      <w:r w:rsidR="00862268" w:rsidRPr="00BF4711">
        <w:rPr>
          <w:rFonts w:eastAsiaTheme="minorEastAsia"/>
        </w:rPr>
        <w:t xml:space="preserve"> portion of the fiber. At the lowest flow of 400 mL/min</w:t>
      </w:r>
      <w:r w:rsidR="0003617B" w:rsidRPr="00BF4711">
        <w:rPr>
          <w:rFonts w:eastAsiaTheme="minorEastAsia"/>
        </w:rPr>
        <w:t xml:space="preserve">, dialysate-side solute accumulation slows the decline of </w:t>
      </w:r>
      <m:oMath>
        <m:r>
          <w:rPr>
            <w:rFonts w:ascii="Cambria Math" w:hAnsi="Cambria Math"/>
          </w:rPr>
          <m:t>∆</m:t>
        </m:r>
        <m:d>
          <m:dPr>
            <m:ctrlPr>
              <w:rPr>
                <w:rFonts w:ascii="Cambria Math" w:hAnsi="Cambria Math"/>
                <w:i/>
              </w:rPr>
            </m:ctrlPr>
          </m:dPr>
          <m:e>
            <m:r>
              <w:rPr>
                <w:rFonts w:ascii="Cambria Math" w:hAnsi="Cambria Math"/>
              </w:rPr>
              <m:t>x</m:t>
            </m:r>
          </m:e>
        </m:d>
      </m:oMath>
      <w:r w:rsidR="00B57090" w:rsidRPr="00BF4711">
        <w:rPr>
          <w:rFonts w:eastAsiaTheme="minorEastAsia"/>
        </w:rPr>
        <w:t xml:space="preserve">, producing more gradual profiles in both configurations and revealing a regime where dialysate flow increasingly limits transport. Across </w:t>
      </w:r>
      <w:r w:rsidR="001C25D9" w:rsidRPr="00BF4711">
        <w:rPr>
          <w:rFonts w:eastAsiaTheme="minorEastAsia"/>
        </w:rPr>
        <w:t>the three figures</w:t>
      </w:r>
      <w:r w:rsidR="00622A58" w:rsidRPr="00BF4711">
        <w:rPr>
          <w:rFonts w:eastAsiaTheme="minorEastAsia"/>
        </w:rPr>
        <w:t>, CC consistently preserves a higher driving force</w:t>
      </w:r>
      <w:r w:rsidR="001C25D9" w:rsidRPr="00BF4711">
        <w:rPr>
          <w:rFonts w:eastAsiaTheme="minorEastAsia"/>
        </w:rPr>
        <w:t xml:space="preserve"> than CO, and its relative </w:t>
      </w:r>
      <w:r w:rsidR="00A959F4" w:rsidRPr="00BF4711">
        <w:rPr>
          <w:rFonts w:eastAsiaTheme="minorEastAsia"/>
        </w:rPr>
        <w:t>advantage</w:t>
      </w:r>
      <w:r w:rsidR="001C25D9" w:rsidRPr="00BF4711">
        <w:rPr>
          <w:rFonts w:eastAsiaTheme="minorEastAsia"/>
        </w:rPr>
        <w:t xml:space="preserve"> becomes more pronounced as Q</w:t>
      </w:r>
      <w:r w:rsidR="001C25D9" w:rsidRPr="00BF4711">
        <w:rPr>
          <w:rFonts w:eastAsiaTheme="minorEastAsia"/>
          <w:vertAlign w:val="subscript"/>
        </w:rPr>
        <w:t>d</w:t>
      </w:r>
      <w:r w:rsidR="001C25D9" w:rsidRPr="00BF4711">
        <w:rPr>
          <w:rFonts w:eastAsiaTheme="minorEastAsia"/>
        </w:rPr>
        <w:t xml:space="preserve"> decreases.</w:t>
      </w:r>
      <w:r w:rsidR="00622A58" w:rsidRPr="00BF4711">
        <w:rPr>
          <w:rFonts w:eastAsiaTheme="minorEastAsia"/>
        </w:rPr>
        <w:t xml:space="preserve"> </w:t>
      </w:r>
    </w:p>
    <w:p w14:paraId="1164A296" w14:textId="77777777" w:rsidR="00E76ED9" w:rsidRPr="00BF4711" w:rsidRDefault="00E76ED9" w:rsidP="0026028D">
      <w:pPr>
        <w:pStyle w:val="NormalWeb"/>
        <w:spacing w:before="0" w:beforeAutospacing="0" w:after="0" w:afterAutospacing="0"/>
        <w:contextualSpacing/>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5040"/>
        <w:gridCol w:w="5040"/>
      </w:tblGrid>
      <w:tr w:rsidR="00E76ED9" w:rsidRPr="00BF4711" w14:paraId="3ED9CAA8" w14:textId="77777777" w:rsidTr="00F70B24">
        <w:tc>
          <w:tcPr>
            <w:tcW w:w="5035" w:type="dxa"/>
          </w:tcPr>
          <w:p w14:paraId="5CBE0AAA" w14:textId="3B2626C3" w:rsidR="00E76ED9" w:rsidRPr="00BF4711" w:rsidRDefault="00F245DD" w:rsidP="0026028D">
            <w:pPr>
              <w:pStyle w:val="NormalWeb"/>
              <w:spacing w:before="0" w:beforeAutospacing="0" w:after="0" w:afterAutospacing="0"/>
              <w:contextualSpacing/>
              <w:jc w:val="both"/>
              <w:rPr>
                <w:rFonts w:eastAsiaTheme="minorHAnsi"/>
              </w:rPr>
            </w:pPr>
            <w:r w:rsidRPr="00BF4711">
              <w:rPr>
                <w:rFonts w:eastAsiaTheme="minorHAnsi"/>
                <w:noProof/>
              </w:rPr>
              <w:drawing>
                <wp:inline distT="0" distB="0" distL="0" distR="0" wp14:anchorId="41A9E0FB" wp14:editId="0EA8B95A">
                  <wp:extent cx="3227832" cy="2569464"/>
                  <wp:effectExtent l="0" t="0" r="0" b="2540"/>
                  <wp:docPr id="1662527537"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7537" name="Graphic 1662527537"/>
                          <pic:cNvPicPr/>
                        </pic:nvPicPr>
                        <pic:blipFill>
                          <a:blip r:embed="rId15">
                            <a:extLst>
                              <a:ext uri="{96DAC541-7B7A-43D3-8B79-37D633B846F1}">
                                <asvg:svgBlip xmlns:asvg="http://schemas.microsoft.com/office/drawing/2016/SVG/main" r:embed="rId16"/>
                              </a:ext>
                            </a:extLst>
                          </a:blip>
                          <a:stretch>
                            <a:fillRect/>
                          </a:stretch>
                        </pic:blipFill>
                        <pic:spPr>
                          <a:xfrm>
                            <a:off x="0" y="0"/>
                            <a:ext cx="3227832" cy="2569464"/>
                          </a:xfrm>
                          <a:prstGeom prst="rect">
                            <a:avLst/>
                          </a:prstGeom>
                        </pic:spPr>
                      </pic:pic>
                    </a:graphicData>
                  </a:graphic>
                </wp:inline>
              </w:drawing>
            </w:r>
          </w:p>
        </w:tc>
        <w:tc>
          <w:tcPr>
            <w:tcW w:w="5035" w:type="dxa"/>
          </w:tcPr>
          <w:p w14:paraId="01AC021D" w14:textId="79F579F2" w:rsidR="00E76ED9" w:rsidRPr="00BF4711" w:rsidRDefault="00444D7D" w:rsidP="0026028D">
            <w:pPr>
              <w:pStyle w:val="NormalWeb"/>
              <w:spacing w:before="0" w:beforeAutospacing="0" w:after="0" w:afterAutospacing="0"/>
              <w:contextualSpacing/>
              <w:jc w:val="both"/>
              <w:rPr>
                <w:rFonts w:eastAsiaTheme="minorHAnsi"/>
              </w:rPr>
            </w:pPr>
            <w:r w:rsidRPr="00BF4711">
              <w:rPr>
                <w:rFonts w:eastAsiaTheme="minorHAnsi"/>
                <w:noProof/>
              </w:rPr>
              <w:drawing>
                <wp:inline distT="0" distB="0" distL="0" distR="0" wp14:anchorId="5954300D" wp14:editId="79DB714E">
                  <wp:extent cx="3227832" cy="2569464"/>
                  <wp:effectExtent l="0" t="0" r="0" b="2540"/>
                  <wp:docPr id="50850989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09892" name="Graphic 508509892"/>
                          <pic:cNvPicPr/>
                        </pic:nvPicPr>
                        <pic:blipFill>
                          <a:blip r:embed="rId17">
                            <a:extLst>
                              <a:ext uri="{96DAC541-7B7A-43D3-8B79-37D633B846F1}">
                                <asvg:svgBlip xmlns:asvg="http://schemas.microsoft.com/office/drawing/2016/SVG/main" r:embed="rId18"/>
                              </a:ext>
                            </a:extLst>
                          </a:blip>
                          <a:stretch>
                            <a:fillRect/>
                          </a:stretch>
                        </pic:blipFill>
                        <pic:spPr>
                          <a:xfrm>
                            <a:off x="0" y="0"/>
                            <a:ext cx="3227832" cy="2569464"/>
                          </a:xfrm>
                          <a:prstGeom prst="rect">
                            <a:avLst/>
                          </a:prstGeom>
                        </pic:spPr>
                      </pic:pic>
                    </a:graphicData>
                  </a:graphic>
                </wp:inline>
              </w:drawing>
            </w:r>
          </w:p>
        </w:tc>
      </w:tr>
      <w:tr w:rsidR="00E76ED9" w:rsidRPr="00BF4711" w14:paraId="764BF873" w14:textId="77777777" w:rsidTr="00F70B24">
        <w:tc>
          <w:tcPr>
            <w:tcW w:w="10070" w:type="dxa"/>
            <w:gridSpan w:val="2"/>
          </w:tcPr>
          <w:p w14:paraId="44406ABF" w14:textId="2F96ECD7" w:rsidR="00E76ED9" w:rsidRPr="00BF4711" w:rsidRDefault="00444D7D" w:rsidP="0026028D">
            <w:pPr>
              <w:pStyle w:val="NormalWeb"/>
              <w:spacing w:before="0" w:beforeAutospacing="0" w:after="0" w:afterAutospacing="0"/>
              <w:contextualSpacing/>
              <w:jc w:val="center"/>
              <w:rPr>
                <w:rFonts w:eastAsiaTheme="minorHAnsi"/>
              </w:rPr>
            </w:pPr>
            <w:r w:rsidRPr="00BF4711">
              <w:rPr>
                <w:rFonts w:eastAsiaTheme="minorHAnsi"/>
                <w:noProof/>
              </w:rPr>
              <w:drawing>
                <wp:inline distT="0" distB="0" distL="0" distR="0" wp14:anchorId="4C08AF4C" wp14:editId="7296C5B4">
                  <wp:extent cx="3227832" cy="2569464"/>
                  <wp:effectExtent l="0" t="0" r="0" b="2540"/>
                  <wp:docPr id="1757408215"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8215" name="Graphic 1757408215"/>
                          <pic:cNvPicPr/>
                        </pic:nvPicPr>
                        <pic:blipFill>
                          <a:blip r:embed="rId19">
                            <a:extLst>
                              <a:ext uri="{96DAC541-7B7A-43D3-8B79-37D633B846F1}">
                                <asvg:svgBlip xmlns:asvg="http://schemas.microsoft.com/office/drawing/2016/SVG/main" r:embed="rId20"/>
                              </a:ext>
                            </a:extLst>
                          </a:blip>
                          <a:stretch>
                            <a:fillRect/>
                          </a:stretch>
                        </pic:blipFill>
                        <pic:spPr>
                          <a:xfrm>
                            <a:off x="0" y="0"/>
                            <a:ext cx="3227832" cy="2569464"/>
                          </a:xfrm>
                          <a:prstGeom prst="rect">
                            <a:avLst/>
                          </a:prstGeom>
                        </pic:spPr>
                      </pic:pic>
                    </a:graphicData>
                  </a:graphic>
                </wp:inline>
              </w:drawing>
            </w:r>
          </w:p>
        </w:tc>
      </w:tr>
      <w:tr w:rsidR="00E76ED9" w:rsidRPr="00BF4711" w14:paraId="720F5188" w14:textId="77777777" w:rsidTr="00F70B24">
        <w:tc>
          <w:tcPr>
            <w:tcW w:w="10070" w:type="dxa"/>
            <w:gridSpan w:val="2"/>
          </w:tcPr>
          <w:p w14:paraId="5B875687" w14:textId="4096137B" w:rsidR="00E76ED9" w:rsidRPr="00BF4711" w:rsidRDefault="00E76ED9"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086BB0">
              <w:rPr>
                <w:rFonts w:eastAsiaTheme="minorHAnsi"/>
                <w:b/>
                <w:bCs/>
                <w:i/>
                <w:iCs/>
              </w:rPr>
              <w:t>4</w:t>
            </w:r>
            <w:r w:rsidRPr="00BF4711">
              <w:rPr>
                <w:rFonts w:eastAsiaTheme="minorHAnsi"/>
                <w:b/>
                <w:bCs/>
                <w:i/>
                <w:iCs/>
              </w:rPr>
              <w:t>.</w:t>
            </w:r>
            <w:r w:rsidRPr="00BF4711">
              <w:rPr>
                <w:rFonts w:eastAsiaTheme="minorHAnsi"/>
              </w:rPr>
              <w:t xml:space="preserve"> </w:t>
            </w:r>
            <w:r w:rsidR="00386989" w:rsidRPr="00BF4711">
              <w:rPr>
                <w:rFonts w:eastAsiaTheme="minorHAnsi"/>
              </w:rPr>
              <w:t>Influence of dialysate flow rate Q</w:t>
            </w:r>
            <w:r w:rsidR="00386989" w:rsidRPr="00BF4711">
              <w:rPr>
                <w:rFonts w:eastAsiaTheme="minorHAnsi"/>
                <w:vertAlign w:val="subscript"/>
              </w:rPr>
              <w:t>d</w:t>
            </w:r>
            <w:r w:rsidR="008E2A1C" w:rsidRPr="00BF4711">
              <w:rPr>
                <w:rFonts w:eastAsiaTheme="minorHAnsi"/>
              </w:rPr>
              <w:t xml:space="preserve"> on model predicted </w:t>
            </w:r>
            <w:r w:rsidR="00CF3F83" w:rsidRPr="00BF4711">
              <w:rPr>
                <w:rFonts w:eastAsiaTheme="minorHAnsi"/>
              </w:rPr>
              <w:t xml:space="preserve">spatial concentration profile during co-current and counter-current </w:t>
            </w:r>
            <w:r w:rsidR="00297AF9" w:rsidRPr="00BF4711">
              <w:rPr>
                <w:rFonts w:eastAsiaTheme="minorHAnsi"/>
              </w:rPr>
              <w:t xml:space="preserve">kidney </w:t>
            </w:r>
            <w:r w:rsidR="00CF3F83" w:rsidRPr="00BF4711">
              <w:rPr>
                <w:rFonts w:eastAsiaTheme="minorHAnsi"/>
              </w:rPr>
              <w:t>dialysis.</w:t>
            </w:r>
          </w:p>
        </w:tc>
      </w:tr>
    </w:tbl>
    <w:p w14:paraId="50B7BC1A" w14:textId="77777777" w:rsidR="00E76ED9" w:rsidRPr="00BF4711" w:rsidRDefault="00E76ED9" w:rsidP="0026028D">
      <w:pPr>
        <w:pStyle w:val="NormalWeb"/>
        <w:spacing w:before="0" w:beforeAutospacing="0" w:after="0" w:afterAutospacing="0"/>
        <w:contextualSpacing/>
        <w:jc w:val="both"/>
        <w:rPr>
          <w:rFonts w:eastAsiaTheme="minorHAnsi"/>
        </w:rPr>
      </w:pPr>
    </w:p>
    <w:p w14:paraId="6C79A2BA" w14:textId="3A2E6DA4" w:rsidR="00E76ED9" w:rsidRPr="00BF4711" w:rsidRDefault="00B06542" w:rsidP="0026028D">
      <w:pPr>
        <w:pStyle w:val="NormalWeb"/>
        <w:spacing w:before="0" w:beforeAutospacing="0" w:after="0" w:afterAutospacing="0"/>
        <w:contextualSpacing/>
        <w:jc w:val="both"/>
        <w:rPr>
          <w:rFonts w:eastAsiaTheme="minorHAnsi"/>
        </w:rPr>
      </w:pPr>
      <w:r w:rsidRPr="00BF4711">
        <w:rPr>
          <w:rFonts w:eastAsiaTheme="minorHAnsi"/>
        </w:rPr>
        <w:t xml:space="preserve">In this </w:t>
      </w:r>
      <w:r w:rsidR="002A4D8C" w:rsidRPr="00BF4711">
        <w:rPr>
          <w:rFonts w:eastAsiaTheme="minorHAnsi"/>
        </w:rPr>
        <w:t>model</w:t>
      </w:r>
      <w:r w:rsidRPr="00BF4711">
        <w:rPr>
          <w:rFonts w:eastAsiaTheme="minorHAnsi"/>
        </w:rPr>
        <w:t xml:space="preserve">, </w:t>
      </w:r>
      <w:r w:rsidR="009C2081" w:rsidRPr="00BF4711">
        <w:rPr>
          <w:rFonts w:eastAsiaTheme="minorHAnsi"/>
        </w:rPr>
        <w:t>K</w:t>
      </w:r>
      <w:r w:rsidR="009C2081" w:rsidRPr="00BF4711">
        <w:rPr>
          <w:rFonts w:eastAsiaTheme="minorHAnsi"/>
          <w:vertAlign w:val="subscript"/>
        </w:rPr>
        <w:t>0</w:t>
      </w:r>
      <w:r w:rsidR="009C2081" w:rsidRPr="00BF4711">
        <w:rPr>
          <w:rFonts w:eastAsiaTheme="minorHAnsi"/>
        </w:rPr>
        <w:t>A is held constant</w:t>
      </w:r>
      <w:r w:rsidR="00E00BFD" w:rsidRPr="00BF4711">
        <w:rPr>
          <w:rFonts w:eastAsiaTheme="minorHAnsi"/>
        </w:rPr>
        <w:t xml:space="preserve"> while we examine how changes in dialysate flow rate</w:t>
      </w:r>
      <w:r w:rsidR="006D0DC2" w:rsidRPr="00BF4711">
        <w:rPr>
          <w:rFonts w:eastAsiaTheme="minorHAnsi"/>
        </w:rPr>
        <w:t xml:space="preserve"> Q</w:t>
      </w:r>
      <w:r w:rsidR="006D0DC2" w:rsidRPr="00C7141F">
        <w:rPr>
          <w:rFonts w:eastAsiaTheme="minorHAnsi"/>
          <w:vertAlign w:val="subscript"/>
        </w:rPr>
        <w:t>d</w:t>
      </w:r>
      <w:r w:rsidR="006D0DC2" w:rsidRPr="00BF4711">
        <w:rPr>
          <w:rFonts w:eastAsiaTheme="minorHAnsi"/>
        </w:rPr>
        <w:t xml:space="preserve"> reshape the axial concentration difference</w:t>
      </w:r>
      <w:r w:rsidR="00A66990" w:rsidRPr="00BF4711">
        <w:rPr>
          <w:rFonts w:eastAsiaTheme="minorHAnsi"/>
        </w:rPr>
        <w:t xml:space="preserve"> </w:t>
      </w:r>
      <m:oMath>
        <m:r>
          <w:rPr>
            <w:rFonts w:ascii="Cambria Math" w:hAnsi="Cambria Math"/>
          </w:rPr>
          <m:t>∆</m:t>
        </m:r>
        <m:d>
          <m:dPr>
            <m:ctrlPr>
              <w:rPr>
                <w:rFonts w:ascii="Cambria Math" w:hAnsi="Cambria Math"/>
                <w:i/>
              </w:rPr>
            </m:ctrlPr>
          </m:dPr>
          <m:e>
            <m:r>
              <w:rPr>
                <w:rFonts w:ascii="Cambria Math" w:hAnsi="Cambria Math"/>
              </w:rPr>
              <m:t>x</m:t>
            </m:r>
          </m:e>
        </m:d>
      </m:oMath>
      <w:r w:rsidR="00A66990" w:rsidRPr="00BF4711">
        <w:rPr>
          <w:rFonts w:eastAsiaTheme="minorEastAsia"/>
        </w:rPr>
        <w:t xml:space="preserve"> for CO and CC</w:t>
      </w:r>
      <w:r w:rsidR="00B946C3" w:rsidRPr="00BF4711">
        <w:rPr>
          <w:rFonts w:eastAsiaTheme="minorEastAsia"/>
        </w:rPr>
        <w:t xml:space="preserve"> configurations. This isolates the geometric and convective effects of Q</w:t>
      </w:r>
      <w:r w:rsidR="00B946C3" w:rsidRPr="00A53F3C">
        <w:rPr>
          <w:rFonts w:eastAsiaTheme="minorEastAsia"/>
          <w:vertAlign w:val="subscript"/>
        </w:rPr>
        <w:t>d</w:t>
      </w:r>
      <w:r w:rsidR="00B946C3" w:rsidRPr="00BF4711">
        <w:rPr>
          <w:rFonts w:eastAsiaTheme="minorEastAsia"/>
        </w:rPr>
        <w:t xml:space="preserve"> on the transmembrane driving force for the solute transport</w:t>
      </w:r>
      <w:r w:rsidR="00F66AA8" w:rsidRPr="00BF4711">
        <w:rPr>
          <w:rFonts w:eastAsiaTheme="minorEastAsia"/>
        </w:rPr>
        <w:t>. In clinical dialyzers, however, the effective mass-transfer area coefficient K</w:t>
      </w:r>
      <w:r w:rsidR="00F66AA8" w:rsidRPr="00A53F3C">
        <w:rPr>
          <w:rFonts w:eastAsiaTheme="minorEastAsia"/>
          <w:vertAlign w:val="subscript"/>
        </w:rPr>
        <w:t>0</w:t>
      </w:r>
      <w:r w:rsidR="00F66AA8" w:rsidRPr="00BF4711">
        <w:rPr>
          <w:rFonts w:eastAsiaTheme="minorEastAsia"/>
        </w:rPr>
        <w:t>A</w:t>
      </w:r>
      <w:r w:rsidR="0020711D" w:rsidRPr="00BF4711">
        <w:rPr>
          <w:rFonts w:eastAsiaTheme="minorEastAsia"/>
        </w:rPr>
        <w:t xml:space="preserve"> can itself increase with dialysate flow, particularly for small solutes such as urea</w:t>
      </w:r>
      <w:r w:rsidR="00E14B65" w:rsidRPr="00BF4711">
        <w:rPr>
          <w:rFonts w:eastAsiaTheme="minorEastAsia"/>
        </w:rPr>
        <w:t>, so the present simulations likely underestimate the full impact of higher Q</w:t>
      </w:r>
      <w:r w:rsidR="00E14B65" w:rsidRPr="00936FBB">
        <w:rPr>
          <w:rFonts w:eastAsiaTheme="minorEastAsia"/>
          <w:vertAlign w:val="subscript"/>
        </w:rPr>
        <w:t>d</w:t>
      </w:r>
      <w:r w:rsidR="00E14B65" w:rsidRPr="00BF4711">
        <w:rPr>
          <w:rFonts w:eastAsiaTheme="minorEastAsia"/>
        </w:rPr>
        <w:t xml:space="preserve"> on solute removal (</w:t>
      </w:r>
      <w:r w:rsidR="006C4C66" w:rsidRPr="00BF4711">
        <w:rPr>
          <w:rFonts w:eastAsiaTheme="minorEastAsia"/>
        </w:rPr>
        <w:t>Leypoldt et al., HEMO Study [6]).</w:t>
      </w:r>
    </w:p>
    <w:p w14:paraId="701CDF83" w14:textId="77777777" w:rsidR="00E76ED9" w:rsidRDefault="00E76ED9" w:rsidP="0026028D">
      <w:pPr>
        <w:pStyle w:val="NormalWeb"/>
        <w:spacing w:before="0" w:beforeAutospacing="0" w:after="0" w:afterAutospacing="0"/>
        <w:contextualSpacing/>
        <w:jc w:val="both"/>
        <w:rPr>
          <w:rFonts w:eastAsiaTheme="minorHAnsi"/>
        </w:rPr>
      </w:pPr>
    </w:p>
    <w:p w14:paraId="2A9FF928" w14:textId="480BE3C9" w:rsidR="00FA64CC" w:rsidRPr="00FB5943" w:rsidRDefault="00850576" w:rsidP="005B6D0A">
      <w:pPr>
        <w:pStyle w:val="NormalWeb"/>
        <w:spacing w:before="0" w:beforeAutospacing="0" w:after="120" w:afterAutospacing="0"/>
        <w:jc w:val="both"/>
        <w:rPr>
          <w:rFonts w:eastAsiaTheme="minorEastAsia"/>
          <w:b/>
          <w:bCs/>
        </w:rPr>
      </w:pPr>
      <w:r w:rsidRPr="00BF4711">
        <w:rPr>
          <w:rFonts w:eastAsiaTheme="minorEastAsia"/>
          <w:b/>
          <w:bCs/>
        </w:rPr>
        <w:t>Temporal Concentration C(t)</w:t>
      </w:r>
      <w:r w:rsidR="005A0029" w:rsidRPr="00BF4711">
        <w:rPr>
          <w:rFonts w:eastAsiaTheme="minorEastAsia"/>
          <w:b/>
          <w:bCs/>
        </w:rPr>
        <w:t>.</w:t>
      </w:r>
    </w:p>
    <w:p w14:paraId="1F59CEC0" w14:textId="2B5B0FD6" w:rsidR="003A2AB4" w:rsidRPr="00BF4711" w:rsidRDefault="00C94971" w:rsidP="0026028D">
      <w:pPr>
        <w:pStyle w:val="NormalWeb"/>
        <w:spacing w:before="0" w:beforeAutospacing="0" w:after="0" w:afterAutospacing="0"/>
        <w:contextualSpacing/>
        <w:jc w:val="both"/>
        <w:rPr>
          <w:rFonts w:eastAsiaTheme="minorEastAsia"/>
        </w:rPr>
      </w:pPr>
      <w:r w:rsidRPr="00BF4711">
        <w:rPr>
          <w:rFonts w:eastAsiaTheme="minorEastAsia"/>
          <w:b/>
          <w:bCs/>
          <w:i/>
          <w:iCs/>
        </w:rPr>
        <w:lastRenderedPageBreak/>
        <w:t xml:space="preserve">Figure </w:t>
      </w:r>
      <w:r w:rsidR="00936FBB">
        <w:rPr>
          <w:rFonts w:eastAsiaTheme="minorEastAsia"/>
          <w:b/>
          <w:bCs/>
          <w:i/>
          <w:iCs/>
        </w:rPr>
        <w:t>5</w:t>
      </w:r>
      <w:r w:rsidRPr="00BF4711">
        <w:rPr>
          <w:rFonts w:eastAsiaTheme="minorEastAsia"/>
        </w:rPr>
        <w:t xml:space="preserve"> shows the model-predicted time course of the normalized solute concentration</w:t>
      </w:r>
      <w:r w:rsidR="003A2AB4" w:rsidRPr="00BF4711">
        <w:rPr>
          <w:rFonts w:eastAsiaTheme="minorEastAsia"/>
        </w:rPr>
        <w:t xml:space="preserve"> in the patient’s blood compartment, </w:t>
      </w:r>
      <m:oMath>
        <m:r>
          <w:rPr>
            <w:rFonts w:ascii="Cambria Math" w:hAnsi="Cambria Math"/>
          </w:rPr>
          <m:t>C</m:t>
        </m:r>
        <m:d>
          <m:dPr>
            <m:ctrlPr>
              <w:rPr>
                <w:rFonts w:ascii="Cambria Math" w:hAnsi="Cambria Math"/>
                <w:i/>
              </w:rPr>
            </m:ctrlPr>
          </m:dPr>
          <m:e>
            <m:r>
              <w:rPr>
                <w:rFonts w:ascii="Cambria Math" w:hAnsi="Cambria Math"/>
              </w:rPr>
              <m:t>t</m:t>
            </m:r>
          </m:e>
        </m:d>
      </m:oMath>
      <w:r w:rsidR="0058205F" w:rsidRPr="00BF4711">
        <w:rPr>
          <w:rFonts w:eastAsiaTheme="minorEastAsia"/>
        </w:rPr>
        <w:t>,</w:t>
      </w:r>
      <w:r w:rsidR="002F7605" w:rsidRPr="00BF4711">
        <w:rPr>
          <w:rFonts w:eastAsiaTheme="minorEastAsia"/>
        </w:rPr>
        <w:t xml:space="preserve"> during dialysis for CO and CC flow. </w:t>
      </w:r>
      <w:r w:rsidR="00F5542B" w:rsidRPr="00BF4711">
        <w:rPr>
          <w:rFonts w:eastAsiaTheme="minorEastAsia"/>
        </w:rPr>
        <w:t>Because a</w:t>
      </w:r>
      <w:r w:rsidR="00414F9A" w:rsidRPr="00BF4711">
        <w:rPr>
          <w:rFonts w:eastAsiaTheme="minorEastAsia"/>
        </w:rPr>
        <w:t>t</w:t>
      </w:r>
      <w:r w:rsidR="002F7605" w:rsidRPr="00BF4711">
        <w:rPr>
          <w:rFonts w:eastAsiaTheme="minorEastAsia"/>
        </w:rPr>
        <w:t xml:space="preserve"> </w:t>
      </w:r>
      <m:oMath>
        <m:r>
          <w:rPr>
            <w:rFonts w:ascii="Cambria Math" w:hAnsi="Cambria Math"/>
          </w:rPr>
          <m:t>C</m:t>
        </m:r>
        <m:d>
          <m:dPr>
            <m:ctrlPr>
              <w:rPr>
                <w:rFonts w:ascii="Cambria Math" w:hAnsi="Cambria Math"/>
                <w:i/>
              </w:rPr>
            </m:ctrlPr>
          </m:dPr>
          <m:e>
            <m:r>
              <w:rPr>
                <w:rFonts w:ascii="Cambria Math" w:hAnsi="Cambria Math"/>
              </w:rPr>
              <m:t>0</m:t>
            </m:r>
          </m:e>
        </m:d>
        <m:r>
          <w:rPr>
            <w:rFonts w:ascii="Cambria Math" w:eastAsiaTheme="minorEastAsia" w:hAnsi="Cambria Math"/>
          </w:rPr>
          <m:t>=1</m:t>
        </m:r>
      </m:oMath>
      <w:r w:rsidR="0058415C" w:rsidRPr="00BF4711">
        <w:rPr>
          <w:rFonts w:eastAsiaTheme="minorEastAsia"/>
        </w:rPr>
        <w:t xml:space="preserve"> </w:t>
      </w:r>
      <w:r w:rsidR="009B489E" w:rsidRPr="00BF4711">
        <w:rPr>
          <w:rFonts w:eastAsiaTheme="minorEastAsia"/>
        </w:rPr>
        <w:t xml:space="preserve">the curves represent the fraction of the initial solute load remaining in the </w:t>
      </w:r>
      <w:r w:rsidR="00FE3B4E" w:rsidRPr="00BF4711">
        <w:rPr>
          <w:rFonts w:eastAsiaTheme="minorEastAsia"/>
        </w:rPr>
        <w:t>body</w:t>
      </w:r>
      <w:r w:rsidR="0096152A" w:rsidRPr="00BF4711">
        <w:rPr>
          <w:rFonts w:eastAsiaTheme="minorEastAsia"/>
        </w:rPr>
        <w:t xml:space="preserve"> as</w:t>
      </w:r>
      <w:r w:rsidR="00B63A35" w:rsidRPr="00BF4711">
        <w:rPr>
          <w:rFonts w:eastAsiaTheme="minorEastAsia"/>
        </w:rPr>
        <w:t xml:space="preserve"> treatment progresses, consistent with standard single-pool</w:t>
      </w:r>
      <w:r w:rsidR="004B1268" w:rsidRPr="00BF4711">
        <w:rPr>
          <w:rFonts w:eastAsiaTheme="minorEastAsia"/>
        </w:rPr>
        <w:t xml:space="preserve"> mass-balance formulations used in dialysis kinetics</w:t>
      </w:r>
      <w:r w:rsidR="00FE3B4E" w:rsidRPr="00BF4711">
        <w:rPr>
          <w:rFonts w:eastAsiaTheme="minorEastAsia"/>
        </w:rPr>
        <w:t>.</w:t>
      </w:r>
      <w:r w:rsidR="008C0122" w:rsidRPr="00BF4711">
        <w:rPr>
          <w:rFonts w:eastAsiaTheme="minorEastAsia"/>
        </w:rPr>
        <w:t xml:space="preserve"> </w:t>
      </w:r>
      <w:r w:rsidR="00874651" w:rsidRPr="00BF4711">
        <w:rPr>
          <w:rFonts w:eastAsiaTheme="minorEastAsia"/>
        </w:rPr>
        <w:t>B</w:t>
      </w:r>
      <w:r w:rsidR="008C0122" w:rsidRPr="00BF4711">
        <w:rPr>
          <w:rFonts w:eastAsiaTheme="minorEastAsia"/>
        </w:rPr>
        <w:t>oth configurations exhibit a</w:t>
      </w:r>
      <w:r w:rsidR="0058415C" w:rsidRPr="00BF4711">
        <w:rPr>
          <w:rFonts w:eastAsiaTheme="minorEastAsia"/>
        </w:rPr>
        <w:t xml:space="preserve"> </w:t>
      </w:r>
      <w:r w:rsidR="008C0122" w:rsidRPr="00BF4711">
        <w:rPr>
          <w:rFonts w:eastAsiaTheme="minorEastAsia"/>
        </w:rPr>
        <w:t>monotonic</w:t>
      </w:r>
      <w:r w:rsidR="0058415C" w:rsidRPr="00BF4711">
        <w:rPr>
          <w:rFonts w:eastAsiaTheme="minorEastAsia"/>
        </w:rPr>
        <w:t xml:space="preserve"> </w:t>
      </w:r>
      <w:r w:rsidR="00BC18AC" w:rsidRPr="00BF4711">
        <w:rPr>
          <w:rFonts w:eastAsiaTheme="minorEastAsia"/>
        </w:rPr>
        <w:t xml:space="preserve">decline in </w:t>
      </w:r>
      <m:oMath>
        <m:r>
          <w:rPr>
            <w:rFonts w:ascii="Cambria Math" w:hAnsi="Cambria Math"/>
          </w:rPr>
          <m:t>C</m:t>
        </m:r>
        <m:d>
          <m:dPr>
            <m:ctrlPr>
              <w:rPr>
                <w:rFonts w:ascii="Cambria Math" w:hAnsi="Cambria Math"/>
                <w:i/>
              </w:rPr>
            </m:ctrlPr>
          </m:dPr>
          <m:e>
            <m:r>
              <w:rPr>
                <w:rFonts w:ascii="Cambria Math" w:hAnsi="Cambria Math"/>
              </w:rPr>
              <m:t>t</m:t>
            </m:r>
          </m:e>
        </m:d>
      </m:oMath>
      <w:r w:rsidR="0058205F" w:rsidRPr="00BF4711">
        <w:rPr>
          <w:rFonts w:eastAsiaTheme="minorEastAsia"/>
        </w:rPr>
        <w:t>, reflecting</w:t>
      </w:r>
      <w:r w:rsidR="0091368F" w:rsidRPr="00BF4711">
        <w:rPr>
          <w:rFonts w:eastAsiaTheme="minorEastAsia"/>
        </w:rPr>
        <w:t xml:space="preserve"> net solute removal driven by the transmembrane concentration difference </w:t>
      </w:r>
      <m:oMath>
        <m:r>
          <w:rPr>
            <w:rFonts w:ascii="Cambria Math" w:hAnsi="Cambria Math"/>
          </w:rPr>
          <m:t>∆</m:t>
        </m:r>
        <m:d>
          <m:dPr>
            <m:ctrlPr>
              <w:rPr>
                <w:rFonts w:ascii="Cambria Math" w:hAnsi="Cambria Math"/>
                <w:i/>
              </w:rPr>
            </m:ctrlPr>
          </m:dPr>
          <m:e>
            <m:r>
              <w:rPr>
                <w:rFonts w:ascii="Cambria Math" w:hAnsi="Cambria Math"/>
              </w:rPr>
              <m:t>x</m:t>
            </m:r>
          </m:e>
        </m:d>
      </m:oMath>
      <w:r w:rsidR="00FC108B" w:rsidRPr="00BF4711">
        <w:rPr>
          <w:rFonts w:eastAsiaTheme="minorEastAsia"/>
        </w:rPr>
        <w:t xml:space="preserve"> established within the dialyzer</w:t>
      </w:r>
      <w:r w:rsidR="00FA0C13" w:rsidRPr="00BF4711">
        <w:rPr>
          <w:rFonts w:eastAsiaTheme="minorEastAsia"/>
        </w:rPr>
        <w:t xml:space="preserve"> (Sargent et al. Biophysics of Dialysis [7])</w:t>
      </w:r>
      <w:r w:rsidR="00FC108B" w:rsidRPr="00BF4711">
        <w:rPr>
          <w:rFonts w:eastAsiaTheme="minorEastAsia"/>
        </w:rPr>
        <w:t>.</w:t>
      </w:r>
    </w:p>
    <w:p w14:paraId="440ACE37" w14:textId="77777777" w:rsidR="00741A95" w:rsidRPr="00BF4711" w:rsidRDefault="00741A95" w:rsidP="0026028D">
      <w:pPr>
        <w:pStyle w:val="NormalWeb"/>
        <w:spacing w:before="0" w:beforeAutospacing="0" w:after="0" w:afterAutospacing="0"/>
        <w:contextualSpacing/>
        <w:jc w:val="both"/>
        <w:rPr>
          <w:rFonts w:eastAsia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10070"/>
      </w:tblGrid>
      <w:tr w:rsidR="006F4D06" w:rsidRPr="00BF4711" w14:paraId="3667B2A8" w14:textId="77777777" w:rsidTr="00F70B24">
        <w:trPr>
          <w:trHeight w:val="3392"/>
        </w:trPr>
        <w:tc>
          <w:tcPr>
            <w:tcW w:w="10070" w:type="dxa"/>
          </w:tcPr>
          <w:p w14:paraId="2BA36508" w14:textId="1F55A5EF" w:rsidR="006F4D06" w:rsidRPr="00BF4711" w:rsidRDefault="00091495" w:rsidP="0026028D">
            <w:pPr>
              <w:pStyle w:val="NormalWeb"/>
              <w:spacing w:before="0" w:beforeAutospacing="0" w:after="0" w:afterAutospacing="0"/>
              <w:contextualSpacing/>
              <w:jc w:val="center"/>
              <w:rPr>
                <w:rFonts w:eastAsiaTheme="minorHAnsi"/>
              </w:rPr>
            </w:pPr>
            <w:r w:rsidRPr="00BF4711">
              <w:rPr>
                <w:rFonts w:eastAsiaTheme="minorHAnsi"/>
                <w:noProof/>
              </w:rPr>
              <w:drawing>
                <wp:inline distT="0" distB="0" distL="0" distR="0" wp14:anchorId="33CB7C1F" wp14:editId="4362308E">
                  <wp:extent cx="3495675" cy="2343150"/>
                  <wp:effectExtent l="0" t="0" r="9525" b="0"/>
                  <wp:docPr id="1065795322"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5322" name="Graphic 1065795322"/>
                          <pic:cNvPicPr/>
                        </pic:nvPicPr>
                        <pic:blipFill>
                          <a:blip r:embed="rId21">
                            <a:extLst>
                              <a:ext uri="{96DAC541-7B7A-43D3-8B79-37D633B846F1}">
                                <asvg:svgBlip xmlns:asvg="http://schemas.microsoft.com/office/drawing/2016/SVG/main" r:embed="rId22"/>
                              </a:ext>
                            </a:extLst>
                          </a:blip>
                          <a:stretch>
                            <a:fillRect/>
                          </a:stretch>
                        </pic:blipFill>
                        <pic:spPr>
                          <a:xfrm>
                            <a:off x="0" y="0"/>
                            <a:ext cx="3495675" cy="2343150"/>
                          </a:xfrm>
                          <a:prstGeom prst="rect">
                            <a:avLst/>
                          </a:prstGeom>
                        </pic:spPr>
                      </pic:pic>
                    </a:graphicData>
                  </a:graphic>
                </wp:inline>
              </w:drawing>
            </w:r>
          </w:p>
        </w:tc>
      </w:tr>
      <w:tr w:rsidR="00741A95" w:rsidRPr="00BF4711" w14:paraId="302A5306" w14:textId="77777777" w:rsidTr="00F70B24">
        <w:tc>
          <w:tcPr>
            <w:tcW w:w="10070" w:type="dxa"/>
          </w:tcPr>
          <w:p w14:paraId="433DAD33" w14:textId="1B5866C2" w:rsidR="00741A95" w:rsidRPr="00BF4711" w:rsidRDefault="00741A95" w:rsidP="0026028D">
            <w:pPr>
              <w:pStyle w:val="NormalWeb"/>
              <w:spacing w:before="0" w:beforeAutospacing="0" w:after="0" w:afterAutospacing="0"/>
              <w:contextualSpacing/>
              <w:rPr>
                <w:rFonts w:eastAsiaTheme="minorHAnsi"/>
              </w:rPr>
            </w:pPr>
            <w:r w:rsidRPr="00BF4711">
              <w:rPr>
                <w:rFonts w:eastAsiaTheme="minorHAnsi"/>
                <w:b/>
                <w:bCs/>
                <w:i/>
                <w:iCs/>
              </w:rPr>
              <w:t xml:space="preserve">Figure </w:t>
            </w:r>
            <w:r w:rsidR="00936FBB">
              <w:rPr>
                <w:rFonts w:eastAsiaTheme="minorHAnsi"/>
                <w:b/>
                <w:bCs/>
                <w:i/>
                <w:iCs/>
              </w:rPr>
              <w:t>5</w:t>
            </w:r>
            <w:r w:rsidRPr="00BF4711">
              <w:rPr>
                <w:rFonts w:eastAsiaTheme="minorHAnsi"/>
                <w:b/>
                <w:bCs/>
                <w:i/>
                <w:iCs/>
              </w:rPr>
              <w:t>.</w:t>
            </w:r>
            <w:r w:rsidRPr="00BF4711">
              <w:rPr>
                <w:rFonts w:eastAsiaTheme="minorHAnsi"/>
              </w:rPr>
              <w:t xml:space="preserve"> </w:t>
            </w:r>
            <w:r w:rsidR="00260A4D" w:rsidRPr="00BF4711">
              <w:rPr>
                <w:rFonts w:eastAsiaTheme="minorHAnsi"/>
              </w:rPr>
              <w:t xml:space="preserve">Model </w:t>
            </w:r>
            <w:r w:rsidR="001A67CD" w:rsidRPr="00BF4711">
              <w:rPr>
                <w:rFonts w:eastAsiaTheme="minorHAnsi"/>
              </w:rPr>
              <w:t>p</w:t>
            </w:r>
            <w:r w:rsidR="00260A4D" w:rsidRPr="00BF4711">
              <w:rPr>
                <w:rFonts w:eastAsiaTheme="minorHAnsi"/>
              </w:rPr>
              <w:t xml:space="preserve">redicted </w:t>
            </w:r>
            <w:r w:rsidR="001A67CD" w:rsidRPr="00BF4711">
              <w:rPr>
                <w:rFonts w:eastAsiaTheme="minorHAnsi"/>
              </w:rPr>
              <w:t>t</w:t>
            </w:r>
            <w:r w:rsidR="005B3741" w:rsidRPr="00BF4711">
              <w:rPr>
                <w:rFonts w:eastAsiaTheme="minorHAnsi"/>
              </w:rPr>
              <w:t>empo</w:t>
            </w:r>
            <w:r w:rsidR="00260A4D" w:rsidRPr="00BF4711">
              <w:rPr>
                <w:rFonts w:eastAsiaTheme="minorHAnsi"/>
              </w:rPr>
              <w:t xml:space="preserve">ral </w:t>
            </w:r>
            <w:r w:rsidR="001A67CD" w:rsidRPr="00BF4711">
              <w:rPr>
                <w:rFonts w:eastAsiaTheme="minorHAnsi"/>
              </w:rPr>
              <w:t>c</w:t>
            </w:r>
            <w:r w:rsidR="00260A4D" w:rsidRPr="00BF4711">
              <w:rPr>
                <w:rFonts w:eastAsiaTheme="minorHAnsi"/>
              </w:rPr>
              <w:t xml:space="preserve">oncentration profile </w:t>
            </w:r>
            <w:r w:rsidR="001A67CD" w:rsidRPr="00BF4711">
              <w:rPr>
                <w:rFonts w:eastAsiaTheme="minorHAnsi"/>
              </w:rPr>
              <w:t xml:space="preserve">during </w:t>
            </w:r>
            <w:r w:rsidR="00592B71" w:rsidRPr="00BF4711">
              <w:rPr>
                <w:rFonts w:eastAsiaTheme="minorHAnsi"/>
              </w:rPr>
              <w:t>co-current and counter-current</w:t>
            </w:r>
            <w:r w:rsidR="007332D4" w:rsidRPr="00BF4711">
              <w:rPr>
                <w:rFonts w:eastAsiaTheme="minorHAnsi"/>
              </w:rPr>
              <w:t xml:space="preserve"> </w:t>
            </w:r>
            <w:r w:rsidR="00297AF9" w:rsidRPr="00BF4711">
              <w:rPr>
                <w:rFonts w:eastAsiaTheme="minorHAnsi"/>
              </w:rPr>
              <w:t xml:space="preserve">kidney </w:t>
            </w:r>
            <w:r w:rsidR="007332D4" w:rsidRPr="00BF4711">
              <w:rPr>
                <w:rFonts w:eastAsiaTheme="minorHAnsi"/>
              </w:rPr>
              <w:t>dialysis.</w:t>
            </w:r>
          </w:p>
        </w:tc>
      </w:tr>
    </w:tbl>
    <w:p w14:paraId="62F1F42C" w14:textId="77777777" w:rsidR="00DC234B" w:rsidRPr="00BF4711" w:rsidRDefault="00DC234B" w:rsidP="0026028D">
      <w:pPr>
        <w:pStyle w:val="NormalWeb"/>
        <w:spacing w:before="0" w:beforeAutospacing="0" w:after="0" w:afterAutospacing="0"/>
        <w:contextualSpacing/>
        <w:jc w:val="both"/>
        <w:rPr>
          <w:rFonts w:eastAsiaTheme="minorHAnsi"/>
        </w:rPr>
      </w:pPr>
    </w:p>
    <w:p w14:paraId="5298B58E" w14:textId="77777777" w:rsidR="0007029B" w:rsidRPr="00BF4711" w:rsidRDefault="00D73E36" w:rsidP="0026028D">
      <w:pPr>
        <w:pStyle w:val="NormalWeb"/>
        <w:spacing w:before="0" w:beforeAutospacing="0" w:after="0" w:afterAutospacing="0"/>
        <w:contextualSpacing/>
        <w:jc w:val="both"/>
        <w:rPr>
          <w:rFonts w:eastAsiaTheme="minorEastAsia"/>
        </w:rPr>
      </w:pPr>
      <w:r w:rsidRPr="00BF4711">
        <w:rPr>
          <w:rFonts w:eastAsiaTheme="minorEastAsia"/>
        </w:rPr>
        <w:t xml:space="preserve">The two curves diverge because the flow configuration determines how effectively the dialyzer maintains a driving force for diffusion. In the CC arrangement, the blood is continually exposed to dialysate that is closer to its inlet concentration, preserving a larger </w:t>
      </w:r>
      <m:oMath>
        <m:r>
          <w:rPr>
            <w:rFonts w:ascii="Cambria Math" w:hAnsi="Cambria Math"/>
          </w:rPr>
          <m:t>∆</m:t>
        </m:r>
        <m:d>
          <m:dPr>
            <m:ctrlPr>
              <w:rPr>
                <w:rFonts w:ascii="Cambria Math" w:hAnsi="Cambria Math"/>
                <w:i/>
              </w:rPr>
            </m:ctrlPr>
          </m:dPr>
          <m:e>
            <m:r>
              <w:rPr>
                <w:rFonts w:ascii="Cambria Math" w:hAnsi="Cambria Math"/>
              </w:rPr>
              <m:t>x</m:t>
            </m:r>
          </m:e>
        </m:d>
      </m:oMath>
      <w:r w:rsidRPr="00BF4711">
        <w:rPr>
          <w:rFonts w:eastAsiaTheme="minorEastAsia"/>
        </w:rPr>
        <w:t xml:space="preserve"> along the entire fiber. This sustained gradient produces a higher effective clearance at each moment in time, causing the CC curve to fall more rapidly and remains consistently below the CO curve. In contrast, the CO configuration experiences early equilibration between blood and dialysate, leading to a faster collapse of the driving force and a correspondingly slower decline in </w:t>
      </w:r>
      <m:oMath>
        <m:r>
          <w:rPr>
            <w:rFonts w:ascii="Cambria Math" w:hAnsi="Cambria Math"/>
          </w:rPr>
          <m:t>∆</m:t>
        </m:r>
        <m:d>
          <m:dPr>
            <m:ctrlPr>
              <w:rPr>
                <w:rFonts w:ascii="Cambria Math" w:hAnsi="Cambria Math"/>
                <w:i/>
              </w:rPr>
            </m:ctrlPr>
          </m:dPr>
          <m:e>
            <m:r>
              <w:rPr>
                <w:rFonts w:ascii="Cambria Math" w:hAnsi="Cambria Math"/>
              </w:rPr>
              <m:t>x</m:t>
            </m:r>
          </m:e>
        </m:d>
      </m:oMath>
      <w:r w:rsidR="001E734D" w:rsidRPr="00BF4711">
        <w:rPr>
          <w:rFonts w:eastAsiaTheme="minorEastAsia"/>
        </w:rPr>
        <w:t xml:space="preserve">, a behavior </w:t>
      </w:r>
      <w:r w:rsidR="0038506A" w:rsidRPr="00BF4711">
        <w:rPr>
          <w:rFonts w:eastAsiaTheme="minorEastAsia"/>
        </w:rPr>
        <w:t>long recognized in CC vs. CO mass-transfer</w:t>
      </w:r>
      <w:r w:rsidR="00B432E3" w:rsidRPr="00BF4711">
        <w:rPr>
          <w:rFonts w:eastAsiaTheme="minorEastAsia"/>
        </w:rPr>
        <w:t xml:space="preserve"> comparisons in hemodialysis [7]</w:t>
      </w:r>
      <w:r w:rsidRPr="00BF4711">
        <w:rPr>
          <w:rFonts w:eastAsiaTheme="minorEastAsia"/>
        </w:rPr>
        <w:t>.</w:t>
      </w:r>
    </w:p>
    <w:p w14:paraId="2DBEB56E" w14:textId="77777777" w:rsidR="0007029B" w:rsidRPr="00BF4711" w:rsidRDefault="0007029B" w:rsidP="0026028D">
      <w:pPr>
        <w:pStyle w:val="NormalWeb"/>
        <w:spacing w:before="0" w:beforeAutospacing="0" w:after="0" w:afterAutospacing="0"/>
        <w:contextualSpacing/>
        <w:jc w:val="both"/>
        <w:rPr>
          <w:rFonts w:eastAsiaTheme="minorEastAsia"/>
        </w:rPr>
      </w:pPr>
    </w:p>
    <w:p w14:paraId="1C0EFD57" w14:textId="61F38648" w:rsidR="00815D44" w:rsidRPr="00BF4711" w:rsidRDefault="00042510" w:rsidP="005B6D0A">
      <w:pPr>
        <w:pStyle w:val="NormalWeb"/>
        <w:spacing w:before="0" w:beforeAutospacing="0" w:after="120" w:afterAutospacing="0"/>
        <w:jc w:val="both"/>
        <w:rPr>
          <w:rFonts w:eastAsiaTheme="minorEastAsia"/>
          <w:b/>
          <w:bCs/>
        </w:rPr>
      </w:pPr>
      <w:r w:rsidRPr="00BF4711">
        <w:rPr>
          <w:rFonts w:eastAsiaTheme="minorEastAsia"/>
          <w:b/>
          <w:bCs/>
        </w:rPr>
        <w:t>Comparison with</w:t>
      </w:r>
      <w:r w:rsidR="00052EA5" w:rsidRPr="00BF4711">
        <w:rPr>
          <w:rFonts w:eastAsiaTheme="minorEastAsia"/>
          <w:b/>
          <w:bCs/>
        </w:rPr>
        <w:t xml:space="preserve"> Experimental Results</w:t>
      </w:r>
      <w:r w:rsidR="00815D44" w:rsidRPr="00BF4711">
        <w:rPr>
          <w:rFonts w:eastAsiaTheme="minorEastAsia"/>
          <w:b/>
          <w:bCs/>
        </w:rPr>
        <w:t>.</w:t>
      </w:r>
    </w:p>
    <w:p w14:paraId="6D184F39" w14:textId="26D91A1F" w:rsidR="008975FE" w:rsidRPr="00BF4711" w:rsidRDefault="007453AB" w:rsidP="0026028D">
      <w:pPr>
        <w:pStyle w:val="NormalWeb"/>
        <w:spacing w:before="0" w:beforeAutospacing="0" w:after="0" w:afterAutospacing="0"/>
        <w:contextualSpacing/>
        <w:jc w:val="both"/>
        <w:rPr>
          <w:rFonts w:eastAsiaTheme="minorEastAsia"/>
        </w:rPr>
      </w:pPr>
      <w:r w:rsidRPr="00BF4711">
        <w:rPr>
          <w:rFonts w:eastAsiaTheme="minorEastAsia"/>
        </w:rPr>
        <w:t>The experimental results</w:t>
      </w:r>
      <w:r w:rsidR="004B5A56" w:rsidRPr="00BF4711">
        <w:rPr>
          <w:rFonts w:eastAsiaTheme="minorEastAsia"/>
        </w:rPr>
        <w:t xml:space="preserve"> (El</w:t>
      </w:r>
      <w:r w:rsidR="00935F6C" w:rsidRPr="00BF4711">
        <w:rPr>
          <w:rFonts w:eastAsiaTheme="minorEastAsia"/>
        </w:rPr>
        <w:t>oot, 2005 [</w:t>
      </w:r>
      <w:r w:rsidR="008975FE" w:rsidRPr="00BF4711">
        <w:rPr>
          <w:rFonts w:eastAsiaTheme="minorEastAsia"/>
        </w:rPr>
        <w:t>8</w:t>
      </w:r>
      <w:r w:rsidR="00935F6C" w:rsidRPr="00BF4711">
        <w:rPr>
          <w:rFonts w:eastAsiaTheme="minorEastAsia"/>
        </w:rPr>
        <w:t>]</w:t>
      </w:r>
      <w:r w:rsidR="008975FE" w:rsidRPr="00BF4711">
        <w:rPr>
          <w:rFonts w:eastAsiaTheme="minorEastAsia"/>
        </w:rPr>
        <w:t xml:space="preserve">) </w:t>
      </w:r>
      <w:r w:rsidR="00F97943" w:rsidRPr="00BF4711">
        <w:rPr>
          <w:rFonts w:eastAsiaTheme="minorEastAsia"/>
        </w:rPr>
        <w:t xml:space="preserve">show that </w:t>
      </w:r>
      <w:r w:rsidR="00CC0FBC" w:rsidRPr="00BF4711">
        <w:rPr>
          <w:rFonts w:eastAsiaTheme="minorEastAsia"/>
        </w:rPr>
        <w:t>CC operation provides a consistent and meaningful improvement in solute-removal</w:t>
      </w:r>
      <w:r w:rsidR="002C004E" w:rsidRPr="00BF4711">
        <w:rPr>
          <w:rFonts w:eastAsiaTheme="minorEastAsia"/>
        </w:rPr>
        <w:t xml:space="preserve"> efficiency. For the low-molecular-weight solute LMW-AB</w:t>
      </w:r>
      <w:r w:rsidR="003D7673" w:rsidRPr="00BF4711">
        <w:rPr>
          <w:rFonts w:eastAsiaTheme="minorEastAsia"/>
        </w:rPr>
        <w:t xml:space="preserve">, clearance increases from </w:t>
      </w:r>
      <w:r w:rsidR="00391346" w:rsidRPr="00BF4711">
        <w:rPr>
          <w:rFonts w:eastAsiaTheme="minorEastAsia"/>
        </w:rPr>
        <w:t>184 mL/min in C</w:t>
      </w:r>
      <w:r w:rsidR="00273672" w:rsidRPr="00BF4711">
        <w:rPr>
          <w:rFonts w:eastAsiaTheme="minorEastAsia"/>
        </w:rPr>
        <w:t>O</w:t>
      </w:r>
      <w:r w:rsidR="00391346" w:rsidRPr="00BF4711">
        <w:rPr>
          <w:rFonts w:eastAsiaTheme="minorEastAsia"/>
        </w:rPr>
        <w:t xml:space="preserve"> flow to 215 mL/min in CC, corresponding to a 17% increase.</w:t>
      </w:r>
      <w:r w:rsidR="00707117" w:rsidRPr="00BF4711">
        <w:rPr>
          <w:rFonts w:eastAsiaTheme="minorEastAsia"/>
        </w:rPr>
        <w:t xml:space="preserve"> For the mid-molecular-weight Na</w:t>
      </w:r>
      <w:r w:rsidR="00707117" w:rsidRPr="00BF4711">
        <w:rPr>
          <w:rFonts w:eastAsiaTheme="minorEastAsia"/>
          <w:vertAlign w:val="subscript"/>
        </w:rPr>
        <w:t>3</w:t>
      </w:r>
      <w:r w:rsidR="00707117" w:rsidRPr="00BF4711">
        <w:rPr>
          <w:rFonts w:eastAsiaTheme="minorEastAsia"/>
        </w:rPr>
        <w:t>PO</w:t>
      </w:r>
      <w:r w:rsidR="00707117" w:rsidRPr="00BF4711">
        <w:rPr>
          <w:rFonts w:eastAsiaTheme="minorEastAsia"/>
          <w:vertAlign w:val="subscript"/>
        </w:rPr>
        <w:t>4</w:t>
      </w:r>
      <w:r w:rsidR="00707117" w:rsidRPr="00BF4711">
        <w:rPr>
          <w:rFonts w:eastAsiaTheme="minorEastAsia"/>
        </w:rPr>
        <w:t>, clearance rises from 145</w:t>
      </w:r>
      <w:r w:rsidR="008D3200" w:rsidRPr="00BF4711">
        <w:rPr>
          <w:rFonts w:eastAsiaTheme="minorEastAsia"/>
        </w:rPr>
        <w:t xml:space="preserve"> mL/min to 176 mL/min, representing a 21% improvement.</w:t>
      </w:r>
      <w:r w:rsidR="008D4C96" w:rsidRPr="00BF4711">
        <w:rPr>
          <w:rFonts w:eastAsiaTheme="minorEastAsia"/>
        </w:rPr>
        <w:t xml:space="preserve"> These experimenta</w:t>
      </w:r>
      <w:r w:rsidR="00651E69" w:rsidRPr="00BF4711">
        <w:rPr>
          <w:rFonts w:eastAsiaTheme="minorEastAsia"/>
        </w:rPr>
        <w:t xml:space="preserve">lly observed gains align with </w:t>
      </w:r>
      <w:r w:rsidR="007140D7" w:rsidRPr="00BF4711">
        <w:rPr>
          <w:rFonts w:eastAsiaTheme="minorEastAsia"/>
        </w:rPr>
        <w:t>our model’s predicted enhancement of 30%</w:t>
      </w:r>
      <w:r w:rsidR="00E14479" w:rsidRPr="00BF4711">
        <w:rPr>
          <w:rFonts w:eastAsiaTheme="minorEastAsia"/>
        </w:rPr>
        <w:t>. The modest</w:t>
      </w:r>
      <w:r w:rsidR="00873B8A" w:rsidRPr="00BF4711">
        <w:rPr>
          <w:rFonts w:eastAsiaTheme="minorEastAsia"/>
        </w:rPr>
        <w:t xml:space="preserve"> difference between theoretical and experimental </w:t>
      </w:r>
      <w:r w:rsidR="00425F28" w:rsidRPr="00BF4711">
        <w:rPr>
          <w:rFonts w:eastAsiaTheme="minorEastAsia"/>
        </w:rPr>
        <w:t>results is expected, given real-world factors such as non-uniform</w:t>
      </w:r>
      <w:r w:rsidR="00EE385F" w:rsidRPr="00BF4711">
        <w:rPr>
          <w:rFonts w:eastAsiaTheme="minorEastAsia"/>
        </w:rPr>
        <w:t xml:space="preserve"> mixing, membrane heterogeneity and axial dispersion.</w:t>
      </w:r>
      <w:r w:rsidR="00AE473C" w:rsidRPr="00BF4711">
        <w:rPr>
          <w:rFonts w:eastAsiaTheme="minorEastAsia"/>
        </w:rPr>
        <w:t xml:space="preserve"> Importantly, the experimental trends confirm the</w:t>
      </w:r>
      <w:r w:rsidR="00266CB5" w:rsidRPr="00BF4711">
        <w:rPr>
          <w:rFonts w:eastAsiaTheme="minorEastAsia"/>
        </w:rPr>
        <w:t xml:space="preserve"> model’s mechanistic prediction</w:t>
      </w:r>
      <w:r w:rsidR="00C428EC" w:rsidRPr="00BF4711">
        <w:rPr>
          <w:rFonts w:eastAsiaTheme="minorEastAsia"/>
        </w:rPr>
        <w:t xml:space="preserve"> that </w:t>
      </w:r>
      <w:r w:rsidR="00D76FD3" w:rsidRPr="00BF4711">
        <w:rPr>
          <w:rFonts w:eastAsiaTheme="minorEastAsia"/>
        </w:rPr>
        <w:t xml:space="preserve">CC </w:t>
      </w:r>
      <w:r w:rsidR="00685956" w:rsidRPr="00BF4711">
        <w:rPr>
          <w:rFonts w:eastAsiaTheme="minorEastAsia"/>
        </w:rPr>
        <w:t xml:space="preserve">operation </w:t>
      </w:r>
      <w:r w:rsidR="007B12DD" w:rsidRPr="00BF4711">
        <w:rPr>
          <w:rFonts w:eastAsiaTheme="minorEastAsia"/>
        </w:rPr>
        <w:t xml:space="preserve">sustains a larger effective concentration gradient </w:t>
      </w:r>
      <w:r w:rsidR="00D33AAA" w:rsidRPr="00BF4711">
        <w:rPr>
          <w:rFonts w:eastAsiaTheme="minorEastAsia"/>
        </w:rPr>
        <w:t>than</w:t>
      </w:r>
      <w:r w:rsidR="006D2663" w:rsidRPr="00BF4711">
        <w:rPr>
          <w:rFonts w:eastAsiaTheme="minorEastAsia"/>
        </w:rPr>
        <w:t xml:space="preserve"> CO</w:t>
      </w:r>
      <w:r w:rsidR="00D33AAA" w:rsidRPr="00BF4711">
        <w:rPr>
          <w:rFonts w:eastAsiaTheme="minorEastAsia"/>
        </w:rPr>
        <w:t xml:space="preserve">, thereby enabling superior solute-removal </w:t>
      </w:r>
      <w:r w:rsidR="001957EC" w:rsidRPr="00BF4711">
        <w:rPr>
          <w:rFonts w:eastAsiaTheme="minorEastAsia"/>
        </w:rPr>
        <w:t>performance.</w:t>
      </w:r>
    </w:p>
    <w:p w14:paraId="0D3013BC" w14:textId="77777777" w:rsidR="00815D44" w:rsidRDefault="00815D44" w:rsidP="0026028D">
      <w:pPr>
        <w:pStyle w:val="NormalWeb"/>
        <w:spacing w:before="0" w:beforeAutospacing="0" w:after="0" w:afterAutospacing="0"/>
        <w:contextualSpacing/>
        <w:jc w:val="both"/>
        <w:rPr>
          <w:rFonts w:eastAsiaTheme="minorEastAsia"/>
        </w:rPr>
      </w:pPr>
    </w:p>
    <w:p w14:paraId="6B326F17" w14:textId="77777777" w:rsidR="00A638F0" w:rsidRPr="00BF4711" w:rsidRDefault="00A638F0" w:rsidP="0026028D">
      <w:pPr>
        <w:pStyle w:val="NormalWeb"/>
        <w:spacing w:before="0" w:beforeAutospacing="0" w:after="0" w:afterAutospacing="0"/>
        <w:contextualSpacing/>
        <w:jc w:val="both"/>
        <w:rPr>
          <w:rFonts w:eastAsiaTheme="minorEastAsia"/>
        </w:rPr>
      </w:pPr>
    </w:p>
    <w:p w14:paraId="15A2A957" w14:textId="23592FCF" w:rsidR="00DA461C" w:rsidRPr="00BF4711" w:rsidRDefault="007E578E" w:rsidP="0026028D">
      <w:pPr>
        <w:pStyle w:val="ListParagraph"/>
        <w:numPr>
          <w:ilvl w:val="0"/>
          <w:numId w:val="1"/>
        </w:numPr>
        <w:ind w:left="360"/>
        <w:rPr>
          <w:b/>
        </w:rPr>
      </w:pPr>
      <w:r w:rsidRPr="00BF4711">
        <w:rPr>
          <w:b/>
        </w:rPr>
        <w:t>Conclusions</w:t>
      </w:r>
    </w:p>
    <w:p w14:paraId="7978ACD4" w14:textId="77777777" w:rsidR="00AE0934" w:rsidRPr="00BF4711" w:rsidRDefault="00AE0934" w:rsidP="0026028D">
      <w:pPr>
        <w:pStyle w:val="NormalWeb"/>
        <w:spacing w:before="0" w:beforeAutospacing="0" w:after="0" w:afterAutospacing="0"/>
        <w:contextualSpacing/>
        <w:jc w:val="both"/>
        <w:rPr>
          <w:rFonts w:eastAsiaTheme="minorHAnsi"/>
        </w:rPr>
      </w:pPr>
    </w:p>
    <w:p w14:paraId="571682BE" w14:textId="1D665286" w:rsidR="007E578E" w:rsidRPr="00BF4711" w:rsidRDefault="00FE4E91" w:rsidP="0026028D">
      <w:pPr>
        <w:pStyle w:val="NormalWeb"/>
        <w:spacing w:before="0" w:beforeAutospacing="0" w:after="0" w:afterAutospacing="0"/>
        <w:contextualSpacing/>
        <w:jc w:val="both"/>
        <w:rPr>
          <w:rFonts w:eastAsiaTheme="minorHAnsi"/>
        </w:rPr>
      </w:pPr>
      <w:r w:rsidRPr="00BF4711">
        <w:rPr>
          <w:rFonts w:eastAsiaTheme="minorHAnsi"/>
        </w:rPr>
        <w:lastRenderedPageBreak/>
        <w:t xml:space="preserve">In this work we describe </w:t>
      </w:r>
      <w:r w:rsidR="00E13C39" w:rsidRPr="00BF4711">
        <w:rPr>
          <w:rFonts w:eastAsiaTheme="minorHAnsi"/>
        </w:rPr>
        <w:t>a lumped two compartment bo</w:t>
      </w:r>
      <w:r w:rsidR="009D53D3" w:rsidRPr="00BF4711">
        <w:rPr>
          <w:rFonts w:eastAsiaTheme="minorHAnsi"/>
        </w:rPr>
        <w:t>x</w:t>
      </w:r>
      <w:r w:rsidR="00E13C39" w:rsidRPr="00BF4711">
        <w:rPr>
          <w:rFonts w:eastAsiaTheme="minorHAnsi"/>
        </w:rPr>
        <w:t xml:space="preserve"> model </w:t>
      </w:r>
      <w:r w:rsidR="009D53D3" w:rsidRPr="00BF4711">
        <w:rPr>
          <w:rFonts w:eastAsiaTheme="minorHAnsi"/>
        </w:rPr>
        <w:t xml:space="preserve">for kidney dialysis and compare the </w:t>
      </w:r>
      <w:r w:rsidR="0028448D" w:rsidRPr="00BF4711">
        <w:rPr>
          <w:rFonts w:eastAsiaTheme="minorHAnsi"/>
        </w:rPr>
        <w:t xml:space="preserve">performance efficiency of co- and counter-current flow. </w:t>
      </w:r>
      <w:r w:rsidR="00374A52" w:rsidRPr="00BF4711">
        <w:rPr>
          <w:rFonts w:eastAsiaTheme="minorHAnsi"/>
        </w:rPr>
        <w:t xml:space="preserve">We propose </w:t>
      </w:r>
      <w:r w:rsidR="00E002A0" w:rsidRPr="00BF4711">
        <w:rPr>
          <w:rFonts w:eastAsiaTheme="minorHAnsi"/>
        </w:rPr>
        <w:t xml:space="preserve">mathematical </w:t>
      </w:r>
      <w:r w:rsidR="009A3D36" w:rsidRPr="00BF4711">
        <w:rPr>
          <w:rFonts w:eastAsiaTheme="minorHAnsi"/>
        </w:rPr>
        <w:t>ODEs</w:t>
      </w:r>
      <w:r w:rsidR="00300D22" w:rsidRPr="00BF4711">
        <w:rPr>
          <w:rFonts w:eastAsiaTheme="minorHAnsi"/>
        </w:rPr>
        <w:t xml:space="preserve"> </w:t>
      </w:r>
      <w:r w:rsidR="00AA5685" w:rsidRPr="00BF4711">
        <w:rPr>
          <w:rFonts w:eastAsiaTheme="minorHAnsi"/>
        </w:rPr>
        <w:t xml:space="preserve">for </w:t>
      </w:r>
      <w:r w:rsidR="008170BD" w:rsidRPr="00BF4711">
        <w:rPr>
          <w:rFonts w:eastAsiaTheme="minorHAnsi"/>
        </w:rPr>
        <w:t xml:space="preserve">both </w:t>
      </w:r>
      <w:r w:rsidR="00AA5685" w:rsidRPr="00BF4711">
        <w:rPr>
          <w:rFonts w:eastAsiaTheme="minorHAnsi"/>
        </w:rPr>
        <w:t>s</w:t>
      </w:r>
      <w:r w:rsidR="006F02AC" w:rsidRPr="00BF4711">
        <w:rPr>
          <w:rFonts w:eastAsiaTheme="minorHAnsi"/>
        </w:rPr>
        <w:t xml:space="preserve">patial </w:t>
      </w:r>
      <w:r w:rsidR="00814891" w:rsidRPr="00BF4711">
        <w:rPr>
          <w:rFonts w:eastAsiaTheme="minorHAnsi"/>
        </w:rPr>
        <w:t xml:space="preserve">and temporal </w:t>
      </w:r>
      <w:r w:rsidR="00B52173" w:rsidRPr="00BF4711">
        <w:rPr>
          <w:rFonts w:eastAsiaTheme="minorHAnsi"/>
        </w:rPr>
        <w:t xml:space="preserve">models and solve them analytically. </w:t>
      </w:r>
      <w:r w:rsidR="000D25A3" w:rsidRPr="00BF4711">
        <w:rPr>
          <w:rFonts w:eastAsiaTheme="minorHAnsi"/>
        </w:rPr>
        <w:t>Simulation</w:t>
      </w:r>
      <w:r w:rsidR="004512CD" w:rsidRPr="00BF4711">
        <w:rPr>
          <w:rFonts w:eastAsiaTheme="minorHAnsi"/>
        </w:rPr>
        <w:t xml:space="preserve">s </w:t>
      </w:r>
      <w:r w:rsidR="009F768E" w:rsidRPr="00BF4711">
        <w:rPr>
          <w:rFonts w:eastAsiaTheme="minorHAnsi"/>
        </w:rPr>
        <w:t xml:space="preserve">are conducted </w:t>
      </w:r>
      <w:r w:rsidR="00364BB7" w:rsidRPr="00BF4711">
        <w:rPr>
          <w:rFonts w:eastAsiaTheme="minorHAnsi"/>
        </w:rPr>
        <w:t xml:space="preserve">using parameter values </w:t>
      </w:r>
      <w:r w:rsidR="00CB0EC3" w:rsidRPr="00BF4711">
        <w:rPr>
          <w:rFonts w:eastAsiaTheme="minorHAnsi"/>
        </w:rPr>
        <w:t>chosen to fall within the physiological range of clinical hemodialysis.</w:t>
      </w:r>
    </w:p>
    <w:p w14:paraId="3DEFDC2E" w14:textId="77777777" w:rsidR="00BE6153" w:rsidRPr="00BF4711" w:rsidRDefault="00BE6153" w:rsidP="0026028D">
      <w:pPr>
        <w:pStyle w:val="NormalWeb"/>
        <w:spacing w:before="0" w:beforeAutospacing="0" w:after="0" w:afterAutospacing="0"/>
        <w:contextualSpacing/>
        <w:jc w:val="both"/>
        <w:rPr>
          <w:rFonts w:eastAsiaTheme="minorHAnsi"/>
        </w:rPr>
      </w:pPr>
    </w:p>
    <w:p w14:paraId="38BAC67C" w14:textId="30F52C61" w:rsidR="00BE6153" w:rsidRPr="00BF4711" w:rsidRDefault="009C1D82" w:rsidP="0026028D">
      <w:pPr>
        <w:pStyle w:val="NormalWeb"/>
        <w:spacing w:before="0" w:beforeAutospacing="0" w:after="0" w:afterAutospacing="0"/>
        <w:contextualSpacing/>
        <w:jc w:val="both"/>
        <w:rPr>
          <w:rFonts w:eastAsiaTheme="minorHAnsi"/>
        </w:rPr>
      </w:pPr>
      <w:r w:rsidRPr="00BF4711">
        <w:rPr>
          <w:rFonts w:eastAsiaTheme="minorHAnsi"/>
        </w:rPr>
        <w:t>The combined spatial-temporal analysis reveals a coherent mechanistic pi</w:t>
      </w:r>
      <w:r w:rsidR="00D94295" w:rsidRPr="00BF4711">
        <w:rPr>
          <w:rFonts w:eastAsiaTheme="minorHAnsi"/>
        </w:rPr>
        <w:t xml:space="preserve">cture: </w:t>
      </w:r>
      <w:r w:rsidR="00E67815" w:rsidRPr="00BF4711">
        <w:rPr>
          <w:rFonts w:eastAsiaTheme="minorHAnsi"/>
        </w:rPr>
        <w:t>counter-current</w:t>
      </w:r>
      <w:r w:rsidR="008E3FF3" w:rsidRPr="00BF4711">
        <w:rPr>
          <w:rFonts w:eastAsiaTheme="minorHAnsi"/>
        </w:rPr>
        <w:t xml:space="preserve"> operation consistently sustains a larger</w:t>
      </w:r>
      <w:r w:rsidR="00873BE6" w:rsidRPr="00BF4711">
        <w:rPr>
          <w:rFonts w:eastAsiaTheme="minorHAnsi"/>
        </w:rPr>
        <w:t xml:space="preserve"> and more uniformly distributed concentration gradient across the dialyzer</w:t>
      </w:r>
      <w:r w:rsidR="002B2E7C" w:rsidRPr="00BF4711">
        <w:rPr>
          <w:rFonts w:eastAsiaTheme="minorHAnsi"/>
        </w:rPr>
        <w:t>, whereas co-current flow rapidly approaches local equilibrium and loses driving</w:t>
      </w:r>
      <w:r w:rsidR="00D80DC8" w:rsidRPr="00BF4711">
        <w:rPr>
          <w:rFonts w:eastAsiaTheme="minorHAnsi"/>
        </w:rPr>
        <w:t xml:space="preserve"> force early in the device. This </w:t>
      </w:r>
      <w:r w:rsidR="000D4251" w:rsidRPr="00BF4711">
        <w:rPr>
          <w:rFonts w:eastAsiaTheme="minorHAnsi"/>
        </w:rPr>
        <w:t>difference</w:t>
      </w:r>
      <w:r w:rsidR="00325DA2" w:rsidRPr="00BF4711">
        <w:rPr>
          <w:rFonts w:eastAsiaTheme="minorHAnsi"/>
        </w:rPr>
        <w:t xml:space="preserve"> in gradient explains the higher solute-removal efficiency</w:t>
      </w:r>
      <w:r w:rsidR="00DA66ED" w:rsidRPr="00BF4711">
        <w:rPr>
          <w:rFonts w:eastAsiaTheme="minorHAnsi"/>
        </w:rPr>
        <w:t xml:space="preserve"> </w:t>
      </w:r>
      <w:r w:rsidR="00323E76" w:rsidRPr="00BF4711">
        <w:rPr>
          <w:rFonts w:eastAsiaTheme="minorHAnsi"/>
        </w:rPr>
        <w:t>observed in counter-current systems. The temporal patient model further shows that this sustained gradient translates into lower</w:t>
      </w:r>
      <w:r w:rsidR="002D428A" w:rsidRPr="00BF4711">
        <w:rPr>
          <w:rFonts w:eastAsiaTheme="minorHAnsi"/>
        </w:rPr>
        <w:t xml:space="preserve"> systemic solute concentrations over the course of </w:t>
      </w:r>
      <w:r w:rsidR="002C682C" w:rsidRPr="00BF4711">
        <w:rPr>
          <w:rFonts w:eastAsiaTheme="minorHAnsi"/>
        </w:rPr>
        <w:t>treatment</w:t>
      </w:r>
      <w:r w:rsidR="00C86A74" w:rsidRPr="00BF4711">
        <w:rPr>
          <w:rFonts w:eastAsiaTheme="minorHAnsi"/>
        </w:rPr>
        <w:t>.</w:t>
      </w:r>
    </w:p>
    <w:p w14:paraId="4B262EA2" w14:textId="77777777" w:rsidR="00C86A74" w:rsidRPr="00BF4711" w:rsidRDefault="00C86A74" w:rsidP="0026028D">
      <w:pPr>
        <w:pStyle w:val="NormalWeb"/>
        <w:spacing w:before="0" w:beforeAutospacing="0" w:after="0" w:afterAutospacing="0"/>
        <w:contextualSpacing/>
        <w:jc w:val="both"/>
        <w:rPr>
          <w:rFonts w:eastAsiaTheme="minorHAnsi"/>
        </w:rPr>
      </w:pPr>
    </w:p>
    <w:p w14:paraId="00AF8F4F" w14:textId="681A9C2E" w:rsidR="00C86A74" w:rsidRPr="00BF4711" w:rsidRDefault="00C86A74" w:rsidP="0026028D">
      <w:pPr>
        <w:pStyle w:val="NormalWeb"/>
        <w:spacing w:before="0" w:beforeAutospacing="0" w:after="0" w:afterAutospacing="0"/>
        <w:contextualSpacing/>
        <w:jc w:val="both"/>
        <w:rPr>
          <w:rFonts w:eastAsiaTheme="minorHAnsi"/>
        </w:rPr>
      </w:pPr>
      <w:r w:rsidRPr="00BF4711">
        <w:rPr>
          <w:rFonts w:eastAsiaTheme="minorHAnsi"/>
        </w:rPr>
        <w:t>Sensitivity studies</w:t>
      </w:r>
      <w:r w:rsidR="00AC47CC" w:rsidRPr="00BF4711">
        <w:rPr>
          <w:rFonts w:eastAsiaTheme="minorHAnsi"/>
        </w:rPr>
        <w:t xml:space="preserve"> highlight the dominant influence of the mass-transfer area coefficient K</w:t>
      </w:r>
      <w:r w:rsidR="00AC47CC" w:rsidRPr="008C26AD">
        <w:rPr>
          <w:rFonts w:eastAsiaTheme="minorHAnsi"/>
          <w:vertAlign w:val="subscript"/>
        </w:rPr>
        <w:t>0</w:t>
      </w:r>
      <w:r w:rsidR="00AC47CC" w:rsidRPr="00BF4711">
        <w:rPr>
          <w:rFonts w:eastAsiaTheme="minorHAnsi"/>
        </w:rPr>
        <w:t>A</w:t>
      </w:r>
      <w:r w:rsidR="001732CF" w:rsidRPr="00BF4711">
        <w:rPr>
          <w:rFonts w:eastAsiaTheme="minorHAnsi"/>
        </w:rPr>
        <w:t xml:space="preserve">, which governs the steepness of axial gradients and amplifies the performance gap between </w:t>
      </w:r>
      <w:r w:rsidR="00931038" w:rsidRPr="00BF4711">
        <w:rPr>
          <w:rFonts w:eastAsiaTheme="minorHAnsi"/>
        </w:rPr>
        <w:t>the flow configurations</w:t>
      </w:r>
      <w:r w:rsidR="00722825" w:rsidRPr="00BF4711">
        <w:rPr>
          <w:rFonts w:eastAsiaTheme="minorHAnsi"/>
        </w:rPr>
        <w:t>. Variation in dialysate flow rate Q</w:t>
      </w:r>
      <w:r w:rsidR="00722825" w:rsidRPr="008C26AD">
        <w:rPr>
          <w:rFonts w:eastAsiaTheme="minorHAnsi"/>
          <w:vertAlign w:val="subscript"/>
        </w:rPr>
        <w:t>d</w:t>
      </w:r>
      <w:r w:rsidR="00722825" w:rsidRPr="00BF4711">
        <w:rPr>
          <w:rFonts w:eastAsiaTheme="minorHAnsi"/>
        </w:rPr>
        <w:t xml:space="preserve"> produces complementary effects by redistributing the available</w:t>
      </w:r>
      <w:r w:rsidR="00394FBA" w:rsidRPr="00BF4711">
        <w:rPr>
          <w:rFonts w:eastAsiaTheme="minorHAnsi"/>
        </w:rPr>
        <w:t xml:space="preserve"> driving force and shifting the system between membrane-limited and dialysate-limited </w:t>
      </w:r>
      <w:r w:rsidR="0033725D" w:rsidRPr="00BF4711">
        <w:rPr>
          <w:rFonts w:eastAsiaTheme="minorHAnsi"/>
        </w:rPr>
        <w:t>re</w:t>
      </w:r>
      <w:r w:rsidR="00394FBA" w:rsidRPr="00BF4711">
        <w:rPr>
          <w:rFonts w:eastAsiaTheme="minorHAnsi"/>
        </w:rPr>
        <w:t>gimes</w:t>
      </w:r>
      <w:r w:rsidR="0033725D" w:rsidRPr="00BF4711">
        <w:rPr>
          <w:rFonts w:eastAsiaTheme="minorHAnsi"/>
        </w:rPr>
        <w:t>. Across all parameter ranges</w:t>
      </w:r>
      <w:r w:rsidR="00696904" w:rsidRPr="00BF4711">
        <w:rPr>
          <w:rFonts w:eastAsiaTheme="minorHAnsi"/>
        </w:rPr>
        <w:t xml:space="preserve">, counter-current flow maintains a higher effective gradient and therefore </w:t>
      </w:r>
      <w:r w:rsidR="005F40F3" w:rsidRPr="00BF4711">
        <w:rPr>
          <w:rFonts w:eastAsiaTheme="minorHAnsi"/>
        </w:rPr>
        <w:t>superior clearance.</w:t>
      </w:r>
    </w:p>
    <w:p w14:paraId="29DC837E" w14:textId="77777777" w:rsidR="005F40F3" w:rsidRPr="00BF4711" w:rsidRDefault="005F40F3" w:rsidP="0026028D">
      <w:pPr>
        <w:pStyle w:val="NormalWeb"/>
        <w:spacing w:before="0" w:beforeAutospacing="0" w:after="0" w:afterAutospacing="0"/>
        <w:contextualSpacing/>
        <w:jc w:val="both"/>
        <w:rPr>
          <w:rFonts w:eastAsiaTheme="minorHAnsi"/>
        </w:rPr>
      </w:pPr>
    </w:p>
    <w:p w14:paraId="130225D0" w14:textId="26D082BA" w:rsidR="005F40F3" w:rsidRPr="00BF4711" w:rsidRDefault="005F40F3" w:rsidP="0026028D">
      <w:pPr>
        <w:pStyle w:val="NormalWeb"/>
        <w:spacing w:before="0" w:beforeAutospacing="0" w:after="0" w:afterAutospacing="0"/>
        <w:contextualSpacing/>
        <w:jc w:val="both"/>
        <w:rPr>
          <w:rFonts w:eastAsiaTheme="minorHAnsi"/>
        </w:rPr>
      </w:pPr>
      <w:r w:rsidRPr="00BF4711">
        <w:rPr>
          <w:rFonts w:eastAsiaTheme="minorHAnsi"/>
        </w:rPr>
        <w:t>Overall, the model provides</w:t>
      </w:r>
      <w:r w:rsidR="00E1342C" w:rsidRPr="00BF4711">
        <w:rPr>
          <w:rFonts w:eastAsiaTheme="minorHAnsi"/>
        </w:rPr>
        <w:t xml:space="preserve"> a compact analytical framework that links axial transport phenomena to whole-body solute kinetics. It offers a transparent explanation for the </w:t>
      </w:r>
      <w:r w:rsidR="009F0957" w:rsidRPr="00BF4711">
        <w:rPr>
          <w:rFonts w:eastAsiaTheme="minorHAnsi"/>
        </w:rPr>
        <w:t>well-established counter-current dialyzer design</w:t>
      </w:r>
      <w:r w:rsidR="008F64DB" w:rsidRPr="00BF4711">
        <w:rPr>
          <w:rFonts w:eastAsiaTheme="minorHAnsi"/>
        </w:rPr>
        <w:t xml:space="preserve"> and clarifies</w:t>
      </w:r>
      <w:r w:rsidR="0093003E" w:rsidRPr="00BF4711">
        <w:rPr>
          <w:rFonts w:eastAsiaTheme="minorHAnsi"/>
        </w:rPr>
        <w:t xml:space="preserve"> how flow direction shapes axial concentration gradient and</w:t>
      </w:r>
      <w:r w:rsidR="003A6D4F" w:rsidRPr="00BF4711">
        <w:rPr>
          <w:rFonts w:eastAsiaTheme="minorHAnsi"/>
        </w:rPr>
        <w:t xml:space="preserve">, in turn, the </w:t>
      </w:r>
      <w:r w:rsidR="00F708C5" w:rsidRPr="00BF4711">
        <w:rPr>
          <w:rFonts w:eastAsiaTheme="minorHAnsi"/>
        </w:rPr>
        <w:t xml:space="preserve">resulting </w:t>
      </w:r>
      <w:r w:rsidR="003A6D4F" w:rsidRPr="00BF4711">
        <w:rPr>
          <w:rFonts w:eastAsiaTheme="minorHAnsi"/>
        </w:rPr>
        <w:t>solute-removal efficiency.</w:t>
      </w:r>
    </w:p>
    <w:p w14:paraId="424161A0" w14:textId="6A69D171" w:rsidR="007E578E" w:rsidRPr="00BF4711" w:rsidRDefault="00FB1C49" w:rsidP="0026028D">
      <w:pPr>
        <w:contextualSpacing/>
        <w:rPr>
          <w:rFonts w:eastAsiaTheme="minorHAnsi"/>
        </w:rPr>
      </w:pPr>
      <w:r w:rsidRPr="00BF4711">
        <w:rPr>
          <w:rFonts w:eastAsiaTheme="minorHAnsi"/>
        </w:rPr>
        <w:br w:type="page"/>
      </w:r>
    </w:p>
    <w:p w14:paraId="039AE814" w14:textId="43DB9B39" w:rsidR="007E578E" w:rsidRPr="00BF4711" w:rsidRDefault="006F4193" w:rsidP="0026028D">
      <w:pPr>
        <w:pStyle w:val="ListParagraph"/>
        <w:numPr>
          <w:ilvl w:val="0"/>
          <w:numId w:val="1"/>
        </w:numPr>
        <w:ind w:left="360"/>
        <w:rPr>
          <w:b/>
        </w:rPr>
      </w:pPr>
      <w:r w:rsidRPr="00BF4711">
        <w:rPr>
          <w:b/>
        </w:rPr>
        <w:lastRenderedPageBreak/>
        <w:t>References</w:t>
      </w:r>
    </w:p>
    <w:p w14:paraId="68C5FA24" w14:textId="44888259" w:rsidR="007E578E" w:rsidRPr="00BF4711" w:rsidRDefault="007E578E" w:rsidP="0026028D">
      <w:pPr>
        <w:pStyle w:val="NormalWeb"/>
        <w:spacing w:before="0" w:beforeAutospacing="0" w:after="0" w:afterAutospacing="0"/>
        <w:contextualSpacing/>
        <w:jc w:val="both"/>
        <w:rPr>
          <w:rFonts w:eastAsiaTheme="minorHAnsi"/>
        </w:rPr>
      </w:pPr>
    </w:p>
    <w:p w14:paraId="7EDB035C" w14:textId="6B3E4ED8" w:rsidR="00346D06" w:rsidRPr="00BF4711" w:rsidRDefault="00346D06" w:rsidP="0026028D">
      <w:pPr>
        <w:pStyle w:val="NormalWeb"/>
        <w:spacing w:before="0" w:beforeAutospacing="0" w:after="0" w:afterAutospacing="0"/>
        <w:contextualSpacing/>
        <w:jc w:val="both"/>
        <w:rPr>
          <w:rFonts w:eastAsiaTheme="minorEastAsia"/>
        </w:rPr>
      </w:pPr>
      <w:r w:rsidRPr="00BF4711">
        <w:t xml:space="preserve">[1] </w:t>
      </w:r>
      <w:r w:rsidR="004048D3" w:rsidRPr="00BF4711">
        <w:t>Michaelas</w:t>
      </w:r>
      <w:r w:rsidR="008B15E2" w:rsidRPr="00BF4711">
        <w:t>,</w:t>
      </w:r>
      <w:r w:rsidR="004048D3" w:rsidRPr="00BF4711">
        <w:t xml:space="preserve"> </w:t>
      </w:r>
      <w:r w:rsidRPr="00BF4711">
        <w:t xml:space="preserve">A. S. (1966). Operating Parameters and Performance Criteria for Hemodialyzers and Other Membrane-separation Devices. </w:t>
      </w:r>
      <w:r w:rsidRPr="00BF4711">
        <w:rPr>
          <w:i/>
          <w:iCs/>
        </w:rPr>
        <w:t>Trans. Am. Soc. Artif. Inter. Organs</w:t>
      </w:r>
      <w:r w:rsidRPr="00BF4711">
        <w:t xml:space="preserve">, </w:t>
      </w:r>
      <w:r w:rsidRPr="00BF4711">
        <w:rPr>
          <w:i/>
          <w:iCs/>
        </w:rPr>
        <w:t>12</w:t>
      </w:r>
      <w:r w:rsidRPr="00BF4711">
        <w:t>, 387</w:t>
      </w:r>
      <w:r w:rsidR="00C41704" w:rsidRPr="00BF4711">
        <w:t>–</w:t>
      </w:r>
      <w:r w:rsidRPr="00BF4711">
        <w:t>381.</w:t>
      </w:r>
    </w:p>
    <w:p w14:paraId="331CD90F" w14:textId="77777777" w:rsidR="00346D06" w:rsidRPr="00BF4711" w:rsidRDefault="00346D06" w:rsidP="0026028D">
      <w:pPr>
        <w:contextualSpacing/>
      </w:pPr>
    </w:p>
    <w:p w14:paraId="74BFD901" w14:textId="46B4FDD6" w:rsidR="0025422C" w:rsidRPr="00BF4711" w:rsidRDefault="0025422C" w:rsidP="0026028D">
      <w:pPr>
        <w:contextualSpacing/>
      </w:pPr>
      <w:r w:rsidRPr="00BF4711">
        <w:t>[2] Loney, N</w:t>
      </w:r>
      <w:r w:rsidR="0035545B" w:rsidRPr="00BF4711">
        <w:t xml:space="preserve">. </w:t>
      </w:r>
      <w:r w:rsidRPr="00BF4711">
        <w:t xml:space="preserve">W. </w:t>
      </w:r>
      <w:r w:rsidR="00C56918" w:rsidRPr="00BF4711">
        <w:t xml:space="preserve">(2009). </w:t>
      </w:r>
      <w:r w:rsidRPr="00BF4711">
        <w:t>Analysis on a Counter-Current Flow Hemodialyzer</w:t>
      </w:r>
      <w:r w:rsidR="00BB47C7" w:rsidRPr="00BF4711">
        <w:t>,</w:t>
      </w:r>
      <w:r w:rsidRPr="00BF4711">
        <w:t xml:space="preserve"> </w:t>
      </w:r>
      <w:r w:rsidRPr="00BF4711">
        <w:rPr>
          <w:i/>
          <w:iCs/>
        </w:rPr>
        <w:t>Chemical Product and Process Modeling</w:t>
      </w:r>
      <w:r w:rsidRPr="00BF4711">
        <w:t>, vol. 4, no. 5.</w:t>
      </w:r>
    </w:p>
    <w:p w14:paraId="7EF50348" w14:textId="77777777" w:rsidR="0025422C" w:rsidRPr="00BF4711" w:rsidRDefault="0025422C" w:rsidP="0026028D">
      <w:pPr>
        <w:contextualSpacing/>
      </w:pPr>
    </w:p>
    <w:p w14:paraId="188BCE2E" w14:textId="467F2834" w:rsidR="0025422C" w:rsidRPr="00BF4711" w:rsidRDefault="0025422C" w:rsidP="0026028D">
      <w:pPr>
        <w:contextualSpacing/>
      </w:pPr>
      <w:r w:rsidRPr="00BF4711">
        <w:t>[3]</w:t>
      </w:r>
      <w:r w:rsidR="007C27BE" w:rsidRPr="00BF4711">
        <w:t xml:space="preserve"> Gotch,</w:t>
      </w:r>
      <w:r w:rsidR="00E37E77" w:rsidRPr="00BF4711">
        <w:t xml:space="preserve"> F. A., </w:t>
      </w:r>
      <w:r w:rsidR="007C27BE" w:rsidRPr="00BF4711">
        <w:t>Sargent</w:t>
      </w:r>
      <w:r w:rsidR="00E37E77" w:rsidRPr="00BF4711">
        <w:t xml:space="preserve">, </w:t>
      </w:r>
      <w:r w:rsidR="005F4D67" w:rsidRPr="00BF4711">
        <w:t>J. A.</w:t>
      </w:r>
      <w:r w:rsidR="007C27BE" w:rsidRPr="00BF4711">
        <w:t xml:space="preserve"> </w:t>
      </w:r>
      <w:r w:rsidR="005F4D67" w:rsidRPr="00BF4711">
        <w:t xml:space="preserve">(1985). </w:t>
      </w:r>
      <w:r w:rsidR="007C27BE" w:rsidRPr="00BF4711">
        <w:t>A mechanistic analysis of the National Cooperative Dialysis Study (NCDS)</w:t>
      </w:r>
      <w:r w:rsidR="00CD1440" w:rsidRPr="00BF4711">
        <w:t>.</w:t>
      </w:r>
      <w:r w:rsidR="007C27BE" w:rsidRPr="00BF4711">
        <w:t xml:space="preserve"> </w:t>
      </w:r>
      <w:r w:rsidR="007C27BE" w:rsidRPr="00BF4711">
        <w:rPr>
          <w:i/>
          <w:iCs/>
        </w:rPr>
        <w:t>Kidney International</w:t>
      </w:r>
      <w:r w:rsidR="007C27BE" w:rsidRPr="00BF4711">
        <w:t>,</w:t>
      </w:r>
      <w:r w:rsidR="006B3771" w:rsidRPr="00BF4711">
        <w:t xml:space="preserve"> </w:t>
      </w:r>
      <w:r w:rsidR="007C27BE" w:rsidRPr="00BF4711">
        <w:t>28, 3,</w:t>
      </w:r>
      <w:r w:rsidR="00CD1440" w:rsidRPr="00BF4711">
        <w:t xml:space="preserve"> </w:t>
      </w:r>
      <w:r w:rsidR="007C27BE" w:rsidRPr="00BF4711">
        <w:t>526</w:t>
      </w:r>
      <w:r w:rsidR="00C41704" w:rsidRPr="00BF4711">
        <w:t>–</w:t>
      </w:r>
      <w:r w:rsidR="007C27BE" w:rsidRPr="00BF4711">
        <w:t>534,</w:t>
      </w:r>
      <w:r w:rsidR="00CF3A61" w:rsidRPr="00BF4711">
        <w:t xml:space="preserve"> </w:t>
      </w:r>
      <w:r w:rsidR="007C27BE" w:rsidRPr="00BF4711">
        <w:t>ISSN 0085-2538</w:t>
      </w:r>
      <w:r w:rsidR="00556D2A" w:rsidRPr="00BF4711">
        <w:t>.</w:t>
      </w:r>
      <w:r w:rsidR="00D3418A" w:rsidRPr="00BF4711">
        <w:t xml:space="preserve"> </w:t>
      </w:r>
    </w:p>
    <w:p w14:paraId="41E7BBD8" w14:textId="77777777" w:rsidR="00A14DFE" w:rsidRPr="00BF4711" w:rsidRDefault="00A14DFE" w:rsidP="0026028D">
      <w:pPr>
        <w:contextualSpacing/>
      </w:pPr>
    </w:p>
    <w:p w14:paraId="46717947" w14:textId="173630EE" w:rsidR="00E926EC" w:rsidRPr="00BF4711" w:rsidRDefault="00E926EC" w:rsidP="0026028D">
      <w:pPr>
        <w:contextualSpacing/>
      </w:pPr>
      <w:r w:rsidRPr="00BF4711">
        <w:t xml:space="preserve">[4] Chang, K. Y., Kim, S.-H., Kim, Y. O., Jin, D. C., Song, H. C., Choi, E. J., Kim, Y.-L., Kim, Y.-S., Kang, S.-W., Kim, N.-H., Yang, C. W., &amp; Kim, Y. K. (2016). The impact of blood flow rate during hemodialysis on all-cause mortality. </w:t>
      </w:r>
      <w:r w:rsidRPr="00BF4711">
        <w:rPr>
          <w:i/>
          <w:iCs/>
        </w:rPr>
        <w:t>The Korean Journal of Internal Medicine</w:t>
      </w:r>
      <w:r w:rsidRPr="00BF4711">
        <w:t xml:space="preserve">, </w:t>
      </w:r>
      <w:r w:rsidRPr="00BF4711">
        <w:rPr>
          <w:i/>
          <w:iCs/>
        </w:rPr>
        <w:t>31</w:t>
      </w:r>
      <w:r w:rsidRPr="00BF4711">
        <w:t xml:space="preserve">(6), 1131–1139. </w:t>
      </w:r>
    </w:p>
    <w:p w14:paraId="0BB11E09" w14:textId="77777777" w:rsidR="00A14DFE" w:rsidRPr="00BF4711" w:rsidRDefault="00A14DFE" w:rsidP="0026028D">
      <w:pPr>
        <w:contextualSpacing/>
      </w:pPr>
    </w:p>
    <w:p w14:paraId="6EE037E7" w14:textId="3ABDF3B2" w:rsidR="00A14DFE" w:rsidRPr="00BF4711" w:rsidRDefault="00A14DFE" w:rsidP="0026028D">
      <w:pPr>
        <w:contextualSpacing/>
      </w:pPr>
      <w:r w:rsidRPr="00BF4711">
        <w:t xml:space="preserve">[5] </w:t>
      </w:r>
      <w:r w:rsidR="00667439" w:rsidRPr="00BF4711">
        <w:t>Depner T</w:t>
      </w:r>
      <w:r w:rsidR="00C64D16" w:rsidRPr="00BF4711">
        <w:t xml:space="preserve">. </w:t>
      </w:r>
      <w:r w:rsidR="00667439" w:rsidRPr="00BF4711">
        <w:t>A</w:t>
      </w:r>
      <w:r w:rsidR="00355754" w:rsidRPr="00BF4711">
        <w:t>.</w:t>
      </w:r>
      <w:r w:rsidR="00667439" w:rsidRPr="00BF4711">
        <w:t>, Greene T</w:t>
      </w:r>
      <w:r w:rsidR="00355754" w:rsidRPr="00BF4711">
        <w:t>.</w:t>
      </w:r>
      <w:r w:rsidR="00667439" w:rsidRPr="00BF4711">
        <w:t>, Daugirdas J</w:t>
      </w:r>
      <w:r w:rsidR="00355754" w:rsidRPr="00BF4711">
        <w:t xml:space="preserve">. </w:t>
      </w:r>
      <w:r w:rsidR="00667439" w:rsidRPr="00BF4711">
        <w:t>T</w:t>
      </w:r>
      <w:r w:rsidR="00355754" w:rsidRPr="00BF4711">
        <w:t>.</w:t>
      </w:r>
      <w:r w:rsidR="00667439" w:rsidRPr="00BF4711">
        <w:t>, Cheung A</w:t>
      </w:r>
      <w:r w:rsidR="00355754" w:rsidRPr="00BF4711">
        <w:t xml:space="preserve">. </w:t>
      </w:r>
      <w:r w:rsidR="00667439" w:rsidRPr="00BF4711">
        <w:t>K</w:t>
      </w:r>
      <w:r w:rsidR="00355754" w:rsidRPr="00BF4711">
        <w:t>.</w:t>
      </w:r>
      <w:r w:rsidR="00667439" w:rsidRPr="00BF4711">
        <w:t>, Gotch F</w:t>
      </w:r>
      <w:r w:rsidR="00205815" w:rsidRPr="00BF4711">
        <w:t xml:space="preserve">. </w:t>
      </w:r>
      <w:r w:rsidR="00667439" w:rsidRPr="00BF4711">
        <w:t>A</w:t>
      </w:r>
      <w:r w:rsidR="00205815" w:rsidRPr="00BF4711">
        <w:t>.</w:t>
      </w:r>
      <w:r w:rsidR="00667439" w:rsidRPr="00BF4711">
        <w:t>, Leypoldt J</w:t>
      </w:r>
      <w:r w:rsidR="00205815" w:rsidRPr="00BF4711">
        <w:t xml:space="preserve">. </w:t>
      </w:r>
      <w:r w:rsidR="00667439" w:rsidRPr="00BF4711">
        <w:t xml:space="preserve">K. </w:t>
      </w:r>
      <w:r w:rsidR="008B3D7E" w:rsidRPr="00BF4711">
        <w:t xml:space="preserve">(2004). </w:t>
      </w:r>
      <w:r w:rsidR="00667439" w:rsidRPr="00BF4711">
        <w:t>Dialyzer Performance in the HEMO Study: In Vivo K</w:t>
      </w:r>
      <w:r w:rsidR="00667439" w:rsidRPr="00BF4711">
        <w:rPr>
          <w:vertAlign w:val="subscript"/>
        </w:rPr>
        <w:t>0</w:t>
      </w:r>
      <w:r w:rsidR="00667439" w:rsidRPr="00BF4711">
        <w:t xml:space="preserve">A and True Blood Flow Determined from a Model of Cross-Dialyzer Urea Extraction. </w:t>
      </w:r>
      <w:r w:rsidR="00667439" w:rsidRPr="00BF4711">
        <w:rPr>
          <w:i/>
          <w:iCs/>
        </w:rPr>
        <w:t>ASAIO J</w:t>
      </w:r>
      <w:r w:rsidR="00571097" w:rsidRPr="00BF4711">
        <w:rPr>
          <w:i/>
          <w:iCs/>
        </w:rPr>
        <w:t>ournal</w:t>
      </w:r>
      <w:r w:rsidR="00667439" w:rsidRPr="00BF4711">
        <w:t>, 50, 1, 85</w:t>
      </w:r>
      <w:r w:rsidR="00362CB6" w:rsidRPr="00BF4711">
        <w:t>–</w:t>
      </w:r>
      <w:r w:rsidR="00667439" w:rsidRPr="00BF4711">
        <w:t>93.</w:t>
      </w:r>
    </w:p>
    <w:p w14:paraId="58FAF81A" w14:textId="77777777" w:rsidR="00E56C1F" w:rsidRPr="00BF4711" w:rsidRDefault="00E56C1F" w:rsidP="0026028D">
      <w:pPr>
        <w:contextualSpacing/>
      </w:pPr>
    </w:p>
    <w:p w14:paraId="1511545B" w14:textId="77777777" w:rsidR="009E1019" w:rsidRPr="00BF4711" w:rsidRDefault="00E56C1F" w:rsidP="0026028D">
      <w:pPr>
        <w:contextualSpacing/>
      </w:pPr>
      <w:r w:rsidRPr="00BF4711">
        <w:t xml:space="preserve">[6] </w:t>
      </w:r>
      <w:r w:rsidR="00F857AE" w:rsidRPr="00BF4711">
        <w:t xml:space="preserve">Leypoldt, </w:t>
      </w:r>
      <w:r w:rsidR="00871C68" w:rsidRPr="00BF4711">
        <w:t xml:space="preserve">J. k., </w:t>
      </w:r>
      <w:r w:rsidR="00F857AE" w:rsidRPr="00BF4711">
        <w:t>Cheung,</w:t>
      </w:r>
      <w:r w:rsidR="00871C68" w:rsidRPr="00BF4711">
        <w:t xml:space="preserve"> A. K.,</w:t>
      </w:r>
      <w:r w:rsidR="00F857AE" w:rsidRPr="00BF4711">
        <w:t xml:space="preserve"> Agodoa,</w:t>
      </w:r>
      <w:r w:rsidR="00D82859" w:rsidRPr="00BF4711">
        <w:t xml:space="preserve"> L. Y.</w:t>
      </w:r>
      <w:proofErr w:type="gramStart"/>
      <w:r w:rsidR="00D82859" w:rsidRPr="00BF4711">
        <w:t xml:space="preserve">, </w:t>
      </w:r>
      <w:r w:rsidR="00F857AE" w:rsidRPr="00BF4711">
        <w:t xml:space="preserve"> Daugirdas</w:t>
      </w:r>
      <w:proofErr w:type="gramEnd"/>
      <w:r w:rsidR="00F857AE" w:rsidRPr="00BF4711">
        <w:t xml:space="preserve">, </w:t>
      </w:r>
      <w:r w:rsidR="007D4459" w:rsidRPr="00BF4711">
        <w:t xml:space="preserve">J. T., </w:t>
      </w:r>
      <w:r w:rsidR="00F857AE" w:rsidRPr="00BF4711">
        <w:t>Greene,</w:t>
      </w:r>
      <w:r w:rsidR="00B42910" w:rsidRPr="00BF4711">
        <w:t xml:space="preserve"> T.,</w:t>
      </w:r>
      <w:r w:rsidR="00584E50" w:rsidRPr="00BF4711">
        <w:t xml:space="preserve"> </w:t>
      </w:r>
      <w:r w:rsidR="00F857AE" w:rsidRPr="00BF4711">
        <w:t>Keshav</w:t>
      </w:r>
      <w:r w:rsidR="001219E9" w:rsidRPr="00BF4711">
        <w:t>iah, P</w:t>
      </w:r>
      <w:r w:rsidR="00584E50" w:rsidRPr="00BF4711">
        <w:t>. R</w:t>
      </w:r>
      <w:r w:rsidR="00F857AE" w:rsidRPr="00BF4711">
        <w:t xml:space="preserve">. </w:t>
      </w:r>
      <w:r w:rsidR="00B07AF2" w:rsidRPr="00BF4711">
        <w:t xml:space="preserve">(1997). </w:t>
      </w:r>
      <w:r w:rsidR="00F857AE" w:rsidRPr="00BF4711">
        <w:t xml:space="preserve">Hemodialyzer mass transfer-area coefficients for urea increase at high dialysate flow rates. </w:t>
      </w:r>
      <w:r w:rsidR="00F857AE" w:rsidRPr="00BF4711">
        <w:rPr>
          <w:i/>
          <w:iCs/>
        </w:rPr>
        <w:t>Kidney</w:t>
      </w:r>
      <w:r w:rsidR="007E6E2F" w:rsidRPr="00BF4711">
        <w:rPr>
          <w:i/>
          <w:iCs/>
        </w:rPr>
        <w:t xml:space="preserve"> </w:t>
      </w:r>
      <w:r w:rsidR="00F857AE" w:rsidRPr="00BF4711">
        <w:rPr>
          <w:i/>
          <w:iCs/>
        </w:rPr>
        <w:t>International</w:t>
      </w:r>
      <w:r w:rsidR="00F857AE" w:rsidRPr="00BF4711">
        <w:t>, 51,</w:t>
      </w:r>
      <w:r w:rsidR="007E6E2F" w:rsidRPr="00BF4711">
        <w:t xml:space="preserve"> </w:t>
      </w:r>
      <w:r w:rsidR="00F857AE" w:rsidRPr="00BF4711">
        <w:t>2013</w:t>
      </w:r>
      <w:r w:rsidR="007E6E2F" w:rsidRPr="00BF4711">
        <w:t>–</w:t>
      </w:r>
      <w:r w:rsidR="00F857AE" w:rsidRPr="00BF4711">
        <w:t>2017</w:t>
      </w:r>
      <w:r w:rsidR="00C7325B" w:rsidRPr="00BF4711">
        <w:t>.</w:t>
      </w:r>
    </w:p>
    <w:p w14:paraId="61E3FF99" w14:textId="77777777" w:rsidR="009E1019" w:rsidRPr="00BF4711" w:rsidRDefault="009E1019" w:rsidP="0026028D">
      <w:pPr>
        <w:contextualSpacing/>
      </w:pPr>
    </w:p>
    <w:p w14:paraId="08A25D7E" w14:textId="344FE494" w:rsidR="00DE1731" w:rsidRPr="00BF4711" w:rsidRDefault="00865370" w:rsidP="0026028D">
      <w:pPr>
        <w:contextualSpacing/>
      </w:pPr>
      <w:r w:rsidRPr="00BF4711">
        <w:t>[7] Sargent, J.A., Gotch, F.A. (19</w:t>
      </w:r>
      <w:r w:rsidR="004B279D" w:rsidRPr="00BF4711">
        <w:t>83</w:t>
      </w:r>
      <w:r w:rsidRPr="00BF4711">
        <w:t xml:space="preserve">). Principles and Biophysics of Dialysis. In: Drukker, W., Parsons, F.M., Maher, J.F. (eds) </w:t>
      </w:r>
      <w:r w:rsidRPr="00BF4711">
        <w:rPr>
          <w:i/>
          <w:iCs/>
        </w:rPr>
        <w:t>Replacement of Renal Function by Dialysis</w:t>
      </w:r>
      <w:r w:rsidRPr="00BF4711">
        <w:t>. Springer, Dordrecht.</w:t>
      </w:r>
    </w:p>
    <w:p w14:paraId="1D8505DD" w14:textId="77777777" w:rsidR="00532C64" w:rsidRPr="00BF4711" w:rsidRDefault="00532C64" w:rsidP="0026028D">
      <w:pPr>
        <w:contextualSpacing/>
      </w:pPr>
    </w:p>
    <w:p w14:paraId="1CB05E64" w14:textId="77777777" w:rsidR="00552EC2" w:rsidRPr="00BF4711" w:rsidRDefault="00935F6C" w:rsidP="0026028D">
      <w:pPr>
        <w:contextualSpacing/>
      </w:pPr>
      <w:r w:rsidRPr="00BF4711">
        <w:t>[</w:t>
      </w:r>
      <w:r w:rsidR="00110980" w:rsidRPr="00BF4711">
        <w:t>8</w:t>
      </w:r>
      <w:r w:rsidRPr="00BF4711">
        <w:t xml:space="preserve">] </w:t>
      </w:r>
      <w:r w:rsidR="00110980" w:rsidRPr="00BF4711">
        <w:t xml:space="preserve">Eloot, S. </w:t>
      </w:r>
      <w:r w:rsidR="006B2746" w:rsidRPr="00BF4711">
        <w:t>(2005). Experimental and Numerical Modeling of Dialysis</w:t>
      </w:r>
      <w:r w:rsidR="00AF38AF" w:rsidRPr="00BF4711">
        <w:t xml:space="preserve">. </w:t>
      </w:r>
      <w:r w:rsidR="00AF38AF" w:rsidRPr="009C3F56">
        <w:rPr>
          <w:i/>
          <w:iCs/>
        </w:rPr>
        <w:t>PhD Thesis</w:t>
      </w:r>
      <w:r w:rsidR="00552EC2" w:rsidRPr="00BF4711">
        <w:t>. Ghent University</w:t>
      </w:r>
    </w:p>
    <w:p w14:paraId="6816008F" w14:textId="5BF2616E" w:rsidR="00532C64" w:rsidRPr="00BF4711" w:rsidRDefault="00552EC2" w:rsidP="0026028D">
      <w:pPr>
        <w:contextualSpacing/>
      </w:pPr>
      <w:r w:rsidRPr="00BF4711">
        <w:t>Faculty of Engineering, Civil Engineering Department</w:t>
      </w:r>
      <w:r w:rsidR="007F4395" w:rsidRPr="00BF4711">
        <w:t xml:space="preserve">, </w:t>
      </w:r>
      <w:r w:rsidRPr="00BF4711">
        <w:t>Hydraulics Laboratory</w:t>
      </w:r>
      <w:r w:rsidR="007F4395" w:rsidRPr="00BF4711">
        <w:t>.</w:t>
      </w:r>
    </w:p>
    <w:p w14:paraId="56316971" w14:textId="77777777" w:rsidR="00935F6C" w:rsidRDefault="00935F6C" w:rsidP="0026028D">
      <w:pPr>
        <w:contextualSpacing/>
      </w:pPr>
    </w:p>
    <w:p w14:paraId="4F9D2D07" w14:textId="77777777" w:rsidR="00036F1B" w:rsidRPr="00BF4711" w:rsidRDefault="00036F1B" w:rsidP="0026028D">
      <w:pPr>
        <w:contextualSpacing/>
      </w:pPr>
    </w:p>
    <w:p w14:paraId="2F204C96" w14:textId="04BEEA93" w:rsidR="00532C64" w:rsidRPr="00BF4711" w:rsidRDefault="00532C64" w:rsidP="0026028D">
      <w:pPr>
        <w:pStyle w:val="ListParagraph"/>
        <w:numPr>
          <w:ilvl w:val="0"/>
          <w:numId w:val="1"/>
        </w:numPr>
        <w:ind w:left="360"/>
        <w:rPr>
          <w:b/>
        </w:rPr>
      </w:pPr>
      <w:r w:rsidRPr="00BF4711">
        <w:rPr>
          <w:b/>
        </w:rPr>
        <w:t>Appendices</w:t>
      </w:r>
    </w:p>
    <w:p w14:paraId="44CA511E" w14:textId="77777777" w:rsidR="004E4D3F" w:rsidRPr="00BF4711" w:rsidRDefault="004E4D3F" w:rsidP="0026028D">
      <w:pPr>
        <w:contextualSpacing/>
      </w:pPr>
    </w:p>
    <w:p w14:paraId="4E28408C" w14:textId="662F6F36" w:rsidR="00346D06" w:rsidRPr="00BF4711" w:rsidRDefault="007E0E5B" w:rsidP="0026028D">
      <w:pPr>
        <w:contextualSpacing/>
      </w:pPr>
      <w:r w:rsidRPr="00BF4711">
        <w:rPr>
          <w:b/>
        </w:rPr>
        <w:t>Ap</w:t>
      </w:r>
      <w:r w:rsidR="00545F74" w:rsidRPr="00BF4711">
        <w:rPr>
          <w:b/>
        </w:rPr>
        <w:t>pendix A</w:t>
      </w:r>
      <w:r w:rsidR="002F1BB3" w:rsidRPr="00BF4711">
        <w:rPr>
          <w:b/>
        </w:rPr>
        <w:t>:</w:t>
      </w:r>
      <w:r w:rsidR="00545F74" w:rsidRPr="00BF4711">
        <w:rPr>
          <w:b/>
        </w:rPr>
        <w:t xml:space="preserve"> Derivation of the initial condition of counter-current configuration</w:t>
      </w:r>
    </w:p>
    <w:p w14:paraId="7941167E" w14:textId="77777777" w:rsidR="00545F74" w:rsidRPr="00BF4711" w:rsidRDefault="00545F74" w:rsidP="0026028D">
      <w:pPr>
        <w:contextualSpacing/>
      </w:pPr>
    </w:p>
    <w:p w14:paraId="5108E598" w14:textId="536B6FC6" w:rsidR="00545F74" w:rsidRPr="00BF4711" w:rsidRDefault="00545F74" w:rsidP="0026028D">
      <w:pPr>
        <w:contextualSpacing/>
      </w:pPr>
      <w:r w:rsidRPr="00BF4711">
        <w:t>Start with equation</w:t>
      </w:r>
      <w:r w:rsidR="00915F5E" w:rsidRPr="00BF4711">
        <w:t>s</w:t>
      </w:r>
      <w:r w:rsidRPr="00BF4711">
        <w:t xml:space="preserve"> (4)</w:t>
      </w:r>
      <w:r w:rsidR="00DF3CA1" w:rsidRPr="00BF4711">
        <w:t xml:space="preserve">, </w:t>
      </w:r>
      <w:r w:rsidRPr="00BF4711">
        <w:t>(6)</w:t>
      </w:r>
    </w:p>
    <w:p w14:paraId="5D5CE1F1" w14:textId="77777777" w:rsidR="00545F74" w:rsidRPr="00BF4711" w:rsidRDefault="003067FC" w:rsidP="0026028D">
      <w:pPr>
        <w:contextualSpacing/>
      </w:pPr>
      <m:oMathPara>
        <m:oMath>
          <m:f>
            <m:fPr>
              <m:ctrlPr>
                <w:rPr>
                  <w:rFonts w:ascii="Cambria Math" w:hAnsi="Cambria Math"/>
                  <w:i/>
                </w:rPr>
              </m:ctrlPr>
            </m:fPr>
            <m:num>
              <m:sSub>
                <m:sSubPr>
                  <m:ctrlPr>
                    <w:rPr>
                      <w:rFonts w:ascii="Cambria Math" w:hAnsi="Cambria Math"/>
                      <w:i/>
                    </w:rPr>
                  </m:ctrlPr>
                </m:sSubPr>
                <m:e>
                  <m:r>
                    <w:rPr>
                      <w:rFonts w:ascii="Cambria Math" w:hAnsi="Cambria Math"/>
                    </w:rPr>
                    <m:t>dC</m:t>
                  </m:r>
                </m:e>
                <m:sub>
                  <m:r>
                    <w:rPr>
                      <w:rFonts w:ascii="Cambria Math" w:hAnsi="Cambria Math"/>
                    </w:rPr>
                    <m:t>d</m:t>
                  </m:r>
                </m:sub>
              </m:sSub>
            </m:num>
            <m:den>
              <m:r>
                <w:rPr>
                  <w:rFonts w:ascii="Cambria Math" w:hAnsi="Cambria Math"/>
                </w:rPr>
                <m:t>dx</m:t>
              </m:r>
            </m:den>
          </m:f>
          <m:r>
            <w:rPr>
              <w:rFonts w:ascii="Cambria Math" w:hAnsi="Cambria Math"/>
            </w:rPr>
            <m:t xml:space="preserve">=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m:t>
              </m:r>
              <m:r>
                <w:rPr>
                  <w:rFonts w:ascii="Cambria Math" w:hAnsi="Cambria Math"/>
                </w:rPr>
                <m:t>a</m:t>
              </m:r>
              <m:d>
                <m:dPr>
                  <m:ctrlPr>
                    <w:rPr>
                      <w:rFonts w:ascii="Cambria Math" w:hAnsi="Cambria Math"/>
                      <w:i/>
                    </w:rPr>
                  </m:ctrlPr>
                </m:dPr>
                <m:e>
                  <m:sSub>
                    <m:sSubPr>
                      <m:ctrlPr>
                        <w:rPr>
                          <w:rFonts w:ascii="Cambria Math" w:eastAsiaTheme="minorHAnsi" w:hAnsi="Cambria Math"/>
                          <w:i/>
                        </w:rPr>
                      </m:ctrlPr>
                    </m:sSubPr>
                    <m:e>
                      <m:r>
                        <w:rPr>
                          <w:rFonts w:ascii="Cambria Math" w:hAnsi="Cambria Math"/>
                        </w:rPr>
                        <m:t>C</m:t>
                      </m:r>
                    </m:e>
                    <m:sub>
                      <m:r>
                        <w:rPr>
                          <w:rFonts w:ascii="Cambria Math" w:hAnsi="Cambria Math"/>
                        </w:rPr>
                        <m:t>b</m:t>
                      </m:r>
                    </m:sub>
                  </m:sSub>
                  <m:r>
                    <w:rPr>
                      <w:rFonts w:ascii="Cambria Math" w:hAnsi="Cambria Math"/>
                    </w:rPr>
                    <m:t xml:space="preserve"> - </m:t>
                  </m:r>
                  <m:sSub>
                    <m:sSubPr>
                      <m:ctrlPr>
                        <w:rPr>
                          <w:rFonts w:ascii="Cambria Math" w:eastAsiaTheme="minorHAnsi" w:hAnsi="Cambria Math"/>
                          <w:i/>
                        </w:rPr>
                      </m:ctrlPr>
                    </m:sSubPr>
                    <m:e>
                      <m:r>
                        <w:rPr>
                          <w:rFonts w:ascii="Cambria Math" w:hAnsi="Cambria Math"/>
                        </w:rPr>
                        <m:t>C</m:t>
                      </m:r>
                    </m:e>
                    <m:sub>
                      <m:r>
                        <w:rPr>
                          <w:rFonts w:ascii="Cambria Math" w:hAnsi="Cambria Math"/>
                        </w:rPr>
                        <m:t>d</m:t>
                      </m:r>
                    </m:sub>
                  </m:sSub>
                </m:e>
              </m:d>
            </m:num>
            <m:den>
              <m:sSub>
                <m:sSubPr>
                  <m:ctrlPr>
                    <w:rPr>
                      <w:rFonts w:ascii="Cambria Math" w:hAnsi="Cambria Math"/>
                      <w:i/>
                    </w:rPr>
                  </m:ctrlPr>
                </m:sSubPr>
                <m:e>
                  <m:r>
                    <w:rPr>
                      <w:rFonts w:ascii="Cambria Math" w:hAnsi="Cambria Math"/>
                    </w:rPr>
                    <m:t>Q</m:t>
                  </m:r>
                </m:e>
                <m:sub>
                  <m:r>
                    <w:rPr>
                      <w:rFonts w:ascii="Cambria Math" w:hAnsi="Cambria Math"/>
                    </w:rPr>
                    <m:t>d</m:t>
                  </m:r>
                </m:sub>
              </m:sSub>
            </m:den>
          </m:f>
        </m:oMath>
      </m:oMathPara>
    </w:p>
    <w:p w14:paraId="5F6675D1" w14:textId="36EC1468" w:rsidR="00545F74" w:rsidRPr="00BF4711" w:rsidRDefault="00545F74" w:rsidP="0026028D">
      <w:pPr>
        <w:contextualSpacing/>
      </w:pPr>
    </w:p>
    <w:p w14:paraId="78C2C124" w14:textId="77777777" w:rsidR="00545F74" w:rsidRPr="00BF4711" w:rsidRDefault="00545F74" w:rsidP="0026028D">
      <w:pPr>
        <w:contextualSpacing/>
      </w:pPr>
      <w:r w:rsidRPr="00BF4711">
        <w:tab/>
      </w:r>
      <w:r w:rsidRPr="00BF4711">
        <w:tab/>
      </w:r>
      <w:r w:rsidRPr="00BF4711">
        <w:tab/>
      </w:r>
      <w:r w:rsidRPr="00BF4711">
        <w:tab/>
      </w:r>
      <w:r w:rsidRPr="00BF4711">
        <w:tab/>
      </w:r>
      <m:oMath>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 ∆(0)</m:t>
        </m:r>
        <m:sSup>
          <m:sSupPr>
            <m:ctrlPr>
              <w:rPr>
                <w:rFonts w:ascii="Cambria Math" w:hAnsi="Cambria Math"/>
                <w:i/>
              </w:rPr>
            </m:ctrlPr>
          </m:sSupPr>
          <m:e>
            <m:r>
              <w:rPr>
                <w:rFonts w:ascii="Cambria Math" w:hAnsi="Cambria Math"/>
              </w:rPr>
              <m:t>e</m:t>
            </m:r>
          </m:e>
          <m:sup>
            <m:r>
              <w:rPr>
                <w:rFonts w:ascii="Cambria Math" w:hAnsi="Cambria Math"/>
              </w:rPr>
              <m:t>-γx</m:t>
            </m:r>
          </m:sup>
        </m:sSup>
      </m:oMath>
    </w:p>
    <w:p w14:paraId="47407502" w14:textId="77777777" w:rsidR="00545F74" w:rsidRPr="00BF4711" w:rsidRDefault="00545F74" w:rsidP="0026028D">
      <w:pPr>
        <w:contextualSpacing/>
      </w:pPr>
    </w:p>
    <w:p w14:paraId="0ED5AB9D" w14:textId="77777777" w:rsidR="00545F74" w:rsidRPr="00BF4711" w:rsidRDefault="00545F74" w:rsidP="0026028D">
      <w:pPr>
        <w:contextualSpacing/>
      </w:pPr>
      <w:r w:rsidRPr="00BF4711">
        <w:t xml:space="preserve">Substituting </w:t>
      </w:r>
      <m:oMath>
        <m:r>
          <w:rPr>
            <w:rFonts w:ascii="Cambria Math" w:hAnsi="Cambria Math"/>
          </w:rPr>
          <m:t>∆</m:t>
        </m:r>
        <m:d>
          <m:dPr>
            <m:ctrlPr>
              <w:rPr>
                <w:rFonts w:ascii="Cambria Math" w:hAnsi="Cambria Math"/>
                <w:i/>
              </w:rPr>
            </m:ctrlPr>
          </m:dPr>
          <m:e>
            <m:r>
              <w:rPr>
                <w:rFonts w:ascii="Cambria Math" w:hAnsi="Cambria Math"/>
              </w:rPr>
              <m:t>x</m:t>
            </m:r>
          </m:e>
        </m:d>
      </m:oMath>
      <w:r w:rsidRPr="00BF4711">
        <w:t xml:space="preserve">,  for </w:t>
      </w:r>
      <m:oMath>
        <m:sSub>
          <m:sSubPr>
            <m:ctrlPr>
              <w:rPr>
                <w:rFonts w:ascii="Cambria Math" w:eastAsiaTheme="minorHAnsi" w:hAnsi="Cambria Math"/>
                <w:i/>
              </w:rPr>
            </m:ctrlPr>
          </m:sSubPr>
          <m:e>
            <m:r>
              <w:rPr>
                <w:rFonts w:ascii="Cambria Math" w:hAnsi="Cambria Math"/>
              </w:rPr>
              <m:t>C</m:t>
            </m:r>
          </m:e>
          <m:sub>
            <m:r>
              <w:rPr>
                <w:rFonts w:ascii="Cambria Math" w:hAnsi="Cambria Math"/>
              </w:rPr>
              <m:t>b</m:t>
            </m:r>
          </m:sub>
        </m:sSub>
        <m:r>
          <w:rPr>
            <w:rFonts w:ascii="Cambria Math" w:hAnsi="Cambria Math"/>
          </w:rPr>
          <m:t xml:space="preserve"> - </m:t>
        </m:r>
        <m:sSub>
          <m:sSubPr>
            <m:ctrlPr>
              <w:rPr>
                <w:rFonts w:ascii="Cambria Math" w:eastAsiaTheme="minorHAnsi" w:hAnsi="Cambria Math"/>
                <w:i/>
              </w:rPr>
            </m:ctrlPr>
          </m:sSubPr>
          <m:e>
            <m:r>
              <w:rPr>
                <w:rFonts w:ascii="Cambria Math" w:hAnsi="Cambria Math"/>
              </w:rPr>
              <m:t>C</m:t>
            </m:r>
          </m:e>
          <m:sub>
            <m:r>
              <w:rPr>
                <w:rFonts w:ascii="Cambria Math" w:hAnsi="Cambria Math"/>
              </w:rPr>
              <m:t>d</m:t>
            </m:r>
          </m:sub>
        </m:sSub>
      </m:oMath>
      <w:r w:rsidRPr="00BF4711">
        <w:t>, we have a separable differential equation.</w:t>
      </w:r>
    </w:p>
    <w:p w14:paraId="631B402E" w14:textId="6F3D0CC2" w:rsidR="00545F74" w:rsidRPr="00BF4711" w:rsidRDefault="00545F74" w:rsidP="0026028D">
      <w:pPr>
        <w:contextualSpacing/>
      </w:pPr>
    </w:p>
    <w:p w14:paraId="277A0EA9" w14:textId="470FC581" w:rsidR="00545F74" w:rsidRPr="00BF4711" w:rsidRDefault="003067FC" w:rsidP="0026028D">
      <w:pPr>
        <w:contextualSpacing/>
        <w:jc w:val="center"/>
      </w:pPr>
      <m:oMath>
        <m:f>
          <m:fPr>
            <m:ctrlPr>
              <w:rPr>
                <w:rFonts w:ascii="Cambria Math" w:hAnsi="Cambria Math"/>
                <w:i/>
              </w:rPr>
            </m:ctrlPr>
          </m:fPr>
          <m:num>
            <m:sSub>
              <m:sSubPr>
                <m:ctrlPr>
                  <w:rPr>
                    <w:rFonts w:ascii="Cambria Math" w:hAnsi="Cambria Math"/>
                    <w:i/>
                  </w:rPr>
                </m:ctrlPr>
              </m:sSubPr>
              <m:e>
                <m:r>
                  <w:rPr>
                    <w:rFonts w:ascii="Cambria Math" w:hAnsi="Cambria Math"/>
                  </w:rPr>
                  <m:t>dC</m:t>
                </m:r>
              </m:e>
              <m:sub>
                <m:r>
                  <w:rPr>
                    <w:rFonts w:ascii="Cambria Math" w:hAnsi="Cambria Math"/>
                  </w:rPr>
                  <m:t>d</m:t>
                </m:r>
              </m:sub>
            </m:sSub>
          </m:num>
          <m:den>
            <m:r>
              <w:rPr>
                <w:rFonts w:ascii="Cambria Math" w:hAnsi="Cambria Math"/>
              </w:rPr>
              <m:t>dx</m:t>
            </m:r>
          </m:den>
        </m:f>
        <m:r>
          <w:rPr>
            <w:rFonts w:ascii="Cambria Math" w:hAnsi="Cambria Math"/>
          </w:rPr>
          <m:t xml:space="preserve">=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m:t>
            </m:r>
            <m:r>
              <w:rPr>
                <w:rFonts w:ascii="Cambria Math" w:hAnsi="Cambria Math"/>
              </w:rPr>
              <m:t>aσ</m:t>
            </m:r>
            <m:r>
              <w:rPr>
                <w:rFonts w:ascii="Cambria Math" w:hAnsi="Cambria Math"/>
              </w:rPr>
              <m:t>∆(0)</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γx</m:t>
                </m:r>
              </m:sup>
            </m:sSup>
          </m:num>
          <m:den>
            <m:sSub>
              <m:sSubPr>
                <m:ctrlPr>
                  <w:rPr>
                    <w:rFonts w:ascii="Cambria Math" w:hAnsi="Cambria Math"/>
                    <w:i/>
                  </w:rPr>
                </m:ctrlPr>
              </m:sSubPr>
              <m:e>
                <m:r>
                  <w:rPr>
                    <w:rFonts w:ascii="Cambria Math" w:hAnsi="Cambria Math"/>
                  </w:rPr>
                  <m:t>Q</m:t>
                </m:r>
              </m:e>
              <m:sub>
                <m:r>
                  <w:rPr>
                    <w:rFonts w:ascii="Cambria Math" w:hAnsi="Cambria Math"/>
                  </w:rPr>
                  <m:t>d</m:t>
                </m:r>
              </m:sub>
            </m:sSub>
          </m:den>
        </m:f>
      </m:oMath>
      <w:r w:rsidR="0024051E" w:rsidRPr="00BF4711">
        <w:t xml:space="preserve">                                                                           (1</w:t>
      </w:r>
      <w:r w:rsidR="00F5527B" w:rsidRPr="00BF4711">
        <w:t>3</w:t>
      </w:r>
      <w:r w:rsidR="0024051E" w:rsidRPr="00BF4711">
        <w:t>)</w:t>
      </w:r>
    </w:p>
    <w:p w14:paraId="0E9F2D09" w14:textId="77777777" w:rsidR="00545F74" w:rsidRPr="00BF4711" w:rsidRDefault="00545F74" w:rsidP="0026028D">
      <w:pPr>
        <w:contextualSpacing/>
      </w:pPr>
    </w:p>
    <w:p w14:paraId="189AF26A" w14:textId="77777777" w:rsidR="00545F74" w:rsidRPr="00BF4711" w:rsidRDefault="00545F74" w:rsidP="0026028D">
      <w:pPr>
        <w:contextualSpacing/>
      </w:pPr>
      <w:r w:rsidRPr="00BF4711">
        <w:t>Rearranging the like terms and integrating both sides,</w:t>
      </w:r>
    </w:p>
    <w:p w14:paraId="0B527F9D" w14:textId="77777777" w:rsidR="00545F74" w:rsidRPr="00BF4711" w:rsidRDefault="00545F74" w:rsidP="0026028D">
      <w:pPr>
        <w:contextualSpacing/>
      </w:pPr>
    </w:p>
    <w:p w14:paraId="76F658DD" w14:textId="24F94EFE" w:rsidR="00545F74" w:rsidRPr="00BF4711" w:rsidRDefault="00545F74" w:rsidP="0026028D">
      <w:pPr>
        <w:contextualSpacing/>
      </w:pPr>
      <w:r w:rsidRPr="00BF4711">
        <w:lastRenderedPageBreak/>
        <w:tab/>
      </w:r>
      <w:r w:rsidRPr="00BF4711">
        <w:tab/>
      </w:r>
      <w:r w:rsidRPr="00BF4711">
        <w:tab/>
      </w:r>
      <w:r w:rsidRPr="00BF4711">
        <w:tab/>
      </w:r>
      <m:oMath>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c</m:t>
                </m:r>
              </m:e>
              <m:sub>
                <m:r>
                  <w:rPr>
                    <w:rFonts w:ascii="Cambria Math" w:hAnsi="Cambria Math"/>
                  </w:rPr>
                  <m:t>d0</m:t>
                </m:r>
              </m:sub>
            </m:sSub>
          </m:sub>
          <m:sup>
            <m:sSub>
              <m:sSubPr>
                <m:ctrlPr>
                  <w:rPr>
                    <w:rFonts w:ascii="Cambria Math" w:hAnsi="Cambria Math"/>
                    <w:i/>
                  </w:rPr>
                </m:ctrlPr>
              </m:sSubPr>
              <m:e>
                <m:r>
                  <w:rPr>
                    <w:rFonts w:ascii="Cambria Math" w:hAnsi="Cambria Math"/>
                  </w:rPr>
                  <m:t>c</m:t>
                </m:r>
              </m:e>
              <m:sub>
                <m:r>
                  <w:rPr>
                    <w:rFonts w:ascii="Cambria Math" w:hAnsi="Cambria Math"/>
                  </w:rPr>
                  <m:t>di</m:t>
                </m:r>
              </m:sub>
            </m:sSub>
          </m:sup>
          <m:e>
            <m:sSub>
              <m:sSubPr>
                <m:ctrlPr>
                  <w:rPr>
                    <w:rFonts w:ascii="Cambria Math" w:hAnsi="Cambria Math"/>
                    <w:i/>
                  </w:rPr>
                </m:ctrlPr>
              </m:sSubPr>
              <m:e>
                <m:r>
                  <w:rPr>
                    <w:rFonts w:ascii="Cambria Math" w:hAnsi="Cambria Math"/>
                  </w:rPr>
                  <m:t>dc</m:t>
                </m:r>
              </m:e>
              <m:sub>
                <m:r>
                  <w:rPr>
                    <w:rFonts w:ascii="Cambria Math" w:hAnsi="Cambria Math"/>
                  </w:rPr>
                  <m:t>d</m:t>
                </m:r>
              </m:sub>
            </m:sSub>
          </m:e>
        </m:nary>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l</m:t>
            </m:r>
          </m:sup>
          <m:e>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aσ∆(0)</m:t>
                </m:r>
                <m:sSup>
                  <m:sSupPr>
                    <m:ctrlPr>
                      <w:rPr>
                        <w:rFonts w:ascii="Cambria Math" w:hAnsi="Cambria Math"/>
                        <w:i/>
                      </w:rPr>
                    </m:ctrlPr>
                  </m:sSupPr>
                  <m:e>
                    <m:r>
                      <w:rPr>
                        <w:rFonts w:ascii="Cambria Math" w:hAnsi="Cambria Math"/>
                      </w:rPr>
                      <m:t>e</m:t>
                    </m:r>
                  </m:e>
                  <m:sup>
                    <m:r>
                      <w:rPr>
                        <w:rFonts w:ascii="Cambria Math" w:hAnsi="Cambria Math"/>
                      </w:rPr>
                      <m:t>-γx</m:t>
                    </m:r>
                  </m:sup>
                </m:sSup>
              </m:num>
              <m:den>
                <m:sSub>
                  <m:sSubPr>
                    <m:ctrlPr>
                      <w:rPr>
                        <w:rFonts w:ascii="Cambria Math" w:hAnsi="Cambria Math"/>
                        <w:i/>
                      </w:rPr>
                    </m:ctrlPr>
                  </m:sSubPr>
                  <m:e>
                    <m:r>
                      <w:rPr>
                        <w:rFonts w:ascii="Cambria Math" w:hAnsi="Cambria Math"/>
                      </w:rPr>
                      <m:t>Q</m:t>
                    </m:r>
                  </m:e>
                  <m:sub>
                    <m:r>
                      <w:rPr>
                        <w:rFonts w:ascii="Cambria Math" w:hAnsi="Cambria Math"/>
                      </w:rPr>
                      <m:t>d</m:t>
                    </m:r>
                  </m:sub>
                </m:sSub>
              </m:den>
            </m:f>
          </m:e>
        </m:nary>
        <m:r>
          <w:rPr>
            <w:rFonts w:ascii="Cambria Math" w:hAnsi="Cambria Math"/>
          </w:rPr>
          <m:t>dx</m:t>
        </m:r>
      </m:oMath>
    </w:p>
    <w:p w14:paraId="5D236896" w14:textId="00421424" w:rsidR="00DF3CA1" w:rsidRPr="00BF4711" w:rsidRDefault="00DF3CA1" w:rsidP="0026028D">
      <w:pPr>
        <w:contextualSpacing/>
      </w:pPr>
    </w:p>
    <w:p w14:paraId="32702D7E" w14:textId="0B58225F" w:rsidR="00DF3CA1" w:rsidRPr="00BF4711" w:rsidRDefault="003067FC" w:rsidP="0026028D">
      <w:pPr>
        <w:contextualSpacing/>
        <w:jc w:val="center"/>
      </w:pPr>
      <m:oMath>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do</m:t>
            </m:r>
          </m:sub>
        </m:sSub>
        <m:r>
          <w:rPr>
            <w:rFonts w:ascii="Cambria Math" w:hAnsi="Cambria Math"/>
          </w:rPr>
          <m:t xml:space="preserve">=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m:t>
            </m:r>
            <m:r>
              <w:rPr>
                <w:rFonts w:ascii="Cambria Math" w:hAnsi="Cambria Math"/>
              </w:rPr>
              <m:t>aσ</m:t>
            </m:r>
            <m:r>
              <w:rPr>
                <w:rFonts w:ascii="Cambria Math" w:hAnsi="Cambria Math"/>
              </w:rPr>
              <m:t>∆(0)</m:t>
            </m:r>
          </m:num>
          <m:den>
            <m:sSub>
              <m:sSubPr>
                <m:ctrlPr>
                  <w:rPr>
                    <w:rFonts w:ascii="Cambria Math" w:hAnsi="Cambria Math"/>
                    <w:i/>
                  </w:rPr>
                </m:ctrlPr>
              </m:sSubPr>
              <m:e>
                <m:r>
                  <w:rPr>
                    <w:rFonts w:ascii="Cambria Math" w:hAnsi="Cambria Math"/>
                  </w:rPr>
                  <m:t>Q</m:t>
                </m:r>
              </m:e>
              <m:sub>
                <m:r>
                  <w:rPr>
                    <w:rFonts w:ascii="Cambria Math" w:hAnsi="Cambria Math"/>
                  </w:rPr>
                  <m:t>d</m:t>
                </m:r>
              </m:sub>
            </m:sSub>
          </m:den>
        </m:f>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γl</m:t>
                </m:r>
              </m:sup>
            </m:sSup>
            <m:r>
              <w:rPr>
                <w:rFonts w:ascii="Cambria Math" w:hAnsi="Cambria Math"/>
              </w:rPr>
              <m:t>)</m:t>
            </m:r>
          </m:num>
          <m:den>
            <m:r>
              <w:rPr>
                <w:rFonts w:ascii="Cambria Math" w:hAnsi="Cambria Math"/>
              </w:rPr>
              <m:t>γ</m:t>
            </m:r>
          </m:den>
        </m:f>
      </m:oMath>
      <w:r w:rsidR="0024051E" w:rsidRPr="00BF4711">
        <w:t xml:space="preserve">                                                       (1</w:t>
      </w:r>
      <w:r w:rsidR="00F5527B" w:rsidRPr="00BF4711">
        <w:t>4</w:t>
      </w:r>
      <w:r w:rsidR="0024051E" w:rsidRPr="00BF4711">
        <w:t>)</w:t>
      </w:r>
    </w:p>
    <w:p w14:paraId="6107AA07" w14:textId="77777777" w:rsidR="00DF3CA1" w:rsidRPr="00BF4711" w:rsidRDefault="00DF3CA1" w:rsidP="0026028D">
      <w:pPr>
        <w:contextualSpacing/>
      </w:pPr>
    </w:p>
    <w:p w14:paraId="7E12B6C4" w14:textId="52F8DCBE" w:rsidR="00DF3CA1" w:rsidRPr="00BF4711" w:rsidRDefault="00DF3CA1" w:rsidP="0026028D">
      <w:pPr>
        <w:contextualSpacing/>
      </w:pPr>
      <w:r w:rsidRPr="00BF4711">
        <w:t xml:space="preserve">The initial condition </w:t>
      </w:r>
      <m:oMath>
        <m:r>
          <w:rPr>
            <w:rFonts w:ascii="Cambria Math" w:hAnsi="Cambria Math"/>
          </w:rPr>
          <m:t>∆(0)</m:t>
        </m:r>
      </m:oMath>
      <w:r w:rsidRPr="00BF4711">
        <w:t xml:space="preserve"> is defined as </w:t>
      </w:r>
    </w:p>
    <w:p w14:paraId="2EFA7072" w14:textId="77777777" w:rsidR="00DF3CA1" w:rsidRPr="00BF4711" w:rsidRDefault="00DF3CA1" w:rsidP="0026028D">
      <w:pPr>
        <w:contextualSpacing/>
      </w:pPr>
      <m:oMathPara>
        <m:oMath>
          <m:r>
            <w:rPr>
              <w:rFonts w:ascii="Cambria Math" w:hAnsi="Cambria Math"/>
            </w:rPr>
            <m:t>∆</m:t>
          </m:r>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do</m:t>
              </m:r>
            </m:sub>
          </m:sSub>
        </m:oMath>
      </m:oMathPara>
    </w:p>
    <w:p w14:paraId="0FE54FFB" w14:textId="77777777" w:rsidR="0024051E" w:rsidRPr="00BF4711" w:rsidRDefault="0024051E" w:rsidP="0026028D">
      <w:pPr>
        <w:contextualSpacing/>
      </w:pPr>
    </w:p>
    <w:p w14:paraId="6B39F81E" w14:textId="77777777" w:rsidR="00DF3CA1" w:rsidRPr="00BF4711" w:rsidRDefault="003067FC" w:rsidP="0026028D">
      <w:pPr>
        <w:contextualSpacing/>
      </w:pPr>
      <m:oMathPara>
        <m:oMath>
          <m:sSub>
            <m:sSubPr>
              <m:ctrlPr>
                <w:rPr>
                  <w:rFonts w:ascii="Cambria Math" w:hAnsi="Cambria Math"/>
                  <w:i/>
                </w:rPr>
              </m:ctrlPr>
            </m:sSubPr>
            <m:e>
              <m:r>
                <w:rPr>
                  <w:rFonts w:ascii="Cambria Math" w:hAnsi="Cambria Math"/>
                </w:rPr>
                <m:t>c</m:t>
              </m:r>
            </m:e>
            <m:sub>
              <m:r>
                <w:rPr>
                  <w:rFonts w:ascii="Cambria Math" w:hAnsi="Cambria Math"/>
                </w:rPr>
                <m:t>do</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∆(0)</m:t>
          </m:r>
        </m:oMath>
      </m:oMathPara>
    </w:p>
    <w:p w14:paraId="716874FB" w14:textId="77777777" w:rsidR="0024051E" w:rsidRPr="00BF4711" w:rsidRDefault="0024051E" w:rsidP="0026028D">
      <w:pPr>
        <w:contextualSpacing/>
      </w:pPr>
    </w:p>
    <w:p w14:paraId="4F5CAB35" w14:textId="77777777" w:rsidR="0024051E" w:rsidRPr="00BF4711" w:rsidRDefault="0024051E" w:rsidP="0026028D">
      <w:pPr>
        <w:contextualSpacing/>
      </w:pPr>
      <w:r w:rsidRPr="00BF4711">
        <w:t>Substituting above equation into (1</w:t>
      </w:r>
      <w:r w:rsidR="00F5527B" w:rsidRPr="00BF4711">
        <w:t>3</w:t>
      </w:r>
      <w:r w:rsidRPr="00BF4711">
        <w:t xml:space="preserve">) and solving for </w:t>
      </w:r>
      <m:oMath>
        <m:r>
          <w:rPr>
            <w:rFonts w:ascii="Cambria Math" w:hAnsi="Cambria Math"/>
          </w:rPr>
          <m:t>∆</m:t>
        </m:r>
        <m:d>
          <m:dPr>
            <m:ctrlPr>
              <w:rPr>
                <w:rFonts w:ascii="Cambria Math" w:hAnsi="Cambria Math"/>
                <w:i/>
              </w:rPr>
            </m:ctrlPr>
          </m:dPr>
          <m:e>
            <m:r>
              <w:rPr>
                <w:rFonts w:ascii="Cambria Math" w:hAnsi="Cambria Math"/>
              </w:rPr>
              <m:t>0</m:t>
            </m:r>
          </m:e>
        </m:d>
      </m:oMath>
      <w:r w:rsidRPr="00BF4711">
        <w:t>,</w:t>
      </w:r>
    </w:p>
    <w:p w14:paraId="3C105081" w14:textId="77777777" w:rsidR="0024051E" w:rsidRPr="00BF4711" w:rsidRDefault="0024051E" w:rsidP="0026028D">
      <w:pPr>
        <w:contextualSpacing/>
      </w:pPr>
    </w:p>
    <w:p w14:paraId="58ED2CB8" w14:textId="6B786CC2" w:rsidR="0024051E" w:rsidRPr="00BF4711" w:rsidRDefault="003067FC" w:rsidP="0026028D">
      <w:pPr>
        <w:contextualSpacing/>
      </w:pPr>
      <m:oMathPara>
        <m:oMath>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m:t>
          </m:r>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aσ</m:t>
                  </m:r>
                </m:num>
                <m:den>
                  <m:sSub>
                    <m:sSubPr>
                      <m:ctrlPr>
                        <w:rPr>
                          <w:rFonts w:ascii="Cambria Math" w:hAnsi="Cambria Math"/>
                          <w:i/>
                        </w:rPr>
                      </m:ctrlPr>
                    </m:sSubPr>
                    <m:e>
                      <m:r>
                        <w:rPr>
                          <w:rFonts w:ascii="Cambria Math" w:hAnsi="Cambria Math"/>
                        </w:rPr>
                        <m:t>Q</m:t>
                      </m:r>
                    </m:e>
                    <m:sub>
                      <m:r>
                        <w:rPr>
                          <w:rFonts w:ascii="Cambria Math" w:hAnsi="Cambria Math"/>
                        </w:rPr>
                        <m:t>d</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γl</m:t>
                          </m:r>
                        </m:sup>
                      </m:sSup>
                    </m:e>
                  </m:d>
                </m:num>
                <m:den>
                  <m:r>
                    <w:rPr>
                      <w:rFonts w:ascii="Cambria Math" w:hAnsi="Cambria Math"/>
                    </w:rPr>
                    <m:t>γ</m:t>
                  </m:r>
                </m:den>
              </m:f>
              <m:r>
                <m:rPr>
                  <m:sty m:val="p"/>
                </m:rPr>
                <w:rPr>
                  <w:rFonts w:ascii="Cambria Math" w:hAnsi="Cambria Math"/>
                </w:rPr>
                <m:t xml:space="preserve">   </m:t>
              </m:r>
            </m:e>
          </m:d>
          <m:r>
            <w:rPr>
              <w:rFonts w:ascii="Cambria Math" w:hAnsi="Cambria Math"/>
            </w:rPr>
            <m:t xml:space="preserve">∆(0) </m:t>
          </m:r>
        </m:oMath>
      </m:oMathPara>
    </w:p>
    <w:p w14:paraId="0EDE824A" w14:textId="77777777" w:rsidR="0024051E" w:rsidRPr="00BF4711" w:rsidRDefault="0024051E" w:rsidP="0026028D">
      <w:pPr>
        <w:contextualSpacing/>
      </w:pPr>
    </w:p>
    <w:p w14:paraId="09390184" w14:textId="77777777" w:rsidR="0024051E" w:rsidRPr="00BF4711" w:rsidRDefault="0024051E" w:rsidP="0026028D">
      <w:pPr>
        <w:contextualSpacing/>
      </w:pPr>
    </w:p>
    <w:p w14:paraId="6AFBD401" w14:textId="0032E0F1" w:rsidR="0024051E" w:rsidRPr="00BF4711" w:rsidRDefault="0024051E" w:rsidP="0026028D">
      <w:pPr>
        <w:contextualSpacing/>
      </w:pPr>
      <m:oMathPara>
        <m:oMath>
          <m:r>
            <w:rPr>
              <w:rFonts w:ascii="Cambria Math" w:hAnsi="Cambria Math"/>
            </w:rPr>
            <m:t>∆</m:t>
          </m:r>
          <m:d>
            <m:dPr>
              <m:ctrlPr>
                <w:rPr>
                  <w:rFonts w:ascii="Cambria Math" w:hAnsi="Cambria Math"/>
                  <w:i/>
                </w:rPr>
              </m:ctrlPr>
            </m:dPr>
            <m:e>
              <m:r>
                <w:rPr>
                  <w:rFonts w:ascii="Cambria Math" w:hAnsi="Cambria Math"/>
                </w:rPr>
                <m:t>0</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di</m:t>
                  </m:r>
                </m:sub>
              </m:sSub>
            </m:num>
            <m:den>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eastAsiaTheme="minorHAnsi" w:hAnsi="Cambria Math"/>
                              <w:i/>
                            </w:rPr>
                          </m:ctrlPr>
                        </m:sSubPr>
                        <m:e>
                          <m:r>
                            <w:rPr>
                              <w:rFonts w:ascii="Cambria Math" w:hAnsi="Cambria Math"/>
                            </w:rPr>
                            <m:t>K</m:t>
                          </m:r>
                        </m:e>
                        <m:sub>
                          <m:r>
                            <w:rPr>
                              <w:rFonts w:ascii="Cambria Math" w:hAnsi="Cambria Math"/>
                            </w:rPr>
                            <m:t>0</m:t>
                          </m:r>
                        </m:sub>
                      </m:sSub>
                      <m:r>
                        <w:rPr>
                          <w:rFonts w:ascii="Cambria Math" w:hAnsi="Cambria Math"/>
                        </w:rPr>
                        <m:t>aσ</m:t>
                      </m:r>
                    </m:num>
                    <m:den>
                      <m:sSub>
                        <m:sSubPr>
                          <m:ctrlPr>
                            <w:rPr>
                              <w:rFonts w:ascii="Cambria Math" w:hAnsi="Cambria Math"/>
                              <w:i/>
                            </w:rPr>
                          </m:ctrlPr>
                        </m:sSubPr>
                        <m:e>
                          <m:r>
                            <w:rPr>
                              <w:rFonts w:ascii="Cambria Math" w:hAnsi="Cambria Math"/>
                            </w:rPr>
                            <m:t>Q</m:t>
                          </m:r>
                        </m:e>
                        <m:sub>
                          <m:r>
                            <w:rPr>
                              <w:rFonts w:ascii="Cambria Math" w:hAnsi="Cambria Math"/>
                            </w:rPr>
                            <m:t>d</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-γl</m:t>
                              </m:r>
                            </m:sup>
                          </m:sSup>
                        </m:e>
                      </m:d>
                    </m:num>
                    <m:den>
                      <m:r>
                        <w:rPr>
                          <w:rFonts w:ascii="Cambria Math" w:hAnsi="Cambria Math"/>
                        </w:rPr>
                        <m:t>γ</m:t>
                      </m:r>
                    </m:den>
                  </m:f>
                  <m:r>
                    <m:rPr>
                      <m:sty m:val="p"/>
                    </m:rPr>
                    <w:rPr>
                      <w:rFonts w:ascii="Cambria Math" w:hAnsi="Cambria Math"/>
                    </w:rPr>
                    <m:t xml:space="preserve">   </m:t>
                  </m:r>
                </m:e>
              </m:d>
            </m:den>
          </m:f>
        </m:oMath>
      </m:oMathPara>
    </w:p>
    <w:p w14:paraId="31CA6396" w14:textId="77777777" w:rsidR="00DF3CA1" w:rsidRPr="00BF4711" w:rsidRDefault="00DF3CA1" w:rsidP="0026028D">
      <w:pPr>
        <w:contextualSpacing/>
      </w:pPr>
    </w:p>
    <w:p w14:paraId="3C5B2FC2" w14:textId="77777777" w:rsidR="0024051E" w:rsidRPr="00BF4711" w:rsidRDefault="0024051E" w:rsidP="0026028D">
      <w:pPr>
        <w:contextualSpacing/>
        <w:rPr>
          <w:b/>
        </w:rPr>
      </w:pPr>
      <w:r w:rsidRPr="00BF4711">
        <w:rPr>
          <w:b/>
        </w:rPr>
        <w:t>Appendix B: Proportionality of blood outlet concentration to inlet concentration</w:t>
      </w:r>
    </w:p>
    <w:p w14:paraId="1143FD25" w14:textId="77777777" w:rsidR="005B0675" w:rsidRPr="00BF4711" w:rsidRDefault="005B0675" w:rsidP="0026028D">
      <w:pPr>
        <w:contextualSpacing/>
        <w:rPr>
          <w:b/>
        </w:rPr>
      </w:pPr>
    </w:p>
    <w:p w14:paraId="78533BD8" w14:textId="4828D4F7" w:rsidR="00F5527B" w:rsidRPr="00BF4711" w:rsidRDefault="00F5527B" w:rsidP="0026028D">
      <w:pPr>
        <w:contextualSpacing/>
      </w:pPr>
      <w:r w:rsidRPr="00BF4711">
        <w:t>Equation (7) and (8) states that, the initial condition for concentration gradient is a linear combination of the inlet concentration of the blood and dialysate</w:t>
      </w:r>
      <w:r w:rsidR="009F11D1" w:rsidRPr="00BF4711">
        <w:t xml:space="preserve"> </w:t>
      </w:r>
      <m:oMath>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and </m:t>
        </m:r>
        <m:sSub>
          <m:sSubPr>
            <m:ctrlPr>
              <w:rPr>
                <w:rFonts w:ascii="Cambria Math" w:hAnsi="Cambria Math"/>
                <w:i/>
              </w:rPr>
            </m:ctrlPr>
          </m:sSubPr>
          <m:e>
            <m:r>
              <w:rPr>
                <w:rFonts w:ascii="Cambria Math" w:hAnsi="Cambria Math"/>
              </w:rPr>
              <m:t>c</m:t>
            </m:r>
          </m:e>
          <m:sub>
            <m:r>
              <w:rPr>
                <w:rFonts w:ascii="Cambria Math" w:hAnsi="Cambria Math"/>
              </w:rPr>
              <m:t>di</m:t>
            </m:r>
          </m:sub>
        </m:sSub>
      </m:oMath>
      <w:r w:rsidR="009F11D1" w:rsidRPr="00BF4711">
        <w:t xml:space="preserve">.                                                                          </w:t>
      </w:r>
    </w:p>
    <w:p w14:paraId="59EB79D6" w14:textId="1333852B" w:rsidR="00F5527B" w:rsidRPr="00BF4711" w:rsidRDefault="00F5527B" w:rsidP="0026028D">
      <w:pPr>
        <w:contextualSpacing/>
      </w:pPr>
    </w:p>
    <w:p w14:paraId="39ADF7BC" w14:textId="4055BA36" w:rsidR="005B0675" w:rsidRPr="00BF4711" w:rsidRDefault="00F5527B" w:rsidP="0026028D">
      <w:pPr>
        <w:contextualSpacing/>
        <w:jc w:val="center"/>
      </w:pPr>
      <m:oMath>
        <m:r>
          <w:rPr>
            <w:rFonts w:ascii="Cambria Math" w:hAnsi="Cambria Math"/>
          </w:rPr>
          <m:t>∆</m:t>
        </m:r>
        <m:d>
          <m:dPr>
            <m:ctrlPr>
              <w:rPr>
                <w:rFonts w:ascii="Cambria Math" w:hAnsi="Cambria Math"/>
                <w:i/>
              </w:rPr>
            </m:ctrlPr>
          </m:dPr>
          <m:e>
            <m:r>
              <w:rPr>
                <w:rFonts w:ascii="Cambria Math" w:hAnsi="Cambria Math"/>
              </w:rPr>
              <m:t>0</m:t>
            </m:r>
          </m:e>
        </m:d>
        <m:r>
          <w:rPr>
            <w:rFonts w:ascii="Cambria Math" w:hAnsi="Cambria Math"/>
          </w:rPr>
          <m:t>= α</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β</m:t>
        </m:r>
        <m:sSub>
          <m:sSubPr>
            <m:ctrlPr>
              <w:rPr>
                <w:rFonts w:ascii="Cambria Math" w:hAnsi="Cambria Math"/>
                <w:i/>
              </w:rPr>
            </m:ctrlPr>
          </m:sSubPr>
          <m:e>
            <m:r>
              <w:rPr>
                <w:rFonts w:ascii="Cambria Math" w:hAnsi="Cambria Math"/>
              </w:rPr>
              <m:t>c</m:t>
            </m:r>
          </m:e>
          <m:sub>
            <m:r>
              <w:rPr>
                <w:rFonts w:ascii="Cambria Math" w:hAnsi="Cambria Math"/>
              </w:rPr>
              <m:t>di</m:t>
            </m:r>
          </m:sub>
        </m:sSub>
      </m:oMath>
      <w:r w:rsidRPr="00BF4711">
        <w:t xml:space="preserve">                                          </w:t>
      </w:r>
      <w:r w:rsidR="007010DF" w:rsidRPr="00BF4711">
        <w:t xml:space="preserve">     </w:t>
      </w:r>
      <w:r w:rsidRPr="00BF4711">
        <w:t xml:space="preserve">               </w:t>
      </w:r>
      <w:r w:rsidR="007179C1" w:rsidRPr="00BF4711">
        <w:t xml:space="preserve"> </w:t>
      </w:r>
      <w:r w:rsidRPr="00BF4711">
        <w:t>(15)</w:t>
      </w:r>
    </w:p>
    <w:p w14:paraId="460922D2" w14:textId="77777777" w:rsidR="009F11D1" w:rsidRPr="00BF4711" w:rsidRDefault="009F11D1" w:rsidP="0026028D">
      <w:pPr>
        <w:contextualSpacing/>
      </w:pPr>
      <w:r w:rsidRPr="00BF4711">
        <w:t>Where:</w:t>
      </w:r>
    </w:p>
    <w:p w14:paraId="6789AB01" w14:textId="77777777" w:rsidR="009F11D1" w:rsidRPr="00BF4711" w:rsidRDefault="009F11D1" w:rsidP="0026028D">
      <w:pPr>
        <w:contextualSpacing/>
      </w:pPr>
      <m:oMath>
        <m:r>
          <w:rPr>
            <w:rFonts w:ascii="Cambria Math" w:hAnsi="Cambria Math"/>
          </w:rPr>
          <m:t>α and β are some constant</m:t>
        </m:r>
      </m:oMath>
      <w:r w:rsidRPr="00BF4711">
        <w:t>s.</w:t>
      </w:r>
    </w:p>
    <w:p w14:paraId="2772219A" w14:textId="77777777" w:rsidR="009F11D1" w:rsidRPr="00BF4711" w:rsidRDefault="009F11D1" w:rsidP="0026028D">
      <w:pPr>
        <w:contextualSpacing/>
      </w:pPr>
    </w:p>
    <w:p w14:paraId="607FDB6C" w14:textId="77777777" w:rsidR="009F11D1" w:rsidRPr="00BF4711" w:rsidRDefault="007010DF" w:rsidP="0026028D">
      <w:pPr>
        <w:contextualSpacing/>
        <w:jc w:val="both"/>
      </w:pPr>
      <w:r w:rsidRPr="00BF4711">
        <w:t>Equation (14) indicates that the difference between the inlet and outlet concentrations of the dialysate is proportional to the initial concentration gradient. By conservation of solute, the same reasoning applies to the blood stream. Therefore, the difference between the inlet and outlet blood concentrations can be written as</w:t>
      </w:r>
    </w:p>
    <w:p w14:paraId="2411AD35" w14:textId="53CF4600" w:rsidR="009F11D1" w:rsidRPr="00BF4711" w:rsidRDefault="003067FC" w:rsidP="0026028D">
      <w:pPr>
        <w:contextualSpacing/>
        <w:jc w:val="center"/>
      </w:pPr>
      <m:oMath>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bo</m:t>
            </m:r>
          </m:sub>
        </m:sSub>
        <m:r>
          <w:rPr>
            <w:rFonts w:ascii="Cambria Math" w:hAnsi="Cambria Math"/>
          </w:rPr>
          <m:t xml:space="preserve">= </m:t>
        </m:r>
        <m:r>
          <w:rPr>
            <w:rFonts w:ascii="Cambria Math" w:hAnsi="Cambria Math"/>
          </w:rPr>
          <m:t>θ</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 xml:space="preserve"> </m:t>
        </m:r>
      </m:oMath>
      <w:r w:rsidR="009F11D1" w:rsidRPr="00BF4711">
        <w:t xml:space="preserve">                                                               (16)</w:t>
      </w:r>
    </w:p>
    <w:p w14:paraId="18BDEC9E" w14:textId="77777777" w:rsidR="007010DF" w:rsidRPr="00BF4711" w:rsidRDefault="007010DF" w:rsidP="0026028D">
      <w:pPr>
        <w:contextualSpacing/>
        <w:jc w:val="center"/>
      </w:pPr>
    </w:p>
    <w:p w14:paraId="492B2484" w14:textId="77777777" w:rsidR="00F5527B" w:rsidRPr="00BF4711" w:rsidRDefault="007010DF" w:rsidP="0026028D">
      <w:pPr>
        <w:contextualSpacing/>
      </w:pPr>
      <w:r w:rsidRPr="00BF4711">
        <w:t>w</w:t>
      </w:r>
      <w:r w:rsidR="009F11D1" w:rsidRPr="00BF4711">
        <w:t>here</w:t>
      </w:r>
      <w:r w:rsidRPr="00BF4711">
        <w:t xml:space="preserve"> </w:t>
      </w:r>
      <m:oMath>
        <m:r>
          <w:rPr>
            <w:rFonts w:ascii="Cambria Math" w:hAnsi="Cambria Math"/>
          </w:rPr>
          <m:t>μ and θ are some constant</m:t>
        </m:r>
      </m:oMath>
      <w:r w:rsidR="009F11D1" w:rsidRPr="00BF4711">
        <w:t>s.</w:t>
      </w:r>
    </w:p>
    <w:p w14:paraId="1724C1DC" w14:textId="77777777" w:rsidR="009F11D1" w:rsidRPr="00BF4711" w:rsidRDefault="007010DF" w:rsidP="0026028D">
      <w:pPr>
        <w:contextualSpacing/>
        <w:jc w:val="both"/>
      </w:pPr>
      <w:r w:rsidRPr="00BF4711">
        <w:t>Rearranging equation (16), the outlet blood concentration can be expressed as a linear combination of the inlet concentrations:</w:t>
      </w:r>
    </w:p>
    <w:p w14:paraId="782DC998" w14:textId="38F56EC7" w:rsidR="009F11D1" w:rsidRPr="00BF4711" w:rsidRDefault="003067FC" w:rsidP="0026028D">
      <w:pPr>
        <w:contextualSpacing/>
        <w:jc w:val="center"/>
      </w:pPr>
      <m:oMath>
        <m:sSub>
          <m:sSubPr>
            <m:ctrlPr>
              <w:rPr>
                <w:rFonts w:ascii="Cambria Math" w:hAnsi="Cambria Math"/>
                <w:i/>
              </w:rPr>
            </m:ctrlPr>
          </m:sSubPr>
          <m:e>
            <m:r>
              <w:rPr>
                <w:rFonts w:ascii="Cambria Math" w:hAnsi="Cambria Math"/>
              </w:rPr>
              <m:t>c</m:t>
            </m:r>
          </m:e>
          <m:sub>
            <m:r>
              <w:rPr>
                <w:rFonts w:ascii="Cambria Math" w:hAnsi="Cambria Math"/>
              </w:rPr>
              <m:t>bo</m:t>
            </m:r>
          </m:sub>
        </m:sSub>
        <m:r>
          <w:rPr>
            <w:rFonts w:ascii="Cambria Math" w:hAnsi="Cambria Math"/>
          </w:rPr>
          <m:t xml:space="preserve">= </m:t>
        </m:r>
        <m:r>
          <w:rPr>
            <w:rFonts w:ascii="Cambria Math" w:hAnsi="Cambria Math"/>
          </w:rPr>
          <m:t>ϑ</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di</m:t>
            </m:r>
          </m:sub>
        </m:sSub>
      </m:oMath>
      <w:r w:rsidR="007010DF" w:rsidRPr="00BF4711">
        <w:t xml:space="preserve">                                                                          (17)</w:t>
      </w:r>
    </w:p>
    <w:p w14:paraId="29CE110A" w14:textId="77777777" w:rsidR="009F11D1" w:rsidRPr="00BF4711" w:rsidRDefault="007010DF" w:rsidP="0026028D">
      <w:pPr>
        <w:contextualSpacing/>
      </w:pPr>
      <w:r w:rsidRPr="00BF4711">
        <w:t>w</w:t>
      </w:r>
      <w:r w:rsidR="009F11D1" w:rsidRPr="00BF4711">
        <w:t>here</w:t>
      </w:r>
      <w:r w:rsidRPr="00BF4711">
        <w:t xml:space="preserve"> </w:t>
      </w:r>
      <w:r w:rsidR="009F11D1" w:rsidRPr="00BF4711">
        <w:t xml:space="preserve">μ and </w:t>
      </w:r>
      <m:oMath>
        <m:r>
          <w:rPr>
            <w:rFonts w:ascii="Cambria Math" w:hAnsi="Cambria Math"/>
          </w:rPr>
          <m:t>ϑ</m:t>
        </m:r>
      </m:oMath>
      <w:r w:rsidR="009F11D1" w:rsidRPr="00BF4711">
        <w:t xml:space="preserve"> are some constants.</w:t>
      </w:r>
    </w:p>
    <w:p w14:paraId="61708832" w14:textId="77777777" w:rsidR="007010DF" w:rsidRPr="00BF4711" w:rsidRDefault="007010DF" w:rsidP="0026028D">
      <w:pPr>
        <w:contextualSpacing/>
      </w:pPr>
      <w:r w:rsidRPr="00BF4711">
        <w:t xml:space="preserve">In most dialysis setting </w:t>
      </w:r>
      <m:oMath>
        <m:sSub>
          <m:sSubPr>
            <m:ctrlPr>
              <w:rPr>
                <w:rFonts w:ascii="Cambria Math" w:hAnsi="Cambria Math"/>
                <w:i/>
              </w:rPr>
            </m:ctrlPr>
          </m:sSubPr>
          <m:e>
            <m:r>
              <w:rPr>
                <w:rFonts w:ascii="Cambria Math" w:hAnsi="Cambria Math"/>
              </w:rPr>
              <m:t>c</m:t>
            </m:r>
          </m:e>
          <m:sub>
            <m:r>
              <w:rPr>
                <w:rFonts w:ascii="Cambria Math" w:hAnsi="Cambria Math"/>
              </w:rPr>
              <m:t>di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bi</m:t>
            </m:r>
          </m:sub>
        </m:sSub>
        <m:r>
          <w:rPr>
            <w:rFonts w:ascii="Cambria Math" w:hAnsi="Cambria Math"/>
          </w:rPr>
          <m:t xml:space="preserve"> </m:t>
        </m:r>
      </m:oMath>
      <w:r w:rsidRPr="00BF4711">
        <w:t xml:space="preserve">. So, for the sake of simplicity, we can safely set it to zero. </w:t>
      </w:r>
    </w:p>
    <w:p w14:paraId="6E2DF35F" w14:textId="77777777" w:rsidR="007010DF" w:rsidRPr="00BF4711" w:rsidRDefault="007010DF" w:rsidP="0026028D">
      <w:pPr>
        <w:contextualSpacing/>
      </w:pPr>
      <w:r w:rsidRPr="00BF4711">
        <w:t>That reduces equation (17), to</w:t>
      </w:r>
    </w:p>
    <w:p w14:paraId="73DE7D91" w14:textId="77777777" w:rsidR="007010DF" w:rsidRPr="00BF4711" w:rsidRDefault="003067FC" w:rsidP="0026028D">
      <w:pPr>
        <w:contextualSpacing/>
      </w:pPr>
      <m:oMathPara>
        <m:oMath>
          <m:sSub>
            <m:sSubPr>
              <m:ctrlPr>
                <w:rPr>
                  <w:rFonts w:ascii="Cambria Math" w:hAnsi="Cambria Math"/>
                  <w:i/>
                </w:rPr>
              </m:ctrlPr>
            </m:sSubPr>
            <m:e>
              <m:r>
                <w:rPr>
                  <w:rFonts w:ascii="Cambria Math" w:hAnsi="Cambria Math"/>
                </w:rPr>
                <m:t>c</m:t>
              </m:r>
            </m:e>
            <m:sub>
              <m:r>
                <w:rPr>
                  <w:rFonts w:ascii="Cambria Math" w:hAnsi="Cambria Math"/>
                </w:rPr>
                <m:t>bo</m:t>
              </m:r>
            </m:sub>
          </m:sSub>
          <m:r>
            <w:rPr>
              <w:rFonts w:ascii="Cambria Math" w:hAnsi="Cambria Math"/>
            </w:rPr>
            <m:t xml:space="preserve">= </m:t>
          </m:r>
          <m:r>
            <w:rPr>
              <w:rFonts w:ascii="Cambria Math" w:hAnsi="Cambria Math"/>
            </w:rPr>
            <m:t>ϑ</m:t>
          </m:r>
          <m:sSub>
            <m:sSubPr>
              <m:ctrlPr>
                <w:rPr>
                  <w:rFonts w:ascii="Cambria Math" w:hAnsi="Cambria Math"/>
                  <w:i/>
                </w:rPr>
              </m:ctrlPr>
            </m:sSubPr>
            <m:e>
              <m:r>
                <w:rPr>
                  <w:rFonts w:ascii="Cambria Math" w:hAnsi="Cambria Math"/>
                </w:rPr>
                <m:t>c</m:t>
              </m:r>
            </m:e>
            <m:sub>
              <m:r>
                <w:rPr>
                  <w:rFonts w:ascii="Cambria Math" w:hAnsi="Cambria Math"/>
                </w:rPr>
                <m:t>bi</m:t>
              </m:r>
            </m:sub>
          </m:sSub>
        </m:oMath>
      </m:oMathPara>
    </w:p>
    <w:p w14:paraId="569BBBE8" w14:textId="44CB9D98" w:rsidR="009F11D1" w:rsidRPr="00BF4711" w:rsidRDefault="007010DF" w:rsidP="0026028D">
      <w:pPr>
        <w:contextualSpacing/>
      </w:pPr>
      <w:r w:rsidRPr="00BF4711">
        <w:t>This result establishes the proportional relationship between the outlet and inlet blood concentrations assumed in the model.</w:t>
      </w:r>
      <w:r w:rsidR="009F11D1" w:rsidRPr="00BF4711">
        <w:t xml:space="preserve"> </w:t>
      </w:r>
    </w:p>
    <w:sectPr w:rsidR="009F11D1" w:rsidRPr="00BF4711" w:rsidSect="00D56E8C">
      <w:footerReference w:type="default" r:id="rId2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3B818" w14:textId="77777777" w:rsidR="003067FC" w:rsidRDefault="003067FC" w:rsidP="00043DE9">
      <w:r>
        <w:separator/>
      </w:r>
    </w:p>
  </w:endnote>
  <w:endnote w:type="continuationSeparator" w:id="0">
    <w:p w14:paraId="74E3979F" w14:textId="77777777" w:rsidR="003067FC" w:rsidRDefault="003067FC" w:rsidP="0004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1983224"/>
      <w:docPartObj>
        <w:docPartGallery w:val="Page Numbers (Bottom of Page)"/>
        <w:docPartUnique/>
      </w:docPartObj>
    </w:sdtPr>
    <w:sdtEndPr/>
    <w:sdtContent>
      <w:sdt>
        <w:sdtPr>
          <w:id w:val="-1769616900"/>
          <w:docPartObj>
            <w:docPartGallery w:val="Page Numbers (Top of Page)"/>
            <w:docPartUnique/>
          </w:docPartObj>
        </w:sdtPr>
        <w:sdtEndPr/>
        <w:sdtContent>
          <w:p w14:paraId="6F28A372" w14:textId="6A82C062" w:rsidR="00AD4990" w:rsidRDefault="00AD499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95F906E" w14:textId="77777777" w:rsidR="00AD4990" w:rsidRDefault="00AD4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E1447" w14:textId="77777777" w:rsidR="003067FC" w:rsidRDefault="003067FC" w:rsidP="00043DE9">
      <w:r>
        <w:separator/>
      </w:r>
    </w:p>
  </w:footnote>
  <w:footnote w:type="continuationSeparator" w:id="0">
    <w:p w14:paraId="2E0F3BEC" w14:textId="77777777" w:rsidR="003067FC" w:rsidRDefault="003067FC" w:rsidP="00043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0CFC"/>
    <w:multiLevelType w:val="hybridMultilevel"/>
    <w:tmpl w:val="B272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701FE"/>
    <w:multiLevelType w:val="multilevel"/>
    <w:tmpl w:val="8B327A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CD3A92"/>
    <w:multiLevelType w:val="multilevel"/>
    <w:tmpl w:val="E5C6895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8AD531E"/>
    <w:multiLevelType w:val="multilevel"/>
    <w:tmpl w:val="E5C6895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9AF7D5C"/>
    <w:multiLevelType w:val="hybridMultilevel"/>
    <w:tmpl w:val="04A4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A051E"/>
    <w:multiLevelType w:val="multilevel"/>
    <w:tmpl w:val="8B327A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3B"/>
    <w:rsid w:val="0000425B"/>
    <w:rsid w:val="000065C3"/>
    <w:rsid w:val="000225CC"/>
    <w:rsid w:val="000241D1"/>
    <w:rsid w:val="00027E47"/>
    <w:rsid w:val="0003617B"/>
    <w:rsid w:val="00036F1B"/>
    <w:rsid w:val="00041C6F"/>
    <w:rsid w:val="000420BC"/>
    <w:rsid w:val="00042510"/>
    <w:rsid w:val="000437C7"/>
    <w:rsid w:val="00043DE9"/>
    <w:rsid w:val="00045229"/>
    <w:rsid w:val="000500D2"/>
    <w:rsid w:val="00052EA5"/>
    <w:rsid w:val="00053B93"/>
    <w:rsid w:val="0006228A"/>
    <w:rsid w:val="0006645E"/>
    <w:rsid w:val="0007029B"/>
    <w:rsid w:val="00070F28"/>
    <w:rsid w:val="00072088"/>
    <w:rsid w:val="00073BCE"/>
    <w:rsid w:val="00075ED4"/>
    <w:rsid w:val="00086BB0"/>
    <w:rsid w:val="00091495"/>
    <w:rsid w:val="00094784"/>
    <w:rsid w:val="000A0121"/>
    <w:rsid w:val="000A6CAC"/>
    <w:rsid w:val="000B0E21"/>
    <w:rsid w:val="000B6732"/>
    <w:rsid w:val="000C096D"/>
    <w:rsid w:val="000D194F"/>
    <w:rsid w:val="000D25A3"/>
    <w:rsid w:val="000D4251"/>
    <w:rsid w:val="000D5DE2"/>
    <w:rsid w:val="000E42D8"/>
    <w:rsid w:val="000F4186"/>
    <w:rsid w:val="000F4CE1"/>
    <w:rsid w:val="00101323"/>
    <w:rsid w:val="00104517"/>
    <w:rsid w:val="00105B4E"/>
    <w:rsid w:val="00107437"/>
    <w:rsid w:val="00110980"/>
    <w:rsid w:val="00111512"/>
    <w:rsid w:val="00115B70"/>
    <w:rsid w:val="0011653E"/>
    <w:rsid w:val="001219E9"/>
    <w:rsid w:val="001227D9"/>
    <w:rsid w:val="001378E1"/>
    <w:rsid w:val="00137FA7"/>
    <w:rsid w:val="00141D7D"/>
    <w:rsid w:val="001564CC"/>
    <w:rsid w:val="00157CEE"/>
    <w:rsid w:val="00164712"/>
    <w:rsid w:val="00172740"/>
    <w:rsid w:val="001732CF"/>
    <w:rsid w:val="00173AE7"/>
    <w:rsid w:val="00175803"/>
    <w:rsid w:val="00176087"/>
    <w:rsid w:val="00176131"/>
    <w:rsid w:val="001818BA"/>
    <w:rsid w:val="001851F5"/>
    <w:rsid w:val="00192095"/>
    <w:rsid w:val="001957EC"/>
    <w:rsid w:val="00196F09"/>
    <w:rsid w:val="001A234B"/>
    <w:rsid w:val="001A67CD"/>
    <w:rsid w:val="001B2463"/>
    <w:rsid w:val="001B3411"/>
    <w:rsid w:val="001B5743"/>
    <w:rsid w:val="001C238A"/>
    <w:rsid w:val="001C25D9"/>
    <w:rsid w:val="001C3490"/>
    <w:rsid w:val="001C54E9"/>
    <w:rsid w:val="001D022A"/>
    <w:rsid w:val="001E22BB"/>
    <w:rsid w:val="001E2FED"/>
    <w:rsid w:val="001E734D"/>
    <w:rsid w:val="001F63B5"/>
    <w:rsid w:val="002015CD"/>
    <w:rsid w:val="002041D3"/>
    <w:rsid w:val="00204465"/>
    <w:rsid w:val="00205815"/>
    <w:rsid w:val="0020711D"/>
    <w:rsid w:val="00214657"/>
    <w:rsid w:val="00214D13"/>
    <w:rsid w:val="0022543A"/>
    <w:rsid w:val="0022674D"/>
    <w:rsid w:val="002305D5"/>
    <w:rsid w:val="0024051E"/>
    <w:rsid w:val="00246FE2"/>
    <w:rsid w:val="002474CA"/>
    <w:rsid w:val="0025422C"/>
    <w:rsid w:val="00257840"/>
    <w:rsid w:val="0026028D"/>
    <w:rsid w:val="00260A4D"/>
    <w:rsid w:val="0026161C"/>
    <w:rsid w:val="002621C3"/>
    <w:rsid w:val="00263168"/>
    <w:rsid w:val="00264C6B"/>
    <w:rsid w:val="00266CB5"/>
    <w:rsid w:val="002719D7"/>
    <w:rsid w:val="002729E7"/>
    <w:rsid w:val="00273672"/>
    <w:rsid w:val="00276086"/>
    <w:rsid w:val="0028063A"/>
    <w:rsid w:val="0028448D"/>
    <w:rsid w:val="00287BB7"/>
    <w:rsid w:val="0029014C"/>
    <w:rsid w:val="0029238F"/>
    <w:rsid w:val="00293F49"/>
    <w:rsid w:val="002955E5"/>
    <w:rsid w:val="0029778D"/>
    <w:rsid w:val="00297A07"/>
    <w:rsid w:val="00297AF9"/>
    <w:rsid w:val="002A4D8C"/>
    <w:rsid w:val="002A6B71"/>
    <w:rsid w:val="002A73E7"/>
    <w:rsid w:val="002B2E7C"/>
    <w:rsid w:val="002C004E"/>
    <w:rsid w:val="002C1FD7"/>
    <w:rsid w:val="002C682C"/>
    <w:rsid w:val="002D26D4"/>
    <w:rsid w:val="002D428A"/>
    <w:rsid w:val="002E4203"/>
    <w:rsid w:val="002F1BB3"/>
    <w:rsid w:val="002F4442"/>
    <w:rsid w:val="002F4E5F"/>
    <w:rsid w:val="002F7605"/>
    <w:rsid w:val="00300D22"/>
    <w:rsid w:val="00305E9D"/>
    <w:rsid w:val="003067FC"/>
    <w:rsid w:val="00306D3B"/>
    <w:rsid w:val="00314499"/>
    <w:rsid w:val="003157C8"/>
    <w:rsid w:val="0031602E"/>
    <w:rsid w:val="0032028B"/>
    <w:rsid w:val="00321901"/>
    <w:rsid w:val="00323E76"/>
    <w:rsid w:val="00325DA2"/>
    <w:rsid w:val="00333342"/>
    <w:rsid w:val="00334316"/>
    <w:rsid w:val="0033725D"/>
    <w:rsid w:val="00346D06"/>
    <w:rsid w:val="0035545B"/>
    <w:rsid w:val="00355677"/>
    <w:rsid w:val="00355754"/>
    <w:rsid w:val="00361DE0"/>
    <w:rsid w:val="00362CB6"/>
    <w:rsid w:val="0036390C"/>
    <w:rsid w:val="00364BB7"/>
    <w:rsid w:val="00374A52"/>
    <w:rsid w:val="003768AF"/>
    <w:rsid w:val="00383368"/>
    <w:rsid w:val="0038506A"/>
    <w:rsid w:val="003857E4"/>
    <w:rsid w:val="00386989"/>
    <w:rsid w:val="00391346"/>
    <w:rsid w:val="00394FBA"/>
    <w:rsid w:val="00395128"/>
    <w:rsid w:val="003A2AB4"/>
    <w:rsid w:val="003A6531"/>
    <w:rsid w:val="003A6D4F"/>
    <w:rsid w:val="003B1307"/>
    <w:rsid w:val="003B41A0"/>
    <w:rsid w:val="003B554B"/>
    <w:rsid w:val="003B793F"/>
    <w:rsid w:val="003D3D5B"/>
    <w:rsid w:val="003D7673"/>
    <w:rsid w:val="003D78E6"/>
    <w:rsid w:val="003E4E59"/>
    <w:rsid w:val="003F18C0"/>
    <w:rsid w:val="003F5D0A"/>
    <w:rsid w:val="003F6FC6"/>
    <w:rsid w:val="004048D3"/>
    <w:rsid w:val="00414F9A"/>
    <w:rsid w:val="0041541D"/>
    <w:rsid w:val="004157D5"/>
    <w:rsid w:val="00423836"/>
    <w:rsid w:val="00425F28"/>
    <w:rsid w:val="00427E7C"/>
    <w:rsid w:val="00437102"/>
    <w:rsid w:val="00437A0F"/>
    <w:rsid w:val="00443240"/>
    <w:rsid w:val="00444D7D"/>
    <w:rsid w:val="00446A11"/>
    <w:rsid w:val="00447ABF"/>
    <w:rsid w:val="004512CD"/>
    <w:rsid w:val="004514CA"/>
    <w:rsid w:val="00451811"/>
    <w:rsid w:val="00451BEA"/>
    <w:rsid w:val="004543C6"/>
    <w:rsid w:val="00455CCD"/>
    <w:rsid w:val="00456FC5"/>
    <w:rsid w:val="00470802"/>
    <w:rsid w:val="0047134E"/>
    <w:rsid w:val="0047789C"/>
    <w:rsid w:val="00483017"/>
    <w:rsid w:val="00486339"/>
    <w:rsid w:val="00493042"/>
    <w:rsid w:val="004945C1"/>
    <w:rsid w:val="00496CFA"/>
    <w:rsid w:val="004A36FB"/>
    <w:rsid w:val="004B1268"/>
    <w:rsid w:val="004B279D"/>
    <w:rsid w:val="004B279F"/>
    <w:rsid w:val="004B37DC"/>
    <w:rsid w:val="004B52F7"/>
    <w:rsid w:val="004B5A56"/>
    <w:rsid w:val="004E4D3F"/>
    <w:rsid w:val="004F5E0C"/>
    <w:rsid w:val="005023F0"/>
    <w:rsid w:val="00504551"/>
    <w:rsid w:val="00504E70"/>
    <w:rsid w:val="0051584A"/>
    <w:rsid w:val="00527098"/>
    <w:rsid w:val="005304C9"/>
    <w:rsid w:val="00532C64"/>
    <w:rsid w:val="005347A9"/>
    <w:rsid w:val="00542C66"/>
    <w:rsid w:val="005434DA"/>
    <w:rsid w:val="00544360"/>
    <w:rsid w:val="00545F74"/>
    <w:rsid w:val="00550FD1"/>
    <w:rsid w:val="0055158C"/>
    <w:rsid w:val="00552EC2"/>
    <w:rsid w:val="00553F53"/>
    <w:rsid w:val="00554766"/>
    <w:rsid w:val="00554D44"/>
    <w:rsid w:val="00556D2A"/>
    <w:rsid w:val="0056309A"/>
    <w:rsid w:val="00571097"/>
    <w:rsid w:val="00574CD8"/>
    <w:rsid w:val="00581F71"/>
    <w:rsid w:val="0058205F"/>
    <w:rsid w:val="0058415C"/>
    <w:rsid w:val="005842DD"/>
    <w:rsid w:val="00584E50"/>
    <w:rsid w:val="0058617E"/>
    <w:rsid w:val="005877DE"/>
    <w:rsid w:val="00590F58"/>
    <w:rsid w:val="00592B71"/>
    <w:rsid w:val="005A0029"/>
    <w:rsid w:val="005B0675"/>
    <w:rsid w:val="005B3741"/>
    <w:rsid w:val="005B3B76"/>
    <w:rsid w:val="005B65A2"/>
    <w:rsid w:val="005B6D0A"/>
    <w:rsid w:val="005C620D"/>
    <w:rsid w:val="005E74D7"/>
    <w:rsid w:val="005F33A8"/>
    <w:rsid w:val="005F40F3"/>
    <w:rsid w:val="005F4D67"/>
    <w:rsid w:val="006025D0"/>
    <w:rsid w:val="006063E9"/>
    <w:rsid w:val="00622A58"/>
    <w:rsid w:val="00626AF6"/>
    <w:rsid w:val="00631250"/>
    <w:rsid w:val="00636F80"/>
    <w:rsid w:val="00644421"/>
    <w:rsid w:val="00651E69"/>
    <w:rsid w:val="00652AC9"/>
    <w:rsid w:val="00666D4E"/>
    <w:rsid w:val="00667439"/>
    <w:rsid w:val="006753B2"/>
    <w:rsid w:val="0067559F"/>
    <w:rsid w:val="0068061B"/>
    <w:rsid w:val="006839C1"/>
    <w:rsid w:val="00685956"/>
    <w:rsid w:val="00696904"/>
    <w:rsid w:val="006A736F"/>
    <w:rsid w:val="006B2746"/>
    <w:rsid w:val="006B3771"/>
    <w:rsid w:val="006B46F3"/>
    <w:rsid w:val="006B7D67"/>
    <w:rsid w:val="006C3B37"/>
    <w:rsid w:val="006C4C66"/>
    <w:rsid w:val="006D0DC2"/>
    <w:rsid w:val="006D2663"/>
    <w:rsid w:val="006E342F"/>
    <w:rsid w:val="006E37A6"/>
    <w:rsid w:val="006E3E30"/>
    <w:rsid w:val="006E3E46"/>
    <w:rsid w:val="006F02AC"/>
    <w:rsid w:val="006F12B3"/>
    <w:rsid w:val="006F4193"/>
    <w:rsid w:val="006F4D06"/>
    <w:rsid w:val="007010DF"/>
    <w:rsid w:val="007014EF"/>
    <w:rsid w:val="00707117"/>
    <w:rsid w:val="007140D7"/>
    <w:rsid w:val="00714123"/>
    <w:rsid w:val="0071519A"/>
    <w:rsid w:val="007169F7"/>
    <w:rsid w:val="007179C1"/>
    <w:rsid w:val="00722825"/>
    <w:rsid w:val="0072372B"/>
    <w:rsid w:val="0072502C"/>
    <w:rsid w:val="00731F14"/>
    <w:rsid w:val="007332D4"/>
    <w:rsid w:val="00740546"/>
    <w:rsid w:val="00740B2F"/>
    <w:rsid w:val="00741A95"/>
    <w:rsid w:val="00743552"/>
    <w:rsid w:val="007453AB"/>
    <w:rsid w:val="0075004A"/>
    <w:rsid w:val="007531B2"/>
    <w:rsid w:val="00754E70"/>
    <w:rsid w:val="00756930"/>
    <w:rsid w:val="00757A67"/>
    <w:rsid w:val="00762BEB"/>
    <w:rsid w:val="00764E4B"/>
    <w:rsid w:val="007650E0"/>
    <w:rsid w:val="00773BF5"/>
    <w:rsid w:val="0079552D"/>
    <w:rsid w:val="007A0BF6"/>
    <w:rsid w:val="007A1663"/>
    <w:rsid w:val="007B12DD"/>
    <w:rsid w:val="007B29D8"/>
    <w:rsid w:val="007C27BE"/>
    <w:rsid w:val="007D1FB1"/>
    <w:rsid w:val="007D219A"/>
    <w:rsid w:val="007D4459"/>
    <w:rsid w:val="007D7A72"/>
    <w:rsid w:val="007E0E5B"/>
    <w:rsid w:val="007E50F7"/>
    <w:rsid w:val="007E578E"/>
    <w:rsid w:val="007E6E2F"/>
    <w:rsid w:val="007F29AF"/>
    <w:rsid w:val="007F3EF0"/>
    <w:rsid w:val="007F4395"/>
    <w:rsid w:val="00802886"/>
    <w:rsid w:val="0080456F"/>
    <w:rsid w:val="00806239"/>
    <w:rsid w:val="00807145"/>
    <w:rsid w:val="00810555"/>
    <w:rsid w:val="00814891"/>
    <w:rsid w:val="00815D44"/>
    <w:rsid w:val="008170BD"/>
    <w:rsid w:val="00820BC4"/>
    <w:rsid w:val="0082116E"/>
    <w:rsid w:val="00830B8C"/>
    <w:rsid w:val="00832BAB"/>
    <w:rsid w:val="008353EE"/>
    <w:rsid w:val="0083568C"/>
    <w:rsid w:val="00835EE2"/>
    <w:rsid w:val="008366D5"/>
    <w:rsid w:val="008376BF"/>
    <w:rsid w:val="00840BB6"/>
    <w:rsid w:val="008432DC"/>
    <w:rsid w:val="00850576"/>
    <w:rsid w:val="00853AE7"/>
    <w:rsid w:val="00855304"/>
    <w:rsid w:val="00857EAC"/>
    <w:rsid w:val="00861C9E"/>
    <w:rsid w:val="00862268"/>
    <w:rsid w:val="0086415E"/>
    <w:rsid w:val="00865370"/>
    <w:rsid w:val="00871C68"/>
    <w:rsid w:val="00871FD0"/>
    <w:rsid w:val="00872854"/>
    <w:rsid w:val="00873B8A"/>
    <w:rsid w:val="00873BE6"/>
    <w:rsid w:val="00874181"/>
    <w:rsid w:val="00874214"/>
    <w:rsid w:val="00874651"/>
    <w:rsid w:val="0088513F"/>
    <w:rsid w:val="008900DD"/>
    <w:rsid w:val="00890BE8"/>
    <w:rsid w:val="00895999"/>
    <w:rsid w:val="008975FE"/>
    <w:rsid w:val="008A5184"/>
    <w:rsid w:val="008A69F6"/>
    <w:rsid w:val="008B15E2"/>
    <w:rsid w:val="008B3D7E"/>
    <w:rsid w:val="008B6539"/>
    <w:rsid w:val="008B7C33"/>
    <w:rsid w:val="008C0122"/>
    <w:rsid w:val="008C0F84"/>
    <w:rsid w:val="008C26AD"/>
    <w:rsid w:val="008C4E76"/>
    <w:rsid w:val="008D090A"/>
    <w:rsid w:val="008D1C48"/>
    <w:rsid w:val="008D1D64"/>
    <w:rsid w:val="008D3200"/>
    <w:rsid w:val="008D3BE0"/>
    <w:rsid w:val="008D4C96"/>
    <w:rsid w:val="008D52D8"/>
    <w:rsid w:val="008E2A1C"/>
    <w:rsid w:val="008E2E80"/>
    <w:rsid w:val="008E3FF3"/>
    <w:rsid w:val="008F00E4"/>
    <w:rsid w:val="008F3E5A"/>
    <w:rsid w:val="008F64DB"/>
    <w:rsid w:val="00900541"/>
    <w:rsid w:val="00905C24"/>
    <w:rsid w:val="00911E3B"/>
    <w:rsid w:val="0091368F"/>
    <w:rsid w:val="0091372F"/>
    <w:rsid w:val="00915F5E"/>
    <w:rsid w:val="00924137"/>
    <w:rsid w:val="00925CE7"/>
    <w:rsid w:val="0093003E"/>
    <w:rsid w:val="00931038"/>
    <w:rsid w:val="00935F6C"/>
    <w:rsid w:val="00936FBB"/>
    <w:rsid w:val="009429A1"/>
    <w:rsid w:val="009555A7"/>
    <w:rsid w:val="0096152A"/>
    <w:rsid w:val="009627E9"/>
    <w:rsid w:val="009709FB"/>
    <w:rsid w:val="00980A07"/>
    <w:rsid w:val="0098210B"/>
    <w:rsid w:val="00985D57"/>
    <w:rsid w:val="00986E44"/>
    <w:rsid w:val="00991804"/>
    <w:rsid w:val="009A3D36"/>
    <w:rsid w:val="009A3F96"/>
    <w:rsid w:val="009A6264"/>
    <w:rsid w:val="009A6E11"/>
    <w:rsid w:val="009B3BA3"/>
    <w:rsid w:val="009B489E"/>
    <w:rsid w:val="009B6071"/>
    <w:rsid w:val="009B64E4"/>
    <w:rsid w:val="009C0288"/>
    <w:rsid w:val="009C1D82"/>
    <w:rsid w:val="009C2081"/>
    <w:rsid w:val="009C3F56"/>
    <w:rsid w:val="009D4401"/>
    <w:rsid w:val="009D53D3"/>
    <w:rsid w:val="009E1019"/>
    <w:rsid w:val="009F0957"/>
    <w:rsid w:val="009F11D1"/>
    <w:rsid w:val="009F3490"/>
    <w:rsid w:val="009F3A56"/>
    <w:rsid w:val="009F5F66"/>
    <w:rsid w:val="009F768E"/>
    <w:rsid w:val="00A1323C"/>
    <w:rsid w:val="00A14DFE"/>
    <w:rsid w:val="00A151FF"/>
    <w:rsid w:val="00A25B2E"/>
    <w:rsid w:val="00A3622B"/>
    <w:rsid w:val="00A45B25"/>
    <w:rsid w:val="00A53C63"/>
    <w:rsid w:val="00A53F3C"/>
    <w:rsid w:val="00A549AC"/>
    <w:rsid w:val="00A54A3C"/>
    <w:rsid w:val="00A566B3"/>
    <w:rsid w:val="00A620D1"/>
    <w:rsid w:val="00A638F0"/>
    <w:rsid w:val="00A66990"/>
    <w:rsid w:val="00A67114"/>
    <w:rsid w:val="00A703CE"/>
    <w:rsid w:val="00A70B12"/>
    <w:rsid w:val="00A72B15"/>
    <w:rsid w:val="00A87026"/>
    <w:rsid w:val="00A906A1"/>
    <w:rsid w:val="00A92C3F"/>
    <w:rsid w:val="00A9569E"/>
    <w:rsid w:val="00A959F4"/>
    <w:rsid w:val="00A95DDC"/>
    <w:rsid w:val="00AA5685"/>
    <w:rsid w:val="00AA7E70"/>
    <w:rsid w:val="00AB34AC"/>
    <w:rsid w:val="00AB6503"/>
    <w:rsid w:val="00AB7480"/>
    <w:rsid w:val="00AC3CBD"/>
    <w:rsid w:val="00AC47CC"/>
    <w:rsid w:val="00AC5B72"/>
    <w:rsid w:val="00AC65D1"/>
    <w:rsid w:val="00AC7C97"/>
    <w:rsid w:val="00AD4990"/>
    <w:rsid w:val="00AD4D10"/>
    <w:rsid w:val="00AD5B28"/>
    <w:rsid w:val="00AD79D5"/>
    <w:rsid w:val="00AE0934"/>
    <w:rsid w:val="00AE473C"/>
    <w:rsid w:val="00AE4B75"/>
    <w:rsid w:val="00AE5AEA"/>
    <w:rsid w:val="00AE7A5B"/>
    <w:rsid w:val="00AF0190"/>
    <w:rsid w:val="00AF23F4"/>
    <w:rsid w:val="00AF38A1"/>
    <w:rsid w:val="00AF38AF"/>
    <w:rsid w:val="00AF39BB"/>
    <w:rsid w:val="00B006DB"/>
    <w:rsid w:val="00B032F4"/>
    <w:rsid w:val="00B06542"/>
    <w:rsid w:val="00B07AF2"/>
    <w:rsid w:val="00B10941"/>
    <w:rsid w:val="00B1126C"/>
    <w:rsid w:val="00B258CD"/>
    <w:rsid w:val="00B31BD2"/>
    <w:rsid w:val="00B33759"/>
    <w:rsid w:val="00B361A2"/>
    <w:rsid w:val="00B374CD"/>
    <w:rsid w:val="00B42910"/>
    <w:rsid w:val="00B432E3"/>
    <w:rsid w:val="00B467F5"/>
    <w:rsid w:val="00B46BCF"/>
    <w:rsid w:val="00B46D20"/>
    <w:rsid w:val="00B52173"/>
    <w:rsid w:val="00B54720"/>
    <w:rsid w:val="00B54FA9"/>
    <w:rsid w:val="00B57090"/>
    <w:rsid w:val="00B6210A"/>
    <w:rsid w:val="00B63A35"/>
    <w:rsid w:val="00B671DA"/>
    <w:rsid w:val="00B717D3"/>
    <w:rsid w:val="00B81D83"/>
    <w:rsid w:val="00B84236"/>
    <w:rsid w:val="00B85C88"/>
    <w:rsid w:val="00B869D0"/>
    <w:rsid w:val="00B87AAB"/>
    <w:rsid w:val="00B92780"/>
    <w:rsid w:val="00B946C3"/>
    <w:rsid w:val="00BA693D"/>
    <w:rsid w:val="00BB47C7"/>
    <w:rsid w:val="00BC18AC"/>
    <w:rsid w:val="00BC2B04"/>
    <w:rsid w:val="00BC3B15"/>
    <w:rsid w:val="00BC59B2"/>
    <w:rsid w:val="00BE6153"/>
    <w:rsid w:val="00BE66F3"/>
    <w:rsid w:val="00BF03A3"/>
    <w:rsid w:val="00BF4504"/>
    <w:rsid w:val="00BF4711"/>
    <w:rsid w:val="00BF4722"/>
    <w:rsid w:val="00BF7982"/>
    <w:rsid w:val="00C00C90"/>
    <w:rsid w:val="00C02B2A"/>
    <w:rsid w:val="00C1446E"/>
    <w:rsid w:val="00C22112"/>
    <w:rsid w:val="00C232D0"/>
    <w:rsid w:val="00C31CD0"/>
    <w:rsid w:val="00C32958"/>
    <w:rsid w:val="00C36B5C"/>
    <w:rsid w:val="00C41704"/>
    <w:rsid w:val="00C421DC"/>
    <w:rsid w:val="00C428EC"/>
    <w:rsid w:val="00C43A6E"/>
    <w:rsid w:val="00C50805"/>
    <w:rsid w:val="00C55AEE"/>
    <w:rsid w:val="00C56918"/>
    <w:rsid w:val="00C60B51"/>
    <w:rsid w:val="00C64D16"/>
    <w:rsid w:val="00C71250"/>
    <w:rsid w:val="00C7141F"/>
    <w:rsid w:val="00C7325B"/>
    <w:rsid w:val="00C8225E"/>
    <w:rsid w:val="00C86A74"/>
    <w:rsid w:val="00C91902"/>
    <w:rsid w:val="00C9475C"/>
    <w:rsid w:val="00C94971"/>
    <w:rsid w:val="00C974FE"/>
    <w:rsid w:val="00CA5DF7"/>
    <w:rsid w:val="00CB0EC3"/>
    <w:rsid w:val="00CB3AE3"/>
    <w:rsid w:val="00CB5ADC"/>
    <w:rsid w:val="00CC0FBC"/>
    <w:rsid w:val="00CD1440"/>
    <w:rsid w:val="00CD6AD3"/>
    <w:rsid w:val="00CD75CE"/>
    <w:rsid w:val="00CE1E70"/>
    <w:rsid w:val="00CE2206"/>
    <w:rsid w:val="00CE704C"/>
    <w:rsid w:val="00CF2265"/>
    <w:rsid w:val="00CF264E"/>
    <w:rsid w:val="00CF3A61"/>
    <w:rsid w:val="00CF3F83"/>
    <w:rsid w:val="00D0309A"/>
    <w:rsid w:val="00D06D0F"/>
    <w:rsid w:val="00D276F3"/>
    <w:rsid w:val="00D30D4E"/>
    <w:rsid w:val="00D33AAA"/>
    <w:rsid w:val="00D3418A"/>
    <w:rsid w:val="00D348A6"/>
    <w:rsid w:val="00D37722"/>
    <w:rsid w:val="00D4062D"/>
    <w:rsid w:val="00D51168"/>
    <w:rsid w:val="00D519A2"/>
    <w:rsid w:val="00D53FBF"/>
    <w:rsid w:val="00D56E8C"/>
    <w:rsid w:val="00D6192F"/>
    <w:rsid w:val="00D64AF7"/>
    <w:rsid w:val="00D73489"/>
    <w:rsid w:val="00D739D4"/>
    <w:rsid w:val="00D73E36"/>
    <w:rsid w:val="00D76FD3"/>
    <w:rsid w:val="00D80A2E"/>
    <w:rsid w:val="00D80DC8"/>
    <w:rsid w:val="00D81F69"/>
    <w:rsid w:val="00D82859"/>
    <w:rsid w:val="00D92DC7"/>
    <w:rsid w:val="00D94295"/>
    <w:rsid w:val="00D962FF"/>
    <w:rsid w:val="00D968E1"/>
    <w:rsid w:val="00DA41A9"/>
    <w:rsid w:val="00DA461C"/>
    <w:rsid w:val="00DA66ED"/>
    <w:rsid w:val="00DA6D16"/>
    <w:rsid w:val="00DB1554"/>
    <w:rsid w:val="00DB2423"/>
    <w:rsid w:val="00DB3E1B"/>
    <w:rsid w:val="00DB45F6"/>
    <w:rsid w:val="00DC030F"/>
    <w:rsid w:val="00DC19C5"/>
    <w:rsid w:val="00DC234B"/>
    <w:rsid w:val="00DC2437"/>
    <w:rsid w:val="00DC263E"/>
    <w:rsid w:val="00DC5DF9"/>
    <w:rsid w:val="00DD0412"/>
    <w:rsid w:val="00DE1731"/>
    <w:rsid w:val="00DF2004"/>
    <w:rsid w:val="00DF3CA1"/>
    <w:rsid w:val="00E002A0"/>
    <w:rsid w:val="00E00629"/>
    <w:rsid w:val="00E00BFD"/>
    <w:rsid w:val="00E1342C"/>
    <w:rsid w:val="00E13C39"/>
    <w:rsid w:val="00E14479"/>
    <w:rsid w:val="00E14B65"/>
    <w:rsid w:val="00E16788"/>
    <w:rsid w:val="00E37C31"/>
    <w:rsid w:val="00E37E77"/>
    <w:rsid w:val="00E52047"/>
    <w:rsid w:val="00E56C1F"/>
    <w:rsid w:val="00E576FC"/>
    <w:rsid w:val="00E57A49"/>
    <w:rsid w:val="00E63892"/>
    <w:rsid w:val="00E67815"/>
    <w:rsid w:val="00E73ADE"/>
    <w:rsid w:val="00E75486"/>
    <w:rsid w:val="00E76ED9"/>
    <w:rsid w:val="00E80332"/>
    <w:rsid w:val="00E9256F"/>
    <w:rsid w:val="00E925D7"/>
    <w:rsid w:val="00E926EC"/>
    <w:rsid w:val="00E95469"/>
    <w:rsid w:val="00EA71AC"/>
    <w:rsid w:val="00EC1400"/>
    <w:rsid w:val="00ED0AE3"/>
    <w:rsid w:val="00ED3207"/>
    <w:rsid w:val="00ED38E4"/>
    <w:rsid w:val="00ED5094"/>
    <w:rsid w:val="00EE2D86"/>
    <w:rsid w:val="00EE385F"/>
    <w:rsid w:val="00EE6F16"/>
    <w:rsid w:val="00EF0D86"/>
    <w:rsid w:val="00EF3205"/>
    <w:rsid w:val="00EF3F82"/>
    <w:rsid w:val="00EF7E97"/>
    <w:rsid w:val="00F013EA"/>
    <w:rsid w:val="00F044FC"/>
    <w:rsid w:val="00F12CEA"/>
    <w:rsid w:val="00F23636"/>
    <w:rsid w:val="00F245DD"/>
    <w:rsid w:val="00F2622C"/>
    <w:rsid w:val="00F313D4"/>
    <w:rsid w:val="00F5527B"/>
    <w:rsid w:val="00F5542B"/>
    <w:rsid w:val="00F5665A"/>
    <w:rsid w:val="00F57572"/>
    <w:rsid w:val="00F6323B"/>
    <w:rsid w:val="00F66AA8"/>
    <w:rsid w:val="00F670C2"/>
    <w:rsid w:val="00F708C5"/>
    <w:rsid w:val="00F708C9"/>
    <w:rsid w:val="00F70B24"/>
    <w:rsid w:val="00F77A59"/>
    <w:rsid w:val="00F84155"/>
    <w:rsid w:val="00F857AE"/>
    <w:rsid w:val="00F87166"/>
    <w:rsid w:val="00F87B48"/>
    <w:rsid w:val="00F926CE"/>
    <w:rsid w:val="00F93CF2"/>
    <w:rsid w:val="00F974CB"/>
    <w:rsid w:val="00F97943"/>
    <w:rsid w:val="00FA0C13"/>
    <w:rsid w:val="00FA16AE"/>
    <w:rsid w:val="00FA181F"/>
    <w:rsid w:val="00FA24D9"/>
    <w:rsid w:val="00FA64CC"/>
    <w:rsid w:val="00FB1C49"/>
    <w:rsid w:val="00FB514D"/>
    <w:rsid w:val="00FB5943"/>
    <w:rsid w:val="00FB5D17"/>
    <w:rsid w:val="00FB75E4"/>
    <w:rsid w:val="00FB7B26"/>
    <w:rsid w:val="00FC108B"/>
    <w:rsid w:val="00FC346C"/>
    <w:rsid w:val="00FC728E"/>
    <w:rsid w:val="00FC7809"/>
    <w:rsid w:val="00FD197F"/>
    <w:rsid w:val="00FE3B4E"/>
    <w:rsid w:val="00FE4E91"/>
    <w:rsid w:val="00FE5550"/>
    <w:rsid w:val="00FE60EE"/>
    <w:rsid w:val="00FF0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6F83"/>
  <w15:chartTrackingRefBased/>
  <w15:docId w15:val="{F785B938-77E3-C645-B727-02E8551E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42DD"/>
    <w:rPr>
      <w:rFonts w:ascii="Times New Roman" w:eastAsia="Times New Roman" w:hAnsi="Times New Roman" w:cs="Times New Roman"/>
    </w:rPr>
  </w:style>
  <w:style w:type="paragraph" w:styleId="Heading1">
    <w:name w:val="heading 1"/>
    <w:basedOn w:val="Normal"/>
    <w:next w:val="Normal"/>
    <w:link w:val="Heading1Char"/>
    <w:uiPriority w:val="9"/>
    <w:qFormat/>
    <w:rsid w:val="00C947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55CC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22C"/>
    <w:rPr>
      <w:color w:val="0000FF"/>
      <w:u w:val="single"/>
    </w:rPr>
  </w:style>
  <w:style w:type="character" w:styleId="UnresolvedMention">
    <w:name w:val="Unresolved Mention"/>
    <w:basedOn w:val="DefaultParagraphFont"/>
    <w:uiPriority w:val="99"/>
    <w:semiHidden/>
    <w:unhideWhenUsed/>
    <w:rsid w:val="007C27BE"/>
    <w:rPr>
      <w:color w:val="605E5C"/>
      <w:shd w:val="clear" w:color="auto" w:fill="E1DFDD"/>
    </w:rPr>
  </w:style>
  <w:style w:type="paragraph" w:styleId="NormalWeb">
    <w:name w:val="Normal (Web)"/>
    <w:basedOn w:val="Normal"/>
    <w:uiPriority w:val="99"/>
    <w:unhideWhenUsed/>
    <w:rsid w:val="007C27BE"/>
    <w:pPr>
      <w:spacing w:before="100" w:beforeAutospacing="1" w:after="100" w:afterAutospacing="1"/>
    </w:pPr>
  </w:style>
  <w:style w:type="character" w:styleId="Strong">
    <w:name w:val="Strong"/>
    <w:basedOn w:val="DefaultParagraphFont"/>
    <w:uiPriority w:val="22"/>
    <w:qFormat/>
    <w:rsid w:val="007C27BE"/>
    <w:rPr>
      <w:b/>
      <w:bCs/>
    </w:rPr>
  </w:style>
  <w:style w:type="paragraph" w:styleId="HTMLPreformatted">
    <w:name w:val="HTML Preformatted"/>
    <w:basedOn w:val="Normal"/>
    <w:link w:val="HTMLPreformattedChar"/>
    <w:uiPriority w:val="99"/>
    <w:semiHidden/>
    <w:unhideWhenUsed/>
    <w:rsid w:val="00CD6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D6AD3"/>
    <w:rPr>
      <w:rFonts w:ascii="Courier New" w:eastAsia="Times New Roman" w:hAnsi="Courier New" w:cs="Courier New"/>
      <w:sz w:val="20"/>
      <w:szCs w:val="20"/>
    </w:rPr>
  </w:style>
  <w:style w:type="character" w:styleId="PlaceholderText">
    <w:name w:val="Placeholder Text"/>
    <w:basedOn w:val="DefaultParagraphFont"/>
    <w:uiPriority w:val="99"/>
    <w:semiHidden/>
    <w:rsid w:val="0036390C"/>
    <w:rPr>
      <w:color w:val="808080"/>
    </w:rPr>
  </w:style>
  <w:style w:type="character" w:customStyle="1" w:styleId="katex-mathml">
    <w:name w:val="katex-mathml"/>
    <w:basedOn w:val="DefaultParagraphFont"/>
    <w:rsid w:val="005842DD"/>
  </w:style>
  <w:style w:type="character" w:customStyle="1" w:styleId="mord">
    <w:name w:val="mord"/>
    <w:basedOn w:val="DefaultParagraphFont"/>
    <w:rsid w:val="005842DD"/>
  </w:style>
  <w:style w:type="paragraph" w:styleId="ListParagraph">
    <w:name w:val="List Paragraph"/>
    <w:basedOn w:val="Normal"/>
    <w:uiPriority w:val="34"/>
    <w:qFormat/>
    <w:rsid w:val="00297A07"/>
    <w:pPr>
      <w:ind w:left="720"/>
      <w:contextualSpacing/>
    </w:pPr>
  </w:style>
  <w:style w:type="character" w:customStyle="1" w:styleId="vlist-s">
    <w:name w:val="vlist-s"/>
    <w:basedOn w:val="DefaultParagraphFont"/>
    <w:rsid w:val="0079552D"/>
  </w:style>
  <w:style w:type="paragraph" w:customStyle="1" w:styleId="yiv8714890903msonormal">
    <w:name w:val="yiv8714890903msonormal"/>
    <w:basedOn w:val="Normal"/>
    <w:rsid w:val="00FA24D9"/>
    <w:pPr>
      <w:spacing w:before="100" w:beforeAutospacing="1" w:after="100" w:afterAutospacing="1"/>
    </w:pPr>
  </w:style>
  <w:style w:type="character" w:customStyle="1" w:styleId="mopen">
    <w:name w:val="mopen"/>
    <w:basedOn w:val="DefaultParagraphFont"/>
    <w:rsid w:val="006F12B3"/>
  </w:style>
  <w:style w:type="character" w:customStyle="1" w:styleId="mclose">
    <w:name w:val="mclose"/>
    <w:basedOn w:val="DefaultParagraphFont"/>
    <w:rsid w:val="006F12B3"/>
  </w:style>
  <w:style w:type="character" w:customStyle="1" w:styleId="mrel">
    <w:name w:val="mrel"/>
    <w:basedOn w:val="DefaultParagraphFont"/>
    <w:rsid w:val="006F12B3"/>
  </w:style>
  <w:style w:type="table" w:styleId="TableGrid">
    <w:name w:val="Table Grid"/>
    <w:basedOn w:val="TableNormal"/>
    <w:uiPriority w:val="39"/>
    <w:rsid w:val="00D519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E1019"/>
    <w:rPr>
      <w:color w:val="954F72" w:themeColor="followedHyperlink"/>
      <w:u w:val="single"/>
    </w:rPr>
  </w:style>
  <w:style w:type="paragraph" w:styleId="Header">
    <w:name w:val="header"/>
    <w:basedOn w:val="Normal"/>
    <w:link w:val="HeaderChar"/>
    <w:uiPriority w:val="99"/>
    <w:unhideWhenUsed/>
    <w:rsid w:val="00043DE9"/>
    <w:pPr>
      <w:tabs>
        <w:tab w:val="center" w:pos="4680"/>
        <w:tab w:val="right" w:pos="9360"/>
      </w:tabs>
    </w:pPr>
  </w:style>
  <w:style w:type="character" w:customStyle="1" w:styleId="HeaderChar">
    <w:name w:val="Header Char"/>
    <w:basedOn w:val="DefaultParagraphFont"/>
    <w:link w:val="Header"/>
    <w:uiPriority w:val="99"/>
    <w:rsid w:val="00043DE9"/>
    <w:rPr>
      <w:rFonts w:ascii="Times New Roman" w:eastAsia="Times New Roman" w:hAnsi="Times New Roman" w:cs="Times New Roman"/>
    </w:rPr>
  </w:style>
  <w:style w:type="paragraph" w:styleId="Footer">
    <w:name w:val="footer"/>
    <w:basedOn w:val="Normal"/>
    <w:link w:val="FooterChar"/>
    <w:uiPriority w:val="99"/>
    <w:unhideWhenUsed/>
    <w:rsid w:val="00043DE9"/>
    <w:pPr>
      <w:tabs>
        <w:tab w:val="center" w:pos="4680"/>
        <w:tab w:val="right" w:pos="9360"/>
      </w:tabs>
    </w:pPr>
  </w:style>
  <w:style w:type="character" w:customStyle="1" w:styleId="FooterChar">
    <w:name w:val="Footer Char"/>
    <w:basedOn w:val="DefaultParagraphFont"/>
    <w:link w:val="Footer"/>
    <w:uiPriority w:val="99"/>
    <w:rsid w:val="00043DE9"/>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55CCD"/>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455CCD"/>
  </w:style>
  <w:style w:type="character" w:customStyle="1" w:styleId="Heading1Char">
    <w:name w:val="Heading 1 Char"/>
    <w:basedOn w:val="DefaultParagraphFont"/>
    <w:link w:val="Heading1"/>
    <w:uiPriority w:val="9"/>
    <w:rsid w:val="00C9475C"/>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qFormat/>
    <w:rsid w:val="00FD197F"/>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FD197F"/>
    <w:rPr>
      <w:rFonts w:eastAsiaTheme="minorEastAsia"/>
      <w:lang w:eastAsia="zh-CN"/>
    </w:rPr>
  </w:style>
  <w:style w:type="paragraph" w:customStyle="1" w:styleId="FirstParagraph">
    <w:name w:val="First Paragraph"/>
    <w:basedOn w:val="BodyText"/>
    <w:next w:val="BodyText"/>
    <w:qFormat/>
    <w:rsid w:val="00FD1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15676">
      <w:bodyDiv w:val="1"/>
      <w:marLeft w:val="0"/>
      <w:marRight w:val="0"/>
      <w:marTop w:val="0"/>
      <w:marBottom w:val="0"/>
      <w:divBdr>
        <w:top w:val="none" w:sz="0" w:space="0" w:color="auto"/>
        <w:left w:val="none" w:sz="0" w:space="0" w:color="auto"/>
        <w:bottom w:val="none" w:sz="0" w:space="0" w:color="auto"/>
        <w:right w:val="none" w:sz="0" w:space="0" w:color="auto"/>
      </w:divBdr>
    </w:div>
    <w:div w:id="88159770">
      <w:bodyDiv w:val="1"/>
      <w:marLeft w:val="0"/>
      <w:marRight w:val="0"/>
      <w:marTop w:val="0"/>
      <w:marBottom w:val="0"/>
      <w:divBdr>
        <w:top w:val="none" w:sz="0" w:space="0" w:color="auto"/>
        <w:left w:val="none" w:sz="0" w:space="0" w:color="auto"/>
        <w:bottom w:val="none" w:sz="0" w:space="0" w:color="auto"/>
        <w:right w:val="none" w:sz="0" w:space="0" w:color="auto"/>
      </w:divBdr>
    </w:div>
    <w:div w:id="289626205">
      <w:bodyDiv w:val="1"/>
      <w:marLeft w:val="0"/>
      <w:marRight w:val="0"/>
      <w:marTop w:val="0"/>
      <w:marBottom w:val="0"/>
      <w:divBdr>
        <w:top w:val="none" w:sz="0" w:space="0" w:color="auto"/>
        <w:left w:val="none" w:sz="0" w:space="0" w:color="auto"/>
        <w:bottom w:val="none" w:sz="0" w:space="0" w:color="auto"/>
        <w:right w:val="none" w:sz="0" w:space="0" w:color="auto"/>
      </w:divBdr>
    </w:div>
    <w:div w:id="303170013">
      <w:bodyDiv w:val="1"/>
      <w:marLeft w:val="0"/>
      <w:marRight w:val="0"/>
      <w:marTop w:val="0"/>
      <w:marBottom w:val="0"/>
      <w:divBdr>
        <w:top w:val="none" w:sz="0" w:space="0" w:color="auto"/>
        <w:left w:val="none" w:sz="0" w:space="0" w:color="auto"/>
        <w:bottom w:val="none" w:sz="0" w:space="0" w:color="auto"/>
        <w:right w:val="none" w:sz="0" w:space="0" w:color="auto"/>
      </w:divBdr>
    </w:div>
    <w:div w:id="463618313">
      <w:bodyDiv w:val="1"/>
      <w:marLeft w:val="0"/>
      <w:marRight w:val="0"/>
      <w:marTop w:val="0"/>
      <w:marBottom w:val="0"/>
      <w:divBdr>
        <w:top w:val="none" w:sz="0" w:space="0" w:color="auto"/>
        <w:left w:val="none" w:sz="0" w:space="0" w:color="auto"/>
        <w:bottom w:val="none" w:sz="0" w:space="0" w:color="auto"/>
        <w:right w:val="none" w:sz="0" w:space="0" w:color="auto"/>
      </w:divBdr>
      <w:divsChild>
        <w:div w:id="1881820016">
          <w:marLeft w:val="0"/>
          <w:marRight w:val="0"/>
          <w:marTop w:val="0"/>
          <w:marBottom w:val="0"/>
          <w:divBdr>
            <w:top w:val="none" w:sz="0" w:space="0" w:color="auto"/>
            <w:left w:val="none" w:sz="0" w:space="0" w:color="auto"/>
            <w:bottom w:val="none" w:sz="0" w:space="0" w:color="auto"/>
            <w:right w:val="none" w:sz="0" w:space="0" w:color="auto"/>
          </w:divBdr>
          <w:divsChild>
            <w:div w:id="6581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1425">
      <w:bodyDiv w:val="1"/>
      <w:marLeft w:val="0"/>
      <w:marRight w:val="0"/>
      <w:marTop w:val="0"/>
      <w:marBottom w:val="0"/>
      <w:divBdr>
        <w:top w:val="none" w:sz="0" w:space="0" w:color="auto"/>
        <w:left w:val="none" w:sz="0" w:space="0" w:color="auto"/>
        <w:bottom w:val="none" w:sz="0" w:space="0" w:color="auto"/>
        <w:right w:val="none" w:sz="0" w:space="0" w:color="auto"/>
      </w:divBdr>
      <w:divsChild>
        <w:div w:id="256137506">
          <w:marLeft w:val="0"/>
          <w:marRight w:val="0"/>
          <w:marTop w:val="0"/>
          <w:marBottom w:val="0"/>
          <w:divBdr>
            <w:top w:val="none" w:sz="0" w:space="0" w:color="auto"/>
            <w:left w:val="none" w:sz="0" w:space="0" w:color="auto"/>
            <w:bottom w:val="none" w:sz="0" w:space="0" w:color="auto"/>
            <w:right w:val="none" w:sz="0" w:space="0" w:color="auto"/>
          </w:divBdr>
          <w:divsChild>
            <w:div w:id="3980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3803">
      <w:bodyDiv w:val="1"/>
      <w:marLeft w:val="0"/>
      <w:marRight w:val="0"/>
      <w:marTop w:val="0"/>
      <w:marBottom w:val="0"/>
      <w:divBdr>
        <w:top w:val="none" w:sz="0" w:space="0" w:color="auto"/>
        <w:left w:val="none" w:sz="0" w:space="0" w:color="auto"/>
        <w:bottom w:val="none" w:sz="0" w:space="0" w:color="auto"/>
        <w:right w:val="none" w:sz="0" w:space="0" w:color="auto"/>
      </w:divBdr>
    </w:div>
    <w:div w:id="581259647">
      <w:bodyDiv w:val="1"/>
      <w:marLeft w:val="0"/>
      <w:marRight w:val="0"/>
      <w:marTop w:val="0"/>
      <w:marBottom w:val="0"/>
      <w:divBdr>
        <w:top w:val="none" w:sz="0" w:space="0" w:color="auto"/>
        <w:left w:val="none" w:sz="0" w:space="0" w:color="auto"/>
        <w:bottom w:val="none" w:sz="0" w:space="0" w:color="auto"/>
        <w:right w:val="none" w:sz="0" w:space="0" w:color="auto"/>
      </w:divBdr>
    </w:div>
    <w:div w:id="631836519">
      <w:bodyDiv w:val="1"/>
      <w:marLeft w:val="0"/>
      <w:marRight w:val="0"/>
      <w:marTop w:val="0"/>
      <w:marBottom w:val="0"/>
      <w:divBdr>
        <w:top w:val="none" w:sz="0" w:space="0" w:color="auto"/>
        <w:left w:val="none" w:sz="0" w:space="0" w:color="auto"/>
        <w:bottom w:val="none" w:sz="0" w:space="0" w:color="auto"/>
        <w:right w:val="none" w:sz="0" w:space="0" w:color="auto"/>
      </w:divBdr>
    </w:div>
    <w:div w:id="689260519">
      <w:bodyDiv w:val="1"/>
      <w:marLeft w:val="0"/>
      <w:marRight w:val="0"/>
      <w:marTop w:val="0"/>
      <w:marBottom w:val="0"/>
      <w:divBdr>
        <w:top w:val="none" w:sz="0" w:space="0" w:color="auto"/>
        <w:left w:val="none" w:sz="0" w:space="0" w:color="auto"/>
        <w:bottom w:val="none" w:sz="0" w:space="0" w:color="auto"/>
        <w:right w:val="none" w:sz="0" w:space="0" w:color="auto"/>
      </w:divBdr>
    </w:div>
    <w:div w:id="749425411">
      <w:bodyDiv w:val="1"/>
      <w:marLeft w:val="0"/>
      <w:marRight w:val="0"/>
      <w:marTop w:val="0"/>
      <w:marBottom w:val="0"/>
      <w:divBdr>
        <w:top w:val="none" w:sz="0" w:space="0" w:color="auto"/>
        <w:left w:val="none" w:sz="0" w:space="0" w:color="auto"/>
        <w:bottom w:val="none" w:sz="0" w:space="0" w:color="auto"/>
        <w:right w:val="none" w:sz="0" w:space="0" w:color="auto"/>
      </w:divBdr>
    </w:div>
    <w:div w:id="768505471">
      <w:bodyDiv w:val="1"/>
      <w:marLeft w:val="0"/>
      <w:marRight w:val="0"/>
      <w:marTop w:val="0"/>
      <w:marBottom w:val="0"/>
      <w:divBdr>
        <w:top w:val="none" w:sz="0" w:space="0" w:color="auto"/>
        <w:left w:val="none" w:sz="0" w:space="0" w:color="auto"/>
        <w:bottom w:val="none" w:sz="0" w:space="0" w:color="auto"/>
        <w:right w:val="none" w:sz="0" w:space="0" w:color="auto"/>
      </w:divBdr>
    </w:div>
    <w:div w:id="810826531">
      <w:bodyDiv w:val="1"/>
      <w:marLeft w:val="0"/>
      <w:marRight w:val="0"/>
      <w:marTop w:val="0"/>
      <w:marBottom w:val="0"/>
      <w:divBdr>
        <w:top w:val="none" w:sz="0" w:space="0" w:color="auto"/>
        <w:left w:val="none" w:sz="0" w:space="0" w:color="auto"/>
        <w:bottom w:val="none" w:sz="0" w:space="0" w:color="auto"/>
        <w:right w:val="none" w:sz="0" w:space="0" w:color="auto"/>
      </w:divBdr>
    </w:div>
    <w:div w:id="931551641">
      <w:bodyDiv w:val="1"/>
      <w:marLeft w:val="0"/>
      <w:marRight w:val="0"/>
      <w:marTop w:val="0"/>
      <w:marBottom w:val="0"/>
      <w:divBdr>
        <w:top w:val="none" w:sz="0" w:space="0" w:color="auto"/>
        <w:left w:val="none" w:sz="0" w:space="0" w:color="auto"/>
        <w:bottom w:val="none" w:sz="0" w:space="0" w:color="auto"/>
        <w:right w:val="none" w:sz="0" w:space="0" w:color="auto"/>
      </w:divBdr>
    </w:div>
    <w:div w:id="956449420">
      <w:bodyDiv w:val="1"/>
      <w:marLeft w:val="0"/>
      <w:marRight w:val="0"/>
      <w:marTop w:val="0"/>
      <w:marBottom w:val="0"/>
      <w:divBdr>
        <w:top w:val="none" w:sz="0" w:space="0" w:color="auto"/>
        <w:left w:val="none" w:sz="0" w:space="0" w:color="auto"/>
        <w:bottom w:val="none" w:sz="0" w:space="0" w:color="auto"/>
        <w:right w:val="none" w:sz="0" w:space="0" w:color="auto"/>
      </w:divBdr>
    </w:div>
    <w:div w:id="1000698509">
      <w:bodyDiv w:val="1"/>
      <w:marLeft w:val="0"/>
      <w:marRight w:val="0"/>
      <w:marTop w:val="0"/>
      <w:marBottom w:val="0"/>
      <w:divBdr>
        <w:top w:val="none" w:sz="0" w:space="0" w:color="auto"/>
        <w:left w:val="none" w:sz="0" w:space="0" w:color="auto"/>
        <w:bottom w:val="none" w:sz="0" w:space="0" w:color="auto"/>
        <w:right w:val="none" w:sz="0" w:space="0" w:color="auto"/>
      </w:divBdr>
    </w:div>
    <w:div w:id="1040084615">
      <w:bodyDiv w:val="1"/>
      <w:marLeft w:val="0"/>
      <w:marRight w:val="0"/>
      <w:marTop w:val="0"/>
      <w:marBottom w:val="0"/>
      <w:divBdr>
        <w:top w:val="none" w:sz="0" w:space="0" w:color="auto"/>
        <w:left w:val="none" w:sz="0" w:space="0" w:color="auto"/>
        <w:bottom w:val="none" w:sz="0" w:space="0" w:color="auto"/>
        <w:right w:val="none" w:sz="0" w:space="0" w:color="auto"/>
      </w:divBdr>
    </w:div>
    <w:div w:id="1046636910">
      <w:bodyDiv w:val="1"/>
      <w:marLeft w:val="0"/>
      <w:marRight w:val="0"/>
      <w:marTop w:val="0"/>
      <w:marBottom w:val="0"/>
      <w:divBdr>
        <w:top w:val="none" w:sz="0" w:space="0" w:color="auto"/>
        <w:left w:val="none" w:sz="0" w:space="0" w:color="auto"/>
        <w:bottom w:val="none" w:sz="0" w:space="0" w:color="auto"/>
        <w:right w:val="none" w:sz="0" w:space="0" w:color="auto"/>
      </w:divBdr>
    </w:div>
    <w:div w:id="1065953818">
      <w:bodyDiv w:val="1"/>
      <w:marLeft w:val="0"/>
      <w:marRight w:val="0"/>
      <w:marTop w:val="0"/>
      <w:marBottom w:val="0"/>
      <w:divBdr>
        <w:top w:val="none" w:sz="0" w:space="0" w:color="auto"/>
        <w:left w:val="none" w:sz="0" w:space="0" w:color="auto"/>
        <w:bottom w:val="none" w:sz="0" w:space="0" w:color="auto"/>
        <w:right w:val="none" w:sz="0" w:space="0" w:color="auto"/>
      </w:divBdr>
      <w:divsChild>
        <w:div w:id="350574776">
          <w:marLeft w:val="0"/>
          <w:marRight w:val="0"/>
          <w:marTop w:val="0"/>
          <w:marBottom w:val="0"/>
          <w:divBdr>
            <w:top w:val="none" w:sz="0" w:space="0" w:color="auto"/>
            <w:left w:val="none" w:sz="0" w:space="0" w:color="auto"/>
            <w:bottom w:val="none" w:sz="0" w:space="0" w:color="auto"/>
            <w:right w:val="none" w:sz="0" w:space="0" w:color="auto"/>
          </w:divBdr>
          <w:divsChild>
            <w:div w:id="13828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28082">
      <w:bodyDiv w:val="1"/>
      <w:marLeft w:val="0"/>
      <w:marRight w:val="0"/>
      <w:marTop w:val="0"/>
      <w:marBottom w:val="0"/>
      <w:divBdr>
        <w:top w:val="none" w:sz="0" w:space="0" w:color="auto"/>
        <w:left w:val="none" w:sz="0" w:space="0" w:color="auto"/>
        <w:bottom w:val="none" w:sz="0" w:space="0" w:color="auto"/>
        <w:right w:val="none" w:sz="0" w:space="0" w:color="auto"/>
      </w:divBdr>
    </w:div>
    <w:div w:id="1351645965">
      <w:bodyDiv w:val="1"/>
      <w:marLeft w:val="0"/>
      <w:marRight w:val="0"/>
      <w:marTop w:val="0"/>
      <w:marBottom w:val="0"/>
      <w:divBdr>
        <w:top w:val="none" w:sz="0" w:space="0" w:color="auto"/>
        <w:left w:val="none" w:sz="0" w:space="0" w:color="auto"/>
        <w:bottom w:val="none" w:sz="0" w:space="0" w:color="auto"/>
        <w:right w:val="none" w:sz="0" w:space="0" w:color="auto"/>
      </w:divBdr>
    </w:div>
    <w:div w:id="1391726902">
      <w:bodyDiv w:val="1"/>
      <w:marLeft w:val="0"/>
      <w:marRight w:val="0"/>
      <w:marTop w:val="0"/>
      <w:marBottom w:val="0"/>
      <w:divBdr>
        <w:top w:val="none" w:sz="0" w:space="0" w:color="auto"/>
        <w:left w:val="none" w:sz="0" w:space="0" w:color="auto"/>
        <w:bottom w:val="none" w:sz="0" w:space="0" w:color="auto"/>
        <w:right w:val="none" w:sz="0" w:space="0" w:color="auto"/>
      </w:divBdr>
    </w:div>
    <w:div w:id="1453012630">
      <w:bodyDiv w:val="1"/>
      <w:marLeft w:val="0"/>
      <w:marRight w:val="0"/>
      <w:marTop w:val="0"/>
      <w:marBottom w:val="0"/>
      <w:divBdr>
        <w:top w:val="none" w:sz="0" w:space="0" w:color="auto"/>
        <w:left w:val="none" w:sz="0" w:space="0" w:color="auto"/>
        <w:bottom w:val="none" w:sz="0" w:space="0" w:color="auto"/>
        <w:right w:val="none" w:sz="0" w:space="0" w:color="auto"/>
      </w:divBdr>
    </w:div>
    <w:div w:id="1543204494">
      <w:bodyDiv w:val="1"/>
      <w:marLeft w:val="0"/>
      <w:marRight w:val="0"/>
      <w:marTop w:val="0"/>
      <w:marBottom w:val="0"/>
      <w:divBdr>
        <w:top w:val="none" w:sz="0" w:space="0" w:color="auto"/>
        <w:left w:val="none" w:sz="0" w:space="0" w:color="auto"/>
        <w:bottom w:val="none" w:sz="0" w:space="0" w:color="auto"/>
        <w:right w:val="none" w:sz="0" w:space="0" w:color="auto"/>
      </w:divBdr>
    </w:div>
    <w:div w:id="1624653721">
      <w:bodyDiv w:val="1"/>
      <w:marLeft w:val="0"/>
      <w:marRight w:val="0"/>
      <w:marTop w:val="0"/>
      <w:marBottom w:val="0"/>
      <w:divBdr>
        <w:top w:val="none" w:sz="0" w:space="0" w:color="auto"/>
        <w:left w:val="none" w:sz="0" w:space="0" w:color="auto"/>
        <w:bottom w:val="none" w:sz="0" w:space="0" w:color="auto"/>
        <w:right w:val="none" w:sz="0" w:space="0" w:color="auto"/>
      </w:divBdr>
    </w:div>
    <w:div w:id="1639064570">
      <w:bodyDiv w:val="1"/>
      <w:marLeft w:val="0"/>
      <w:marRight w:val="0"/>
      <w:marTop w:val="0"/>
      <w:marBottom w:val="0"/>
      <w:divBdr>
        <w:top w:val="none" w:sz="0" w:space="0" w:color="auto"/>
        <w:left w:val="none" w:sz="0" w:space="0" w:color="auto"/>
        <w:bottom w:val="none" w:sz="0" w:space="0" w:color="auto"/>
        <w:right w:val="none" w:sz="0" w:space="0" w:color="auto"/>
      </w:divBdr>
    </w:div>
    <w:div w:id="1673753453">
      <w:bodyDiv w:val="1"/>
      <w:marLeft w:val="0"/>
      <w:marRight w:val="0"/>
      <w:marTop w:val="0"/>
      <w:marBottom w:val="0"/>
      <w:divBdr>
        <w:top w:val="none" w:sz="0" w:space="0" w:color="auto"/>
        <w:left w:val="none" w:sz="0" w:space="0" w:color="auto"/>
        <w:bottom w:val="none" w:sz="0" w:space="0" w:color="auto"/>
        <w:right w:val="none" w:sz="0" w:space="0" w:color="auto"/>
      </w:divBdr>
    </w:div>
    <w:div w:id="1856457937">
      <w:bodyDiv w:val="1"/>
      <w:marLeft w:val="0"/>
      <w:marRight w:val="0"/>
      <w:marTop w:val="0"/>
      <w:marBottom w:val="0"/>
      <w:divBdr>
        <w:top w:val="none" w:sz="0" w:space="0" w:color="auto"/>
        <w:left w:val="none" w:sz="0" w:space="0" w:color="auto"/>
        <w:bottom w:val="none" w:sz="0" w:space="0" w:color="auto"/>
        <w:right w:val="none" w:sz="0" w:space="0" w:color="auto"/>
      </w:divBdr>
    </w:div>
    <w:div w:id="191746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12</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2026-04-08T04:34:00Z</dcterms:created>
  <dcterms:modified xsi:type="dcterms:W3CDTF">2026-04-09T22:33:00Z</dcterms:modified>
</cp:coreProperties>
</file>