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60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ScholarPlan: An LLM-Powered Planning Agent for Academic Research and Information Gathering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Design Proposal Report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Module: Intelligent Agents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Group A</w:t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September 2026</w:t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9qzev7izi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Academic literature searching is repetitive yet error-prone when delegated to a single large language model (LLM), because unaided LLMs plan unreliably and fabricate citations (Ji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2023; Kambhampati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 This proposal presents ScholarPlan, a multi-agent system in which an LLM Planner decomposes a research goal, cooperating agents retrieve, summarise, and verify evidence from open scholarly sources, and an Archivist stores the results offline.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750gblcka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Requirements and Assumptions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3lzp7hwe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Requirements</w:t>
      </w:r>
    </w:p>
    <w:p w:rsidR="00000000" w:rsidDel="00000000" w:rsidP="00000000" w:rsidRDefault="00000000" w:rsidRPr="00000000" w14:paraId="0000000D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Instruction-tuned LLMs for three roles. </w:t>
      </w:r>
      <w:r w:rsidDel="00000000" w:rsidR="00000000" w:rsidRPr="00000000">
        <w:rPr>
          <w:rtl w:val="0"/>
        </w:rPr>
        <w:t xml:space="preserve">The Planner and Processor must return schema-valid JSON (a subtask graph and a claim list) and are ranked on the Berkeley Function-Calling Leaderboard (BFCL, 2026); the Critic performs entailment classification and is ranked on LLM-AggreFact (Tang, Laban and Durrett, 2024).</w:t>
      </w:r>
    </w:p>
    <w:p w:rsidR="00000000" w:rsidDel="00000000" w:rsidP="00000000" w:rsidRDefault="00000000" w:rsidRPr="00000000" w14:paraId="0000000E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Keyless scholarly APIs </w:t>
      </w:r>
      <w:r w:rsidDel="00000000" w:rsidR="00000000" w:rsidRPr="00000000">
        <w:rPr>
          <w:rtl w:val="0"/>
        </w:rPr>
        <w:t xml:space="preserve">(arXiv, OpenAlex, Crossref) that return stable identifiers (DOI, arXiv ID), so every claim is traceable to a source (Priem, Piwowar and Orr, 2022).</w:t>
      </w:r>
    </w:p>
    <w:p w:rsidR="00000000" w:rsidDel="00000000" w:rsidP="00000000" w:rsidRDefault="00000000" w:rsidRPr="00000000" w14:paraId="0000000F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Local sentence embeddings </w:t>
      </w:r>
      <w:r w:rsidDel="00000000" w:rsidR="00000000" w:rsidRPr="00000000">
        <w:rPr>
          <w:rtl w:val="0"/>
        </w:rPr>
        <w:t xml:space="preserve">(Reimers and Gurevych, 2019) for deduplication, relevance ranking, and vector indexing at zero cost.</w:t>
      </w:r>
    </w:p>
    <w:p w:rsidR="00000000" w:rsidDel="00000000" w:rsidP="00000000" w:rsidRDefault="00000000" w:rsidRPr="00000000" w14:paraId="00000010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 bounded ReAct reasoning loop </w:t>
      </w:r>
      <w:r w:rsidDel="00000000" w:rsidR="00000000" w:rsidRPr="00000000">
        <w:rPr>
          <w:rtl w:val="0"/>
        </w:rPr>
        <w:t xml:space="preserve">(Yao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2023) capped at 20 steps per run, controlling both Azure credit and API rate limits.</w:t>
      </w:r>
    </w:p>
    <w:p w:rsidR="00000000" w:rsidDel="00000000" w:rsidP="00000000" w:rsidRDefault="00000000" w:rsidRPr="00000000" w14:paraId="00000011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Offline outputs: </w:t>
      </w:r>
      <w:r w:rsidDel="00000000" w:rsidR="00000000" w:rsidRPr="00000000">
        <w:rPr>
          <w:rtl w:val="0"/>
        </w:rPr>
        <w:t xml:space="preserve">a report, BibTeX bibliography, vector index, and execution trace, satisfying the retrieval, processing, and storage success criteria.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czrf44f0g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Assumptions</w:t>
      </w:r>
    </w:p>
    <w:p w:rsidR="00000000" w:rsidDel="00000000" w:rsidP="00000000" w:rsidRDefault="00000000" w:rsidRPr="00000000" w14:paraId="00000013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Sources are mainly English; full text exists only for open-access works, with abstracts as fallback.</w:t>
      </w:r>
    </w:p>
    <w:p w:rsidR="00000000" w:rsidDel="00000000" w:rsidP="00000000" w:rsidRDefault="00000000" w:rsidRPr="00000000" w14:paraId="00000014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Single user, single run, single machine; no authentication, multi-tenancy, or distributed deployment.</w:t>
      </w:r>
    </w:p>
    <w:p w:rsidR="00000000" w:rsidDel="00000000" w:rsidP="00000000" w:rsidRDefault="00000000" w:rsidRPr="00000000" w14:paraId="00000015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Free-tier quotas and the one-off Azure student credit suffice for demonstration scale.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wxj6z7h1g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Decisions</w:t>
      </w:r>
    </w:p>
    <w:p w:rsidR="00000000" w:rsidDel="00000000" w:rsidP="00000000" w:rsidRDefault="00000000" w:rsidRPr="00000000" w14:paraId="00000017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Hybrid agent architecture. </w:t>
      </w:r>
      <w:r w:rsidDel="00000000" w:rsidR="00000000" w:rsidRPr="00000000">
        <w:rPr>
          <w:rtl w:val="0"/>
        </w:rPr>
        <w:t xml:space="preserve">A single deliberative LLM Planner reasons over the goal while role-specialised reactive agents (Retriever, Processor, Critic, Archivist) act only when their input appears. Hybrid layering combines deliberative goal-direction with reactive robustness (Wooldridge, 2009) and keeps retrieval, processing, and critique as separate failure surfaces, so an irrelevant source is never confused with an unsupported claim (Guo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</w:t>
      </w:r>
    </w:p>
    <w:p w:rsidR="00000000" w:rsidDel="00000000" w:rsidP="00000000" w:rsidRDefault="00000000" w:rsidRPr="00000000" w14:paraId="00000018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Blackboard coordination. </w:t>
      </w:r>
      <w:r w:rsidDel="00000000" w:rsidR="00000000" w:rsidRPr="00000000">
        <w:rPr>
          <w:rtl w:val="0"/>
        </w:rPr>
        <w:t xml:space="preserve">Agents never invoke one another; they read and write shared state (Figures 2 and 3). The blackboard model offers decoupled, opportunistic control among heterogeneous knowledge sources (Hayes-Roth, 1985) and has recently outperformed centralised orchestration for LLM agents in information discovery (Salemi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Implementing it in SQLite3 makes every intermediate artefact persistent and inspectable.</w:t>
      </w:r>
    </w:p>
    <w:p w:rsidR="00000000" w:rsidDel="00000000" w:rsidP="00000000" w:rsidRDefault="00000000" w:rsidRPr="00000000" w14:paraId="00000019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ReAct planning with Reflexion-style re-planning. </w:t>
      </w:r>
      <w:r w:rsidDel="00000000" w:rsidR="00000000" w:rsidRPr="00000000">
        <w:rPr>
          <w:rtl w:val="0"/>
        </w:rPr>
        <w:t xml:space="preserve">The Planner interleaves Thought, Action, and Observation (Yao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2023). A rejected summary produces a written Feedback record that the Planner reads before its next thought, then narrows the query, seeks another source, or abandons the claim, mirroring verbal self-reflection (Shinn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2023).</w:t>
      </w:r>
    </w:p>
    <w:p w:rsidR="00000000" w:rsidDel="00000000" w:rsidP="00000000" w:rsidRDefault="00000000" w:rsidRPr="00000000" w14:paraId="0000001A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Independent verification. </w:t>
      </w:r>
      <w:r w:rsidDel="00000000" w:rsidR="00000000" w:rsidRPr="00000000">
        <w:rPr>
          <w:rtl w:val="0"/>
        </w:rPr>
        <w:t xml:space="preserve">The Critic, a separate model, tests whether each claim is entailed by its cited source, following the LLM-Modulo argument that LLM plans need an external verifier (Kambhampati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 and grounding outputs in retrieved text (Lewis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2020).</w:t>
      </w:r>
    </w:p>
    <w:p w:rsidR="00000000" w:rsidDel="00000000" w:rsidP="00000000" w:rsidRDefault="00000000" w:rsidRPr="00000000" w14:paraId="0000001B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Benchmark-driven model selection. </w:t>
      </w:r>
      <w:r w:rsidDel="00000000" w:rsidR="00000000" w:rsidRPr="00000000">
        <w:rPr>
          <w:rtl w:val="0"/>
        </w:rPr>
        <w:t xml:space="preserve">GPT-5-mini serves the Planner and Processor: it scores 55.46% on BFCL V4, and Azure's $100 student credit funds well over a hundred runs at Global Standard prices (BFCL, 2026; Microsoft, 2026), with GPT-5-nano as fallback. Llama-3.3-70B-Instruct (Dubey et al., 2024) serves as the Critic: it outscores gpt-4o-mini on LLM-AggreFact (Tang, Laban and Durrett, 2024), is not deprecated in Azure, and, being open-weight, can run locally via Ollama for reproducibility.</w:t>
      </w:r>
    </w:p>
    <w:p w:rsidR="00000000" w:rsidDel="00000000" w:rsidP="00000000" w:rsidRDefault="00000000" w:rsidRPr="00000000" w14:paraId="0000001C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Plain-Python orchestration. </w:t>
      </w:r>
      <w:r w:rsidDel="00000000" w:rsidR="00000000" w:rsidRPr="00000000">
        <w:rPr>
          <w:rtl w:val="0"/>
        </w:rPr>
        <w:t xml:space="preserve">LangChain and LangGraph were rejected because their abstractions obscure the ReAct loop under assessment and add dependency churn.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1.</w:t>
      </w:r>
      <w:r w:rsidDel="00000000" w:rsidR="00000000" w:rsidRPr="00000000">
        <w:rPr>
          <w:sz w:val="20"/>
          <w:szCs w:val="20"/>
          <w:rtl w:val="0"/>
        </w:rPr>
        <w:t xml:space="preserve"> Architectural view: five role-specialised agents coordinating through the shared blackboard.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qowy5crs9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Development Approach</w:t>
      </w:r>
    </w:p>
    <w:p w:rsidR="00000000" w:rsidDel="00000000" w:rsidP="00000000" w:rsidRDefault="00000000" w:rsidRPr="00000000" w14:paraId="00000020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Scrum with weekly sprints </w:t>
      </w:r>
      <w:r w:rsidDel="00000000" w:rsidR="00000000" w:rsidRPr="00000000">
        <w:rPr>
          <w:rtl w:val="0"/>
        </w:rPr>
        <w:t xml:space="preserve">(Schwaber and Sutherland, 2020). LLM behaviour is empirically uncertain, so requirements emerge through experimentation; plan-driven methods presuppose stable, specifiable requirements (Sommerville, 2016). Sprint reviews double as prompt-evaluation checkpoints.</w:t>
      </w:r>
    </w:p>
    <w:p w:rsidR="00000000" w:rsidDel="00000000" w:rsidP="00000000" w:rsidRDefault="00000000" w:rsidRPr="00000000" w14:paraId="00000021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Role-based agent-oriented analysis. </w:t>
      </w:r>
      <w:r w:rsidDel="00000000" w:rsidR="00000000" w:rsidRPr="00000000">
        <w:rPr>
          <w:rtl w:val="0"/>
        </w:rPr>
        <w:t xml:space="preserve">Following the Gaia methodology, each agent is specified as a role with responsibilities, permissions (blackboard read and write rights), and protocols (Wooldridge, Jennings and Kinny, 2000); the five roles map onto per-member work packages, supporting virtual teamwork.</w:t>
      </w:r>
    </w:p>
    <w:p w:rsidR="00000000" w:rsidDel="00000000" w:rsidP="00000000" w:rsidRDefault="00000000" w:rsidRPr="00000000" w14:paraId="00000022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Testing by agent type. </w:t>
      </w:r>
      <w:r w:rsidDel="00000000" w:rsidR="00000000" w:rsidRPr="00000000">
        <w:rPr>
          <w:rtl w:val="0"/>
        </w:rPr>
        <w:t xml:space="preserve">Deterministic agents (Retriever, Archivist) receive pytest unit tests; the Critic is unit-tested against bespoke-minicheck:7b; the Planner and Processor use an evaluation harness of fixed research questions with known relevant sources, measuring source recall and Critic pass rate.</w:t>
      </w:r>
    </w:p>
    <w:p w:rsidR="00000000" w:rsidDel="00000000" w:rsidP="00000000" w:rsidRDefault="00000000" w:rsidRPr="00000000" w14:paraId="00000023">
      <w:pPr>
        <w:spacing w:after="6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</w:rPr>
        <w:drawing>
          <wp:inline distB="114300" distT="114300" distL="114300" distR="114300">
            <wp:extent cx="59436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2.</w:t>
      </w:r>
      <w:r w:rsidDel="00000000" w:rsidR="00000000" w:rsidRPr="00000000">
        <w:rPr>
          <w:sz w:val="20"/>
          <w:szCs w:val="20"/>
          <w:rtl w:val="0"/>
        </w:rPr>
        <w:t xml:space="preserve"> Activity view: end-to-end flow by agent, with the Critic-rejection re-planning loop dashed.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</w:rPr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3.</w:t>
      </w:r>
      <w:r w:rsidDel="00000000" w:rsidR="00000000" w:rsidRPr="00000000">
        <w:rPr>
          <w:sz w:val="20"/>
          <w:szCs w:val="20"/>
          <w:rtl w:val="0"/>
        </w:rPr>
        <w:t xml:space="preserve"> Sequence view: agents interacting through the blackboard; only the Archivist writes to disk.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89sk49nxc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Anticipated Challenges</w:t>
      </w:r>
    </w:p>
    <w:p w:rsidR="00000000" w:rsidDel="00000000" w:rsidP="00000000" w:rsidRDefault="00000000" w:rsidRPr="00000000" w14:paraId="0000002A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Task decomposition. </w:t>
      </w:r>
      <w:r w:rsidDel="00000000" w:rsidR="00000000" w:rsidRPr="00000000">
        <w:rPr>
          <w:rtl w:val="0"/>
        </w:rPr>
        <w:t xml:space="preserve">LLM planners over- or under-decompose goals (Huang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 Mitigation: JSON-schema-constrained subtasks, one subtask issued per ReAct step, and a coverage threshold that terminates the loop, keeping plan validity under external control (Kambhampati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2024).</w:t>
      </w:r>
    </w:p>
    <w:p w:rsidR="00000000" w:rsidDel="00000000" w:rsidP="00000000" w:rsidRDefault="00000000" w:rsidRPr="00000000" w14:paraId="0000002B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Unreliable or noisy online data. </w:t>
      </w:r>
      <w:r w:rsidDel="00000000" w:rsidR="00000000" w:rsidRPr="00000000">
        <w:rPr>
          <w:rtl w:val="0"/>
        </w:rPr>
        <w:t xml:space="preserve">Irrelevant context degrades LLM reasoning (Shi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2023). Mitigation: DOI deduplication, embedding-based relevance ranking (Reimers and Gurevych, 2019), and provenance captured at fetch time (Priem, Piwowar and Orr, 2022).</w:t>
      </w:r>
    </w:p>
    <w:p w:rsidR="00000000" w:rsidDel="00000000" w:rsidP="00000000" w:rsidRDefault="00000000" w:rsidRPr="00000000" w14:paraId="0000002C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Hallucinated claims. </w:t>
      </w:r>
      <w:r w:rsidDel="00000000" w:rsidR="00000000" w:rsidRPr="00000000">
        <w:rPr>
          <w:rtl w:val="0"/>
        </w:rPr>
        <w:t xml:space="preserve">Summaries may assert content absent from the source (Ji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2023). Mitigation: claim-level entailment checking by the Critic (Tang, Laban and Durrett, 2024); unsupported summaries never reach the report.</w:t>
      </w:r>
    </w:p>
    <w:p w:rsidR="00000000" w:rsidDel="00000000" w:rsidP="00000000" w:rsidRDefault="00000000" w:rsidRPr="00000000" w14:paraId="0000002D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Explainability of LLM decisions. </w:t>
      </w:r>
      <w:r w:rsidDel="00000000" w:rsidR="00000000" w:rsidRPr="00000000">
        <w:rPr>
          <w:rtl w:val="0"/>
        </w:rPr>
        <w:t xml:space="preserve">Mitigation: every Thought, Verdict, and Feedback is persisted to the blackboard and exported as a trace, making the reasoning chain auditable in the manner of chain-of-thought (Wei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2022).</w:t>
      </w:r>
    </w:p>
    <w:p w:rsidR="00000000" w:rsidDel="00000000" w:rsidP="00000000" w:rsidRDefault="00000000" w:rsidRPr="00000000" w14:paraId="0000002E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Agent cooperation and single point of failure. </w:t>
      </w:r>
      <w:r w:rsidDel="00000000" w:rsidR="00000000" w:rsidRPr="00000000">
        <w:rPr>
          <w:rtl w:val="0"/>
        </w:rPr>
        <w:t xml:space="preserve">The blackboard decouples agents but concentrates risk (Salemi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Mitigation: SQLite transactions for atomic claims and the step budget to prevent runaway loops.</w:t>
      </w:r>
    </w:p>
    <w:p w:rsidR="00000000" w:rsidDel="00000000" w:rsidP="00000000" w:rsidRDefault="00000000" w:rsidRPr="00000000" w14:paraId="0000002F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Cost and rate limits. </w:t>
      </w:r>
      <w:r w:rsidDel="00000000" w:rsidR="00000000" w:rsidRPr="00000000">
        <w:rPr>
          <w:rtl w:val="0"/>
        </w:rPr>
        <w:t xml:space="preserve">Azure credit is non-renewable, and arXiv permits one request every three seconds. Mitigation: the 20-step budget, source caching, and an early sprint measuring real per-run cost, since benchmark costs cannot simply be summed.</w:t>
      </w:r>
    </w:p>
    <w:p w:rsidR="00000000" w:rsidDel="00000000" w:rsidP="00000000" w:rsidRDefault="00000000" w:rsidRPr="00000000" w14:paraId="00000030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Non-deterministic behaviour. </w:t>
      </w:r>
      <w:r w:rsidDel="00000000" w:rsidR="00000000" w:rsidRPr="00000000">
        <w:rPr>
          <w:rtl w:val="0"/>
        </w:rPr>
        <w:t xml:space="preserve">Mitigation: the evaluation harness in Section 4 and low-temperature sampling.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2bxgm9s5c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Tools, Libraries, Models and Environments</w:t>
      </w:r>
    </w:p>
    <w:p w:rsidR="00000000" w:rsidDel="00000000" w:rsidP="00000000" w:rsidRDefault="00000000" w:rsidRPr="00000000" w14:paraId="00000032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Language and environment: </w:t>
      </w:r>
      <w:r w:rsidDel="00000000" w:rsidR="00000000" w:rsidRPr="00000000">
        <w:rPr>
          <w:rtl w:val="0"/>
        </w:rPr>
        <w:t xml:space="preserve">Python 3.11; uv for virtual environments and dependencies; VS Code; Git and GitHub for source control and code review.</w:t>
      </w:r>
    </w:p>
    <w:p w:rsidR="00000000" w:rsidDel="00000000" w:rsidP="00000000" w:rsidRDefault="00000000" w:rsidRPr="00000000" w14:paraId="00000033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GPT-5-mini (Planner, Processor; fallback GPT-5-nano) and Llama-3.3-70B-Instruct (Critic) on Azure for Students; bespoke-minicheck:7b via Ollama for testing; sentence-transformers for embeddings.</w:t>
      </w:r>
    </w:p>
    <w:p w:rsidR="00000000" w:rsidDel="00000000" w:rsidP="00000000" w:rsidRDefault="00000000" w:rsidRPr="00000000" w14:paraId="00000034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Data sources: </w:t>
      </w:r>
      <w:r w:rsidDel="00000000" w:rsidR="00000000" w:rsidRPr="00000000">
        <w:rPr>
          <w:rtl w:val="0"/>
        </w:rPr>
        <w:t xml:space="preserve">arXiv API, OpenAlex API, and Crossref REST API.</w:t>
      </w:r>
    </w:p>
    <w:p w:rsidR="00000000" w:rsidDel="00000000" w:rsidP="00000000" w:rsidRDefault="00000000" w:rsidRPr="00000000" w14:paraId="00000035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Storage: </w:t>
      </w:r>
      <w:r w:rsidDel="00000000" w:rsidR="00000000" w:rsidRPr="00000000">
        <w:rPr>
          <w:rtl w:val="0"/>
        </w:rPr>
        <w:t xml:space="preserve">sqlite3 (blackboard, metadata) and sqlite-vec (vector index).</w:t>
      </w:r>
    </w:p>
    <w:p w:rsidR="00000000" w:rsidDel="00000000" w:rsidP="00000000" w:rsidRDefault="00000000" w:rsidRPr="00000000" w14:paraId="00000036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Testing: </w:t>
      </w:r>
      <w:r w:rsidDel="00000000" w:rsidR="00000000" w:rsidRPr="00000000">
        <w:rPr>
          <w:rtl w:val="0"/>
        </w:rPr>
        <w:t xml:space="preserve">pytest and a bespoke evaluation harness.</w:t>
      </w:r>
    </w:p>
    <w:p w:rsidR="00000000" w:rsidDel="00000000" w:rsidP="00000000" w:rsidRDefault="00000000" w:rsidRPr="00000000" w14:paraId="00000037">
      <w:pPr>
        <w:spacing w:after="80" w:lineRule="auto"/>
        <w:ind w:left="1060" w:hanging="2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Hosting: </w:t>
      </w:r>
      <w:r w:rsidDel="00000000" w:rsidR="00000000" w:rsidRPr="00000000">
        <w:rPr>
          <w:rtl w:val="0"/>
        </w:rPr>
        <w:t xml:space="preserve">Azure for Students ($100 credit) was selected over Hugging Face inference credits ($0.10 per month, too small for repeated evaluation) and Ollama (hardware the team cannot guarantee).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17mj62d0n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ScholarPlan combines a deliberative ReAct planner, reactive specialists, and blackboard coordination to meet the three success criteria within free-tier constraints: retrieval by the Retriever, processing by the Processor and Critic, storage by the Archivist. Its principal risks (decomposition quality, noisy data and cost) are addressed through schema-constrained planning, independent verification and a bounded step budget.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0q9j59wxq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50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Dubey, A.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(2024) ‘The Llama 3 herd of models’,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arXiv:2407.21783. Available at: https://arxiv.org/abs/2407.21783 (Accessed: 2 September 2026).</w:t>
      </w:r>
    </w:p>
    <w:p w:rsidR="00000000" w:rsidDel="00000000" w:rsidP="00000000" w:rsidRDefault="00000000" w:rsidRPr="00000000" w14:paraId="00000051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Guo, T., Chen, X., Wang, Y., Chang, R., Pei, S., Chawla, N.V., Wiest, O. and Zhang, X. (2024) ‘Large language model based multi-agents: A survey of progress and challenges’, in </w:t>
      </w:r>
      <w:r w:rsidDel="00000000" w:rsidR="00000000" w:rsidRPr="00000000">
        <w:rPr>
          <w:i w:val="1"/>
          <w:iCs w:val="1"/>
          <w:rtl w:val="0"/>
        </w:rPr>
        <w:t xml:space="preserve">Proceedings of the Thirty-Third International Joint Conference on Artificial Intelligence (IJCAI-24)</w:t>
      </w:r>
      <w:r w:rsidDel="00000000" w:rsidR="00000000" w:rsidRPr="00000000">
        <w:rPr>
          <w:rtl w:val="0"/>
        </w:rPr>
        <w:t xml:space="preserve">. Jeju: IJCAI, pp. 8048–8057. Available at: https://doi.org/10.24963/ijcai.2024/890 (Accessed: 2 September 2026).</w:t>
      </w:r>
    </w:p>
    <w:p w:rsidR="00000000" w:rsidDel="00000000" w:rsidP="00000000" w:rsidRDefault="00000000" w:rsidRPr="00000000" w14:paraId="00000052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Hayes-Roth, B. (1985) ‘A blackboard architecture for control’, </w:t>
      </w:r>
      <w:r w:rsidDel="00000000" w:rsidR="00000000" w:rsidRPr="00000000">
        <w:rPr>
          <w:i w:val="1"/>
          <w:i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, 26(3), pp. 251–321. Available at: https://doi.org/10.1016/0004-3702(85)90063-3 (Accessed: 2 September 2026).</w:t>
      </w:r>
    </w:p>
    <w:p w:rsidR="00000000" w:rsidDel="00000000" w:rsidP="00000000" w:rsidRDefault="00000000" w:rsidRPr="00000000" w14:paraId="00000053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Huang, X., Liu, W., Chen, X., Wang, X., Wang, H., Lian, D., Wang, Y., Tang, R. and Chen, E. (2024) ‘Understanding the planning of LLM agents: A survey’,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arXiv:2402.02716. Available at: https://arxiv.org/abs/2402.02716 (Accessed: 2 September 2026).</w:t>
      </w:r>
    </w:p>
    <w:p w:rsidR="00000000" w:rsidDel="00000000" w:rsidP="00000000" w:rsidRDefault="00000000" w:rsidRPr="00000000" w14:paraId="00000054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Ji, Z., Lee, N., Frieske, R., Yu, T., Su, D., Xu, Y., Ishii, E., Bang, Y.J., Madotto, A. and Fung, P. (2023) ‘Survey of hallucination in natural language generation’, </w:t>
      </w:r>
      <w:r w:rsidDel="00000000" w:rsidR="00000000" w:rsidRPr="00000000">
        <w:rPr>
          <w:i w:val="1"/>
          <w:iCs w:val="1"/>
          <w:rtl w:val="0"/>
        </w:rPr>
        <w:t xml:space="preserve">ACM Computing Surveys</w:t>
      </w:r>
      <w:r w:rsidDel="00000000" w:rsidR="00000000" w:rsidRPr="00000000">
        <w:rPr>
          <w:rtl w:val="0"/>
        </w:rPr>
        <w:t xml:space="preserve">, 55(12), Article 248, pp. 1–38. Available at: https://doi.org/10.1145/3571730 (Accessed: 2 September 2026).</w:t>
      </w:r>
    </w:p>
    <w:p w:rsidR="00000000" w:rsidDel="00000000" w:rsidP="00000000" w:rsidRDefault="00000000" w:rsidRPr="00000000" w14:paraId="00000055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Kambhampati, S., Valmeekam, K., Guan, L., Verma, M., Stechly, K., Bhambri, S., Saldyt, L. and Murthy, A. (2024) ‘Position: LLMs can’t plan, but can help planning in LLM-Modulo frameworks’, in </w:t>
      </w:r>
      <w:r w:rsidDel="00000000" w:rsidR="00000000" w:rsidRPr="00000000">
        <w:rPr>
          <w:i w:val="1"/>
          <w:iCs w:val="1"/>
          <w:rtl w:val="0"/>
        </w:rPr>
        <w:t xml:space="preserve">Proceedings of the 41st International Conference on Machine Learning (ICML 2024)</w:t>
      </w:r>
      <w:r w:rsidDel="00000000" w:rsidR="00000000" w:rsidRPr="00000000">
        <w:rPr>
          <w:rtl w:val="0"/>
        </w:rPr>
        <w:t xml:space="preserve">. Vienna: PMLR 235. Available at: https://arxiv.org/abs/2402.01817 (Accessed: 2 September 2026).</w:t>
      </w:r>
    </w:p>
    <w:p w:rsidR="00000000" w:rsidDel="00000000" w:rsidP="00000000" w:rsidRDefault="00000000" w:rsidRPr="00000000" w14:paraId="00000056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Lewis, P.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(2020) ‘Retrieval-augmented generation for knowledge-intensive NLP tasks’, in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 33 (NeurIPS 2020)</w:t>
      </w:r>
      <w:r w:rsidDel="00000000" w:rsidR="00000000" w:rsidRPr="00000000">
        <w:rPr>
          <w:rtl w:val="0"/>
        </w:rPr>
        <w:t xml:space="preserve">, pp. 9459–9474. Available at: https://arxiv.org/abs/2005.11401 (Accessed: 2 September 2026).</w:t>
      </w:r>
    </w:p>
    <w:p w:rsidR="00000000" w:rsidDel="00000000" w:rsidP="00000000" w:rsidRDefault="00000000" w:rsidRPr="00000000" w14:paraId="00000057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Patil, S.G., Zhang, T., Wang, X. and Gonzalez, J.E. (2023) ‘Gorilla: Large language model connected with massive APIs’,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arXiv:2305.15334. Available at: https://arxiv.org/abs/2305.15334 (Accessed: 2 September 2026).</w:t>
      </w:r>
    </w:p>
    <w:p w:rsidR="00000000" w:rsidDel="00000000" w:rsidP="00000000" w:rsidRDefault="00000000" w:rsidRPr="00000000" w14:paraId="00000058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Priem, J., Piwowar, H. and Orr, R. (2022) ‘OpenAlex: A fully-open index of scholarly works, authors, venues, institutions, and concepts’,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arXiv:2205.01833. Available at: https://arxiv.org/abs/2205.01833 (Accessed: 2 September 2026).</w:t>
      </w:r>
    </w:p>
    <w:p w:rsidR="00000000" w:rsidDel="00000000" w:rsidP="00000000" w:rsidRDefault="00000000" w:rsidRPr="00000000" w14:paraId="00000059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Reimers, N. and Gurevych, I. (2019) ‘Sentence-BERT: Sentence embeddings using Siamese BERT-networks’, in </w:t>
      </w:r>
      <w:r w:rsidDel="00000000" w:rsidR="00000000" w:rsidRPr="00000000">
        <w:rPr>
          <w:i w:val="1"/>
          <w:iCs w:val="1"/>
          <w:rtl w:val="0"/>
        </w:rPr>
        <w:t xml:space="preserve">Proceedings of the 2019 Conference on Empirical Methods in Natural Language Processing and the 9th International Joint Conference on Natural Language Processing (EMNLP-IJCNLP)</w:t>
      </w:r>
      <w:r w:rsidDel="00000000" w:rsidR="00000000" w:rsidRPr="00000000">
        <w:rPr>
          <w:rtl w:val="0"/>
        </w:rPr>
        <w:t xml:space="preserve">. Hong Kong: Association for Computational Linguistics, pp. 3982–3992.</w:t>
      </w:r>
    </w:p>
    <w:p w:rsidR="00000000" w:rsidDel="00000000" w:rsidP="00000000" w:rsidRDefault="00000000" w:rsidRPr="00000000" w14:paraId="0000005A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Salemi, A., Parmar, M., Goyal, P., Song, Y., Yoon, J., Zamani, H., Palangi, H. and Pfister, T. (2025) ‘LLM-based multi-agent blackboard system for information discovery in data science’,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arXiv:2510.01285. Available at: https://arxiv.org/abs/2510.01285 (Accessed: 2 September 2026).</w:t>
      </w:r>
    </w:p>
    <w:p w:rsidR="00000000" w:rsidDel="00000000" w:rsidP="00000000" w:rsidRDefault="00000000" w:rsidRPr="00000000" w14:paraId="0000005B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Schwaber, K. and Sutherland, J. (2020) </w:t>
      </w:r>
      <w:r w:rsidDel="00000000" w:rsidR="00000000" w:rsidRPr="00000000">
        <w:rPr>
          <w:i w:val="1"/>
          <w:iCs w:val="1"/>
          <w:rtl w:val="0"/>
        </w:rPr>
        <w:t xml:space="preserve">The Scrum Guide</w:t>
      </w:r>
      <w:r w:rsidDel="00000000" w:rsidR="00000000" w:rsidRPr="00000000">
        <w:rPr>
          <w:rtl w:val="0"/>
        </w:rPr>
        <w:t xml:space="preserve">. Available at: https://scrumguides.org (Accessed: 2 September 2026).</w:t>
      </w:r>
    </w:p>
    <w:p w:rsidR="00000000" w:rsidDel="00000000" w:rsidP="00000000" w:rsidRDefault="00000000" w:rsidRPr="00000000" w14:paraId="0000005C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Shi, F., Chen, X., Misra, K., Scales, N., Dohan, D., Chi, E.H., Schärli, N. and Zhou, D. (2023) ‘Large language models can be easily distracted by irrelevant context’, in </w:t>
      </w:r>
      <w:r w:rsidDel="00000000" w:rsidR="00000000" w:rsidRPr="00000000">
        <w:rPr>
          <w:i w:val="1"/>
          <w:iCs w:val="1"/>
          <w:rtl w:val="0"/>
        </w:rPr>
        <w:t xml:space="preserve">Proceedings of the 40th International Conference on Machine Learning (ICML 2023)</w:t>
      </w:r>
      <w:r w:rsidDel="00000000" w:rsidR="00000000" w:rsidRPr="00000000">
        <w:rPr>
          <w:rtl w:val="0"/>
        </w:rPr>
        <w:t xml:space="preserve">. Honolulu: PMLR 202, pp. 31210–31227.</w:t>
      </w:r>
    </w:p>
    <w:p w:rsidR="00000000" w:rsidDel="00000000" w:rsidP="00000000" w:rsidRDefault="00000000" w:rsidRPr="00000000" w14:paraId="0000005D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Shinn, N., Cassano, F., Gopinath, A., Narasimhan, K. and Yao, S. (2023) ‘Reflexion: Language agents with verbal reinforcement learning’, in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 36 (NeurIPS 2023)</w:t>
      </w:r>
      <w:r w:rsidDel="00000000" w:rsidR="00000000" w:rsidRPr="00000000">
        <w:rPr>
          <w:rtl w:val="0"/>
        </w:rPr>
        <w:t xml:space="preserve">. Available at: https://arxiv.org/abs/2303.11366 (Accessed: 2 September 2026).</w:t>
      </w:r>
    </w:p>
    <w:p w:rsidR="00000000" w:rsidDel="00000000" w:rsidP="00000000" w:rsidRDefault="00000000" w:rsidRPr="00000000" w14:paraId="0000005E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Sommerville, I. (2016) </w:t>
      </w:r>
      <w:r w:rsidDel="00000000" w:rsidR="00000000" w:rsidRPr="00000000">
        <w:rPr>
          <w:i w:val="1"/>
          <w:i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. 10th edn. Harlow: Pearson.</w:t>
      </w:r>
    </w:p>
    <w:p w:rsidR="00000000" w:rsidDel="00000000" w:rsidP="00000000" w:rsidRDefault="00000000" w:rsidRPr="00000000" w14:paraId="0000005F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Tang, L., Laban, P. and Durrett, G. (2024) ‘MiniCheck: Efficient fact-checking of LLMs on grounding documents’, in </w:t>
      </w:r>
      <w:r w:rsidDel="00000000" w:rsidR="00000000" w:rsidRPr="00000000">
        <w:rPr>
          <w:i w:val="1"/>
          <w:iCs w:val="1"/>
          <w:rtl w:val="0"/>
        </w:rPr>
        <w:t xml:space="preserve">Proceedings of the 2024 Conference on Empirical Methods in Natural Language Processing (EMNLP 2024)</w:t>
      </w:r>
      <w:r w:rsidDel="00000000" w:rsidR="00000000" w:rsidRPr="00000000">
        <w:rPr>
          <w:rtl w:val="0"/>
        </w:rPr>
        <w:t xml:space="preserve">. Miami: Association for Computational Linguistics. Available at: https://doi.org/10.18653/v1/2024.emnlp-main.499 (Accessed: 2 September 2026).</w:t>
      </w:r>
    </w:p>
    <w:p w:rsidR="00000000" w:rsidDel="00000000" w:rsidP="00000000" w:rsidRDefault="00000000" w:rsidRPr="00000000" w14:paraId="00000060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Wei, J., Wang, X., Schuurmans, D., Bosma, M., Ichter, B., Xia, F., Chi, E., Le, Q.V. and Zhou, D. (2022) ‘Chain-of-thought prompting elicits reasoning in large language models’, in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 35 (NeurIPS 2022)</w:t>
      </w:r>
      <w:r w:rsidDel="00000000" w:rsidR="00000000" w:rsidRPr="00000000">
        <w:rPr>
          <w:rtl w:val="0"/>
        </w:rPr>
        <w:t xml:space="preserve">, pp. 24824–24837. Available at: https://arxiv.org/abs/2201.11903 (Accessed: 2 September 2026).</w:t>
      </w:r>
    </w:p>
    <w:p w:rsidR="00000000" w:rsidDel="00000000" w:rsidP="00000000" w:rsidRDefault="00000000" w:rsidRPr="00000000" w14:paraId="00000061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Wooldridge, M. (2009) </w:t>
      </w:r>
      <w:r w:rsidDel="00000000" w:rsidR="00000000" w:rsidRPr="00000000">
        <w:rPr>
          <w:i w:val="1"/>
          <w:iCs w:val="1"/>
          <w:rtl w:val="0"/>
        </w:rPr>
        <w:t xml:space="preserve">An Introduction to MultiAgent Systems</w:t>
      </w:r>
      <w:r w:rsidDel="00000000" w:rsidR="00000000" w:rsidRPr="00000000">
        <w:rPr>
          <w:rtl w:val="0"/>
        </w:rPr>
        <w:t xml:space="preserve">. 2nd edn. Chichester: John Wiley &amp; Sons.</w:t>
      </w:r>
    </w:p>
    <w:p w:rsidR="00000000" w:rsidDel="00000000" w:rsidP="00000000" w:rsidRDefault="00000000" w:rsidRPr="00000000" w14:paraId="00000062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Wooldridge, M., Jennings, N.R. and Kinny, D. (2000) ‘The Gaia methodology for agent-oriented analysis and design’, </w:t>
      </w:r>
      <w:r w:rsidDel="00000000" w:rsidR="00000000" w:rsidRPr="00000000">
        <w:rPr>
          <w:i w:val="1"/>
          <w:iCs w:val="1"/>
          <w:rtl w:val="0"/>
        </w:rPr>
        <w:t xml:space="preserve">Autonomous Agents and Multi-Agent Systems</w:t>
      </w:r>
      <w:r w:rsidDel="00000000" w:rsidR="00000000" w:rsidRPr="00000000">
        <w:rPr>
          <w:rtl w:val="0"/>
        </w:rPr>
        <w:t xml:space="preserve">, 3(3), pp. 285–312. Available at: https://doi.org/10.1023/A:1010071910869 (Accessed: 2 September 2026).</w:t>
      </w:r>
    </w:p>
    <w:p w:rsidR="00000000" w:rsidDel="00000000" w:rsidP="00000000" w:rsidRDefault="00000000" w:rsidRPr="00000000" w14:paraId="00000063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Yao, S., Zhao, J., Yu, D., Du, N., Shafran, I., Narasimhan, K. and Cao, Y. (2023) ‘ReAct: Synergizing reasoning and acting in language models’, in </w:t>
      </w:r>
      <w:r w:rsidDel="00000000" w:rsidR="00000000" w:rsidRPr="00000000">
        <w:rPr>
          <w:i w:val="1"/>
          <w:iCs w:val="1"/>
          <w:rtl w:val="0"/>
        </w:rPr>
        <w:t xml:space="preserve">Proceedings of the Eleventh International Conference on Learning Representations (ICLR 2023)</w:t>
      </w:r>
      <w:r w:rsidDel="00000000" w:rsidR="00000000" w:rsidRPr="00000000">
        <w:rPr>
          <w:rtl w:val="0"/>
        </w:rPr>
        <w:t xml:space="preserve">. Available at: https://arxiv.org/abs/2210.03629 (Accessed: 2 September 2026).</w:t>
      </w:r>
    </w:p>
    <w:p w:rsidR="00000000" w:rsidDel="00000000" w:rsidP="00000000" w:rsidRDefault="00000000" w:rsidRPr="00000000" w14:paraId="00000064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Berkeley Function-Calling Leaderboard (2026) Berkeley Function-Calling Leaderboard V4. Berkeley, CA: UC Berkeley Sky Computing Lab. Available at: https://gorilla.cs.berkeley.edu/leaderboard.html (Accessed: 16 Aug 2026).</w:t>
      </w:r>
    </w:p>
    <w:p w:rsidR="00000000" w:rsidDel="00000000" w:rsidP="00000000" w:rsidRDefault="00000000" w:rsidRPr="00000000" w14:paraId="00000065">
      <w:pPr>
        <w:spacing w:after="120" w:lineRule="auto"/>
        <w:ind w:left="2160" w:hanging="720"/>
        <w:rPr/>
      </w:pPr>
      <w:r w:rsidDel="00000000" w:rsidR="00000000" w:rsidRPr="00000000">
        <w:rPr>
          <w:rtl w:val="0"/>
        </w:rPr>
        <w:t xml:space="preserve">Microsoft (2026) Azure Retail Prices API. Available at: https://learn.microsoft.com/en-us/rest/api/cost-management/retail-prices/azure-retail-prices (Accessed: 16 August 2026).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