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t>COMMERCIAL PROPOSAL FOR TEST NPCL CLIENT</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rPr>
            </w:pPr>
            <w:r w:rsidRPr="00EC378B">
              <w:rPr>
                <w:rFonts w:asciiTheme="minorHAnsi" w:hAnsiTheme="minorHAnsi"/>
                <w:b/>
                <w:bCs/>
                <w:sz w:val="22"/>
                <w:szCs w:val="22"/>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rPr>
            </w:pPr>
            <w:r w:rsidRPr="00EC378B">
              <w:rPr>
                <w:rFonts w:asciiTheme="minorHAnsi" w:hAnsiTheme="minorHAnsi"/>
                <w:b/>
                <w:bCs/>
                <w:sz w:val="22"/>
                <w:szCs w:val="22"/>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rPr>
            </w:pPr>
            <w:r w:rsidRPr="00EC378B">
              <w:rPr>
                <w:rFonts w:asciiTheme="minorHAnsi" w:hAnsiTheme="minorHAnsi"/>
                <w:b/>
                <w:bCs/>
                <w:sz w:val="22"/>
                <w:szCs w:val="22"/>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rPr>
            </w:pPr>
            <w:r w:rsidRPr="00EC378B">
              <w:rPr>
                <w:rFonts w:asciiTheme="minorHAnsi" w:hAnsiTheme="minorHAnsi"/>
                <w:b/>
                <w:bCs/>
                <w:sz w:val="22"/>
                <w:szCs w:val="22"/>
              </w:rPr>
              <w:t>Feeder Type</w:t>
            </w:r>
          </w:p>
        </w:tc>
      </w:tr>
      <w:tr w:rsidR="00EA22CC" w14:paraId="518BF9BC" w14:textId="77777777" w:rsidTr="00193B76">
        <w:tc>
          <w:tcPr>
            <w:tcW w:w="2534" w:type="dxa"/>
          </w:tcPr>
          <w:p>
            <w:pPr>
              <w:jc w:val="center"/>
            </w:pPr>
            <w:r/>
            <w:r>
              <w:rPr>
                <w:b/>
              </w:rPr>
              <w:t>1000 kW</w:t>
            </w:r>
          </w:p>
        </w:tc>
        <w:tc>
          <w:tcPr>
            <w:tcW w:w="2140" w:type="dxa"/>
          </w:tcPr>
          <w:p>
            <w:pPr>
              <w:jc w:val="center"/>
            </w:pPr>
            <w:r/>
            <w:r>
              <w:rPr>
                <w:b/>
              </w:rPr>
              <w:t>33 kV</w:t>
            </w:r>
          </w:p>
        </w:tc>
        <w:tc>
          <w:tcPr>
            <w:tcW w:w="2434" w:type="dxa"/>
          </w:tcPr>
          <w:p>
            <w:pPr>
              <w:jc w:val="center"/>
            </w:pPr>
            <w:r/>
            <w:r>
              <w:rPr>
                <w:b/>
              </w:rPr>
              <w:t>NPCL</w:t>
            </w:r>
          </w:p>
        </w:tc>
        <w:tc>
          <w:tcPr>
            <w:tcW w:w="2380" w:type="dxa"/>
          </w:tcPr>
          <w:p>
            <w:pPr>
              <w:jc w:val="center"/>
            </w:pPr>
            <w:r/>
            <w:r>
              <w:rPr>
                <w:b/>
              </w:rPr>
              <w:t>Independent</w:t>
            </w: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₹8,45,000.00</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₹3,58,000.00</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pPr>
              <w:jc w:val="center"/>
            </w:pPr>
            <w:r/>
            <w:r>
              <w:t>₹3,95,000.00</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pPr>
              <w:jc w:val="center"/>
            </w:pPr>
            <w:r/>
            <w:r>
              <w:rPr>
                <w:b/>
              </w:rPr>
              <w:t>₹15,98,000.00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₹1,50,000.00</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₹1,00,000.00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₹20,000.00</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2p/kWh</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2p/kWh</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15%</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pPr>
              <w:jc w:val="center"/>
            </w:pPr>
            <w:r/>
            <w:r>
              <w:t>₹1,70,000.00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rPr>
              <w:t>100% Advance against PO/PI</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