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  <w:highlight w:val="yellow"/>
        </w:rPr>
        <w:t>&lt;&lt;second_insight_month&gt;&gt;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>
        <w:t>&lt;&lt;%monthly_savings_chart&gt;&gt;</w:t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&lt;&lt;savings_in_words&gt;&gt;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>
        <w:rPr>
          <w:b/>
        </w:rPr>
        <w:t>&lt;&lt;months_count_word&gt;&gt; months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900"/>
        <w:gridCol w:w="1900"/>
        <w:gridCol w:w="1900"/>
        <w:gridCol w:w="1900"/>
      </w:tblGrid>
      <w:tr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Cleared Units@ Consumer bus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Consumption As per E-bill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Power Cost through Open Access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Discom Cost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&lt;&lt;cleared&gt;&gt;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&lt;&lt;consumption&gt;&gt;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&lt;&lt;oa_cost&gt;&gt;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&lt;&lt;discom_cost&gt;&gt;&lt;&lt;/monthlyData&gt;&gt;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Cleared vs Actual consumption %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(Discom Only)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(With Prolt)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Saving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Saving/Unit</w:t>
            </w:r>
          </w:p>
        </w:tc>
      </w:tr>
      <w:tr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&lt;&lt;cleared_pct&gt;&gt;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&lt;&lt;ppc_discom&gt;&gt;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&lt;&lt;ppc_prolt&gt;&gt;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&lt;&lt;saving_unit&gt;&gt;&lt;&lt;/monthlyData&gt;&gt;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  <w:highlight w:val="yellow"/>
        </w:rPr>
        <w:t>of &lt;&lt;first_insight_month&gt;&gt; and &lt;&lt;second_insight_month&gt;&gt;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&lt;&lt;first_insight_month&gt;&gt;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&lt;&lt;first_insight_reduction&gt;&gt;%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&lt;&lt;first_insight_saving&gt;&gt;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&lt;&lt;first_insight_month_only&gt;&gt;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&lt;&lt;first_insight_month_only&gt;&gt;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&lt;&lt;first_insight_month_only&gt;&gt;,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&lt;&lt;second_insight_month&gt;&gt;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&lt;&lt;second_insight_month&gt;&gt;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&lt;&lt;second_insight_month_only&gt;&gt;,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t>&lt;&lt;%dashboard_screenshot&gt;&gt;</w:t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