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rsidRPr="00FA5746">
        <w:rPr>
          <w:rFonts w:asciiTheme="minorHAnsi" w:hAnsiTheme="minorHAnsi"/>
          <w:noProof/>
          <w:sz w:val="32"/>
          <w:szCs w:val="32"/>
          <w:lang w:val="en-US"/>
        </w:rPr>
        <w:drawing>
          <wp:anchor distT="0" distB="0" distL="114300" distR="114300" simplePos="0" relativeHeight="251659264" behindDoc="0" locked="0" layoutInCell="1" allowOverlap="1" wp14:anchorId="6502AD1E" wp14:editId="0AE1DA8B">
            <wp:simplePos x="0" y="0"/>
            <wp:positionH relativeFrom="page">
              <wp:posOffset>7315</wp:posOffset>
            </wp:positionH>
            <wp:positionV relativeFrom="paragraph">
              <wp:posOffset>-457200</wp:posOffset>
            </wp:positionV>
            <wp:extent cx="7557161" cy="10757414"/>
            <wp:effectExtent l="0" t="0" r="5715" b="6350"/>
            <wp:wrapNone/>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60939" cy="10762792"/>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sz w:val="36"/>
          <w:szCs w:val="36"/>
        </w:rPr>
        <w:br w:type="page"/>
      </w:r>
      <w:r w:rsidR="00021D48" w:rsidRPr="0047007D">
        <w:rPr>
          <w:rFonts w:asciiTheme="minorHAnsi" w:hAnsiTheme="minorHAnsi"/>
          <w:b/>
          <w:bCs/>
          <w:sz w:val="28"/>
          <w:szCs w:val="28"/>
        </w:rPr>
        <w:lastRenderedPageBreak/>
        <w:t>COMMERCIAL PROPOSAL</w:t>
      </w:r>
      <w:r w:rsidR="00EA22CC" w:rsidRPr="0047007D">
        <w:rPr>
          <w:rFonts w:asciiTheme="minorHAnsi" w:hAnsiTheme="minorHAnsi"/>
          <w:b/>
          <w:bCs/>
          <w:sz w:val="28"/>
          <w:szCs w:val="28"/>
        </w:rPr>
        <w:t xml:space="preserve"> FOR </w:t>
      </w:r>
      <w:r w:rsidR="00EA22CC" w:rsidRPr="0047007D">
        <w:rPr>
          <w:rFonts w:asciiTheme="minorHAnsi" w:hAnsiTheme="minorHAnsi"/>
          <w:b/>
          <w:bCs/>
          <w:sz w:val="28"/>
          <w:szCs w:val="28"/>
          <w:highlight w:val="yellow"/>
        </w:rPr>
        <w:t>XXXXXXXXXXXXX</w:t>
      </w:r>
      <w:r w:rsidR="00CC4C8F" w:rsidRPr="0047007D">
        <w:rPr>
          <w:rFonts w:asciiTheme="minorHAnsi" w:hAnsiTheme="minorHAnsi"/>
          <w:noProof/>
          <w:sz w:val="20"/>
          <w:szCs w:val="20"/>
          <w14:ligatures w14:val="standardContextual"/>
        </w:rPr>
        <w:t xml:space="preserve">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rsidRPr="001C45B3">
        <w:rPr>
          <w:rFonts w:ascii="Aptos" w:hAnsi="Aptos"/>
          <w:sz w:val="22"/>
          <w:szCs w:val="22"/>
        </w:rPr>
        <w:t>To start your journey of getting cheaper electricity through sources other than your existing D</w:t>
      </w:r>
      <w:r w:rsidR="000A2D4F">
        <w:rPr>
          <w:rFonts w:ascii="Aptos" w:hAnsi="Aptos"/>
          <w:sz w:val="22"/>
          <w:szCs w:val="22"/>
        </w:rPr>
        <w:t>ISCOM</w:t>
      </w:r>
      <w:r w:rsidRPr="001C45B3">
        <w:rPr>
          <w:rFonts w:ascii="Aptos" w:hAnsi="Aptos"/>
          <w:sz w:val="22"/>
          <w:szCs w:val="22"/>
        </w:rPr>
        <w:t xml:space="preserve"> (Open Access), the customer has to apply for the same in UPSLDC (Prolt Energy will be doing the application on your behalf)</w:t>
      </w:r>
      <w:r w:rsidR="005D2D81" w:rsidRPr="001C45B3">
        <w:rPr>
          <w:rFonts w:ascii="Aptos" w:hAnsi="Aptos"/>
          <w:sz w:val="22"/>
          <w:szCs w:val="22"/>
        </w:rPr>
        <w:t xml:space="preserve">.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Feeder Type</w:t>
            </w:r>
          </w:p>
        </w:tc>
      </w:tr>
      <w:tr w:rsidR="00EA22CC" w:rsidRPr="001C45B3" w14:paraId="518BF9BC" w14:textId="77777777" w:rsidTr="00CC4C8F">
        <w:trPr>
          <w:trHeight w:val="397"/>
        </w:trPr>
        <w:tc>
          <w:tcPr>
            <w:tcW w:w="1335" w:type="pct"/>
            <w:vAlign w:val="center"/>
          </w:tcPr>
          <w:p w14:paraId="7D8E6757" w14:textId="3A926754"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1000 KVA</w:t>
            </w:r>
          </w:p>
        </w:tc>
        <w:tc>
          <w:tcPr>
            <w:tcW w:w="1128" w:type="pct"/>
            <w:vAlign w:val="center"/>
          </w:tcPr>
          <w:p w14:paraId="5B1F649F" w14:textId="5051F7C7"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11 KV</w:t>
            </w:r>
          </w:p>
        </w:tc>
        <w:tc>
          <w:tcPr>
            <w:tcW w:w="1283" w:type="pct"/>
            <w:vAlign w:val="center"/>
          </w:tcPr>
          <w:p w14:paraId="5E6416E1" w14:textId="0C9DAEBE"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PUVVNL</w:t>
            </w:r>
          </w:p>
        </w:tc>
        <w:tc>
          <w:tcPr>
            <w:tcW w:w="1254" w:type="pct"/>
            <w:vAlign w:val="center"/>
          </w:tcPr>
          <w:p w14:paraId="40CE9DE4" w14:textId="6D6617EB"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Dedicated</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rsidRPr="0047007D">
        <w:rPr>
          <w:rFonts w:ascii="Aptos" w:hAnsi="Aptos"/>
          <w:sz w:val="22"/>
          <w:szCs w:val="22"/>
        </w:rP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Liaisoning with the concerned Utility and UPSLDC</w:t>
      </w:r>
      <w:r w:rsidRPr="001C45B3">
        <w:rPr>
          <w:rFonts w:ascii="Aptos" w:hAnsi="Aptos"/>
          <w:sz w:val="22"/>
          <w:szCs w:val="22"/>
        </w:rPr>
        <w:t xml:space="preserve">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Daily Power Bidding and Transaction Management</w:t>
      </w:r>
      <w:r w:rsidRPr="001C45B3">
        <w:rPr>
          <w:rFonts w:ascii="Aptos" w:hAnsi="Aptos"/>
          <w:sz w:val="22"/>
          <w:szCs w:val="22"/>
        </w:rPr>
        <w:t xml:space="preserve">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Monthly Energy Bill Settlement and Reconciliation</w:t>
      </w:r>
      <w:r w:rsidRPr="001C45B3">
        <w:rPr>
          <w:rFonts w:ascii="Aptos" w:hAnsi="Aptos"/>
          <w:sz w:val="22"/>
          <w:szCs w:val="22"/>
        </w:rPr>
        <w:t>,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and Installation of Probus Smart Meter and Smart LED TV</w:t>
      </w:r>
      <w:r w:rsidRPr="001C45B3">
        <w:rPr>
          <w:rFonts w:ascii="Aptos" w:hAnsi="Aptos"/>
          <w:sz w:val="22"/>
          <w:szCs w:val="22"/>
        </w:rPr>
        <w:t>,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jc w:val="center"/>
              <w:rPr>
                <w:rFonts w:ascii="Aptos" w:hAnsi="Aptos" w:cs="Calibri"/>
                <w:b/>
                <w:bCs/>
                <w:color w:val="FFFFFF"/>
                <w:sz w:val="16"/>
                <w:szCs w:val="16"/>
                <w:lang w:eastAsia="en-IN"/>
              </w:rPr>
            </w:pPr>
            <w:r w:rsidRPr="00CC4C8F">
              <w:rPr>
                <w:rFonts w:ascii="Aptos" w:hAnsi="Aptos" w:cs="Calibri"/>
                <w:b/>
                <w:bCs/>
                <w:color w:val="FFFFFF"/>
                <w:sz w:val="20"/>
                <w:szCs w:val="20"/>
              </w:rPr>
              <w:t>Complete Project Management &amp; Liaisoning for Open Access Registration</w:t>
            </w:r>
          </w:p>
        </w:tc>
      </w:tr>
      <w:tr w:rsidR="00CC4C8F" w:rsidRPr="00CC4C8F" w14:paraId="20B4DCD5" w14:textId="77777777" w:rsidTr="006B6AC9">
        <w:trPr>
          <w:trHeight w:val="20"/>
        </w:trPr>
        <w:tc>
          <w:tcPr>
            <w:tcW w:w="3636" w:type="pct"/>
            <w:vMerge w:val="restart"/>
            <w:shd w:val="clear" w:color="auto" w:fill="CAEDFB" w:themeFill="accent4" w:themeFillTint="33"/>
            <w:noWrap/>
            <w:vAlign w:val="center"/>
            <w:hideMark/>
          </w:tcPr>
          <w:p w14:paraId="619E9D2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PERIODS (Weekly)</w:t>
            </w:r>
          </w:p>
        </w:tc>
      </w:tr>
      <w:tr w:rsidR="00CC4C8F" w:rsidRPr="00CC4C8F" w14:paraId="70B6F2F7" w14:textId="77777777" w:rsidTr="003C60B5">
        <w:trPr>
          <w:trHeight w:val="20"/>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12</w:t>
            </w:r>
          </w:p>
        </w:tc>
      </w:tr>
      <w:tr w:rsidR="00CC4C8F" w:rsidRPr="00CC4C8F" w14:paraId="66C50B37" w14:textId="77777777" w:rsidTr="003C60B5">
        <w:trPr>
          <w:trHeight w:val="227"/>
        </w:trPr>
        <w:tc>
          <w:tcPr>
            <w:tcW w:w="3636" w:type="pct"/>
            <w:tcBorders>
              <w:top w:val="single" w:sz="2" w:space="0" w:color="auto"/>
            </w:tcBorders>
            <w:noWrap/>
            <w:vAlign w:val="center"/>
            <w:hideMark/>
          </w:tcPr>
          <w:p w14:paraId="3593E1B8" w14:textId="77777777" w:rsidR="00CC4C8F" w:rsidRPr="0047007D" w:rsidRDefault="00CC4C8F">
            <w:pPr>
              <w:rPr>
                <w:rFonts w:ascii="Aptos" w:hAnsi="Aptos" w:cs="Calibri"/>
                <w:sz w:val="17"/>
                <w:szCs w:val="17"/>
              </w:rPr>
            </w:pPr>
            <w:r w:rsidRPr="0047007D">
              <w:rPr>
                <w:rFonts w:ascii="Aptos" w:hAnsi="Aptos" w:cs="Calibri"/>
                <w:sz w:val="17"/>
                <w:szCs w:val="17"/>
              </w:rP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71F645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2A5988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7CB9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686025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B8C1B6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5904588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6C5BEB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3B3138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6A6012D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02C07D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2D8F1FD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6001E69" w14:textId="77777777" w:rsidTr="006B6AC9">
        <w:trPr>
          <w:trHeight w:val="227"/>
        </w:trPr>
        <w:tc>
          <w:tcPr>
            <w:tcW w:w="3636" w:type="pct"/>
            <w:noWrap/>
            <w:vAlign w:val="center"/>
            <w:hideMark/>
          </w:tcPr>
          <w:p w14:paraId="304C2FD9" w14:textId="77777777" w:rsidR="00CC4C8F" w:rsidRPr="0047007D" w:rsidRDefault="00CC4C8F">
            <w:pPr>
              <w:rPr>
                <w:rFonts w:ascii="Aptos" w:hAnsi="Aptos" w:cs="Calibri"/>
                <w:sz w:val="17"/>
                <w:szCs w:val="17"/>
              </w:rPr>
            </w:pPr>
            <w:r w:rsidRPr="0047007D">
              <w:rPr>
                <w:rFonts w:ascii="Aptos" w:hAnsi="Aptos" w:cs="Calibri"/>
                <w:sz w:val="17"/>
                <w:szCs w:val="17"/>
              </w:rP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rPr>
                <w:rFonts w:ascii="Aptos" w:hAnsi="Aptos" w:cs="Calibri"/>
                <w:b/>
                <w:bCs/>
                <w:sz w:val="16"/>
                <w:szCs w:val="16"/>
              </w:rPr>
            </w:pPr>
            <w:r w:rsidRPr="00CC4C8F">
              <w:rPr>
                <w:rFonts w:ascii="Aptos" w:hAnsi="Aptos" w:cs="Calibri"/>
                <w:b/>
                <w:bCs/>
                <w:sz w:val="16"/>
                <w:szCs w:val="16"/>
              </w:rPr>
              <w:t> </w:t>
            </w:r>
          </w:p>
        </w:tc>
        <w:tc>
          <w:tcPr>
            <w:tcW w:w="105" w:type="pct"/>
            <w:noWrap/>
            <w:vAlign w:val="center"/>
            <w:hideMark/>
          </w:tcPr>
          <w:p w14:paraId="6EF7A93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E24618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4BD4B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FFE1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B50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E999E8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66339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797F31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B548A3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548802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9686BE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B30ECB9" w14:textId="77777777" w:rsidTr="006B6AC9">
        <w:trPr>
          <w:trHeight w:val="227"/>
        </w:trPr>
        <w:tc>
          <w:tcPr>
            <w:tcW w:w="3636" w:type="pct"/>
            <w:noWrap/>
            <w:vAlign w:val="center"/>
            <w:hideMark/>
          </w:tcPr>
          <w:p w14:paraId="3D9B837A" w14:textId="77777777" w:rsidR="00CC4C8F" w:rsidRPr="0047007D" w:rsidRDefault="00CC4C8F">
            <w:pPr>
              <w:rPr>
                <w:rFonts w:ascii="Aptos" w:hAnsi="Aptos" w:cs="Calibri"/>
                <w:sz w:val="17"/>
                <w:szCs w:val="17"/>
              </w:rPr>
            </w:pPr>
            <w:r w:rsidRPr="0047007D">
              <w:rPr>
                <w:rFonts w:ascii="Aptos" w:hAnsi="Aptos" w:cs="Calibri"/>
                <w:sz w:val="17"/>
                <w:szCs w:val="17"/>
              </w:rP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F74E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D96DB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F7B0C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E94EF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2C5F34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F13A9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05621B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3575E4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9C81DD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D2C84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FF23D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E9649DE" w14:textId="77777777" w:rsidTr="006B6AC9">
        <w:trPr>
          <w:trHeight w:val="227"/>
        </w:trPr>
        <w:tc>
          <w:tcPr>
            <w:tcW w:w="3636" w:type="pct"/>
            <w:noWrap/>
            <w:vAlign w:val="center"/>
            <w:hideMark/>
          </w:tcPr>
          <w:p w14:paraId="3EF63126" w14:textId="77777777" w:rsidR="00CC4C8F" w:rsidRPr="0047007D" w:rsidRDefault="00CC4C8F">
            <w:pPr>
              <w:rPr>
                <w:rFonts w:ascii="Aptos" w:hAnsi="Aptos" w:cs="Calibri"/>
                <w:sz w:val="17"/>
                <w:szCs w:val="17"/>
              </w:rPr>
            </w:pPr>
            <w:r w:rsidRPr="0047007D">
              <w:rPr>
                <w:rFonts w:ascii="Aptos" w:hAnsi="Aptos" w:cs="Calibri"/>
                <w:sz w:val="17"/>
                <w:szCs w:val="17"/>
              </w:rP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3C96EE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1B125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408FF5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388B5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456C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6729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6AA28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8EF08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3131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413E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10A2E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47156DA" w14:textId="77777777" w:rsidTr="006B6AC9">
        <w:trPr>
          <w:trHeight w:val="227"/>
        </w:trPr>
        <w:tc>
          <w:tcPr>
            <w:tcW w:w="3636" w:type="pct"/>
            <w:noWrap/>
            <w:vAlign w:val="center"/>
            <w:hideMark/>
          </w:tcPr>
          <w:p w14:paraId="669CC7FA" w14:textId="77777777" w:rsidR="00CC4C8F" w:rsidRPr="0047007D" w:rsidRDefault="00CC4C8F">
            <w:pPr>
              <w:rPr>
                <w:rFonts w:ascii="Aptos" w:hAnsi="Aptos" w:cs="Calibri"/>
                <w:sz w:val="17"/>
                <w:szCs w:val="17"/>
              </w:rPr>
            </w:pPr>
            <w:r w:rsidRPr="0047007D">
              <w:rPr>
                <w:rFonts w:ascii="Aptos" w:hAnsi="Aptos" w:cs="Calibri"/>
                <w:sz w:val="17"/>
                <w:szCs w:val="17"/>
              </w:rP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0754FD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55A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9FF0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AFF1F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3E3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40AB72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A20FB7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5C6CE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AC9F3B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097969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279C46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9822CC8" w14:textId="77777777" w:rsidTr="006B6AC9">
        <w:trPr>
          <w:trHeight w:val="227"/>
        </w:trPr>
        <w:tc>
          <w:tcPr>
            <w:tcW w:w="3636" w:type="pct"/>
            <w:noWrap/>
            <w:vAlign w:val="center"/>
            <w:hideMark/>
          </w:tcPr>
          <w:p w14:paraId="5B1DA716" w14:textId="77777777" w:rsidR="00CC4C8F" w:rsidRPr="0047007D" w:rsidRDefault="00CC4C8F">
            <w:pPr>
              <w:rPr>
                <w:rFonts w:ascii="Aptos" w:hAnsi="Aptos" w:cs="Calibri"/>
                <w:sz w:val="17"/>
                <w:szCs w:val="17"/>
              </w:rPr>
            </w:pPr>
            <w:r w:rsidRPr="0047007D">
              <w:rPr>
                <w:rFonts w:ascii="Aptos" w:hAnsi="Aptos" w:cs="Calibri"/>
                <w:sz w:val="17"/>
                <w:szCs w:val="17"/>
              </w:rP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C1830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ACC339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6E389A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224EA9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4886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262D92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530E2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5E660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37D9E1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26E0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F79AA2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DB1961C" w14:textId="77777777" w:rsidTr="006B6AC9">
        <w:trPr>
          <w:trHeight w:val="227"/>
        </w:trPr>
        <w:tc>
          <w:tcPr>
            <w:tcW w:w="3636" w:type="pct"/>
            <w:noWrap/>
            <w:vAlign w:val="center"/>
            <w:hideMark/>
          </w:tcPr>
          <w:p w14:paraId="31FCC37B" w14:textId="77777777" w:rsidR="00CC4C8F" w:rsidRPr="0047007D" w:rsidRDefault="00CC4C8F">
            <w:pPr>
              <w:rPr>
                <w:rFonts w:ascii="Aptos" w:hAnsi="Aptos" w:cs="Calibri"/>
                <w:sz w:val="17"/>
                <w:szCs w:val="17"/>
              </w:rPr>
            </w:pPr>
            <w:r w:rsidRPr="0047007D">
              <w:rPr>
                <w:rFonts w:ascii="Aptos" w:hAnsi="Aptos" w:cs="Calibri"/>
                <w:sz w:val="17"/>
                <w:szCs w:val="17"/>
              </w:rPr>
              <w:t>Inspection of Materials (ABT Meter) by UPPTCL</w:t>
            </w:r>
          </w:p>
        </w:tc>
        <w:tc>
          <w:tcPr>
            <w:tcW w:w="105" w:type="pct"/>
            <w:shd w:val="clear" w:color="000000" w:fill="FFFFFF"/>
            <w:noWrap/>
            <w:vAlign w:val="center"/>
            <w:hideMark/>
          </w:tcPr>
          <w:p w14:paraId="48E422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7318A3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34B6E4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4FD2523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2A8D9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2A175D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32535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B3AD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80F69C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25A0E0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3D9CD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5BC23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5D2FDD4D" w14:textId="77777777" w:rsidTr="006B6AC9">
        <w:trPr>
          <w:trHeight w:val="227"/>
        </w:trPr>
        <w:tc>
          <w:tcPr>
            <w:tcW w:w="3636" w:type="pct"/>
            <w:noWrap/>
            <w:vAlign w:val="center"/>
            <w:hideMark/>
          </w:tcPr>
          <w:p w14:paraId="50D8B073" w14:textId="77777777" w:rsidR="00CC4C8F" w:rsidRPr="0047007D" w:rsidRDefault="00CC4C8F">
            <w:pPr>
              <w:rPr>
                <w:rFonts w:ascii="Aptos" w:hAnsi="Aptos" w:cs="Calibri"/>
                <w:sz w:val="17"/>
                <w:szCs w:val="17"/>
              </w:rPr>
            </w:pPr>
            <w:r w:rsidRPr="0047007D">
              <w:rPr>
                <w:rFonts w:ascii="Aptos" w:hAnsi="Aptos" w:cs="Calibri"/>
                <w:sz w:val="17"/>
                <w:szCs w:val="17"/>
              </w:rP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14522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69FFD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2D3C4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612400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3F01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533F2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4DF96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0A140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5221B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87B028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21D681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26A9F3B" w14:textId="77777777" w:rsidTr="006B6AC9">
        <w:trPr>
          <w:trHeight w:val="227"/>
        </w:trPr>
        <w:tc>
          <w:tcPr>
            <w:tcW w:w="3636" w:type="pct"/>
            <w:noWrap/>
            <w:vAlign w:val="center"/>
            <w:hideMark/>
          </w:tcPr>
          <w:p w14:paraId="1049B8BA" w14:textId="77777777" w:rsidR="00CC4C8F" w:rsidRPr="0047007D" w:rsidRDefault="00CC4C8F">
            <w:pPr>
              <w:rPr>
                <w:rFonts w:ascii="Aptos" w:hAnsi="Aptos" w:cs="Calibri"/>
                <w:sz w:val="17"/>
                <w:szCs w:val="17"/>
              </w:rPr>
            </w:pPr>
            <w:r w:rsidRPr="0047007D">
              <w:rPr>
                <w:rFonts w:ascii="Aptos" w:hAnsi="Aptos" w:cs="Calibri"/>
                <w:sz w:val="17"/>
                <w:szCs w:val="17"/>
              </w:rP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12E90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75EB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E7D8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5D4B3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B1BED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967A4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81AEC5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BE8C4A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CD23B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7E016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AD7587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B66850" w14:textId="77777777" w:rsidTr="006B6AC9">
        <w:trPr>
          <w:trHeight w:val="227"/>
        </w:trPr>
        <w:tc>
          <w:tcPr>
            <w:tcW w:w="3636" w:type="pct"/>
            <w:noWrap/>
            <w:vAlign w:val="center"/>
            <w:hideMark/>
          </w:tcPr>
          <w:p w14:paraId="2F6B82F6" w14:textId="77777777" w:rsidR="00CC4C8F" w:rsidRPr="0047007D" w:rsidRDefault="00CC4C8F">
            <w:pPr>
              <w:rPr>
                <w:rFonts w:ascii="Aptos" w:hAnsi="Aptos" w:cs="Calibri"/>
                <w:sz w:val="17"/>
                <w:szCs w:val="17"/>
              </w:rPr>
            </w:pPr>
            <w:r w:rsidRPr="0047007D">
              <w:rPr>
                <w:rFonts w:ascii="Aptos" w:hAnsi="Aptos" w:cs="Calibri"/>
                <w:sz w:val="17"/>
                <w:szCs w:val="17"/>
              </w:rPr>
              <w:t>Apply for ST-11 in UPSLDC</w:t>
            </w:r>
          </w:p>
        </w:tc>
        <w:tc>
          <w:tcPr>
            <w:tcW w:w="105" w:type="pct"/>
            <w:shd w:val="clear" w:color="000000" w:fill="FFFFFF"/>
            <w:noWrap/>
            <w:vAlign w:val="center"/>
            <w:hideMark/>
          </w:tcPr>
          <w:p w14:paraId="4A8BD9C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2D986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A3C98B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1BB4A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9193B7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80B615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7A2B61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2FE4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6A380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F492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2B475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008767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41903B5" w14:textId="77777777" w:rsidTr="006B6AC9">
        <w:trPr>
          <w:trHeight w:val="227"/>
        </w:trPr>
        <w:tc>
          <w:tcPr>
            <w:tcW w:w="3636" w:type="pct"/>
            <w:noWrap/>
            <w:vAlign w:val="center"/>
            <w:hideMark/>
          </w:tcPr>
          <w:p w14:paraId="03CC82CF" w14:textId="77777777" w:rsidR="00CC4C8F" w:rsidRPr="0047007D" w:rsidRDefault="00CC4C8F">
            <w:pPr>
              <w:rPr>
                <w:rFonts w:ascii="Aptos" w:hAnsi="Aptos" w:cs="Calibri"/>
                <w:sz w:val="17"/>
                <w:szCs w:val="17"/>
              </w:rPr>
            </w:pPr>
            <w:r w:rsidRPr="0047007D">
              <w:rPr>
                <w:rFonts w:ascii="Aptos" w:hAnsi="Aptos" w:cs="Calibri"/>
                <w:sz w:val="17"/>
                <w:szCs w:val="17"/>
              </w:rP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B01BE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CEC52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1157EF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0B592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CE2C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5098816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05A8D4E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8FBD01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F6B1B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084EA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8BF7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AF491CC" w14:textId="77777777" w:rsidTr="006B6AC9">
        <w:trPr>
          <w:trHeight w:val="227"/>
        </w:trPr>
        <w:tc>
          <w:tcPr>
            <w:tcW w:w="3636" w:type="pct"/>
            <w:noWrap/>
            <w:vAlign w:val="center"/>
            <w:hideMark/>
          </w:tcPr>
          <w:p w14:paraId="7EB03CF2"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Registration in NOAR </w:t>
            </w:r>
          </w:p>
        </w:tc>
        <w:tc>
          <w:tcPr>
            <w:tcW w:w="105" w:type="pct"/>
            <w:shd w:val="clear" w:color="000000" w:fill="FFFFFF"/>
            <w:noWrap/>
            <w:vAlign w:val="center"/>
            <w:hideMark/>
          </w:tcPr>
          <w:p w14:paraId="4A1F1C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6918B7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89F10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43C7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842D1E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7B9C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F3B576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9549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42E1B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57D0E7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043E32A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128F2B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D20F2CC" w14:textId="77777777" w:rsidTr="006B6AC9">
        <w:trPr>
          <w:trHeight w:val="227"/>
        </w:trPr>
        <w:tc>
          <w:tcPr>
            <w:tcW w:w="3636" w:type="pct"/>
            <w:noWrap/>
            <w:vAlign w:val="center"/>
            <w:hideMark/>
          </w:tcPr>
          <w:p w14:paraId="138A4336" w14:textId="77777777" w:rsidR="00CC4C8F" w:rsidRPr="0047007D" w:rsidRDefault="00CC4C8F">
            <w:pPr>
              <w:rPr>
                <w:rFonts w:ascii="Aptos" w:hAnsi="Aptos" w:cs="Calibri"/>
                <w:sz w:val="17"/>
                <w:szCs w:val="17"/>
              </w:rPr>
            </w:pPr>
            <w:r w:rsidRPr="0047007D">
              <w:rPr>
                <w:rFonts w:ascii="Aptos" w:hAnsi="Aptos" w:cs="Calibri"/>
                <w:sz w:val="17"/>
                <w:szCs w:val="17"/>
              </w:rPr>
              <w:t>NOAR approval and power flow arrangement</w:t>
            </w:r>
          </w:p>
        </w:tc>
        <w:tc>
          <w:tcPr>
            <w:tcW w:w="105" w:type="pct"/>
            <w:shd w:val="clear" w:color="000000" w:fill="FFFFFF"/>
            <w:noWrap/>
            <w:vAlign w:val="center"/>
            <w:hideMark/>
          </w:tcPr>
          <w:p w14:paraId="3A412B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11EB4D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20DA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1A33E7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A0A0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37EBE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3613F5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4C74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C0F702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774ED3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6187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336EC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9867AB7" w14:textId="77777777" w:rsidTr="006B6AC9">
        <w:trPr>
          <w:trHeight w:val="227"/>
        </w:trPr>
        <w:tc>
          <w:tcPr>
            <w:tcW w:w="3636" w:type="pct"/>
            <w:noWrap/>
            <w:vAlign w:val="center"/>
            <w:hideMark/>
          </w:tcPr>
          <w:p w14:paraId="340F3DD3"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NOC in NOAR / UPSLDC </w:t>
            </w:r>
          </w:p>
        </w:tc>
        <w:tc>
          <w:tcPr>
            <w:tcW w:w="105" w:type="pct"/>
            <w:shd w:val="clear" w:color="000000" w:fill="FFFFFF"/>
            <w:noWrap/>
            <w:vAlign w:val="center"/>
            <w:hideMark/>
          </w:tcPr>
          <w:p w14:paraId="47C386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30F3E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AEBE0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5FF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036D3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2500B3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C9FFD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769897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6CA8A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33C5A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D74535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32AF48B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76FC04E" w14:textId="77777777" w:rsidTr="006B6AC9">
        <w:trPr>
          <w:trHeight w:val="227"/>
        </w:trPr>
        <w:tc>
          <w:tcPr>
            <w:tcW w:w="3636" w:type="pct"/>
            <w:noWrap/>
            <w:vAlign w:val="center"/>
            <w:hideMark/>
          </w:tcPr>
          <w:p w14:paraId="071E8238" w14:textId="77777777" w:rsidR="00CC4C8F" w:rsidRPr="0047007D" w:rsidRDefault="00CC4C8F">
            <w:pPr>
              <w:rPr>
                <w:rFonts w:ascii="Aptos" w:hAnsi="Aptos" w:cs="Calibri"/>
                <w:sz w:val="17"/>
                <w:szCs w:val="17"/>
              </w:rPr>
            </w:pPr>
            <w:r w:rsidRPr="0047007D">
              <w:rPr>
                <w:rFonts w:ascii="Aptos" w:hAnsi="Aptos" w:cs="Calibri"/>
                <w:sz w:val="17"/>
                <w:szCs w:val="17"/>
              </w:rPr>
              <w:t xml:space="preserve">Approval for NOC by NOAR / UPSLDC </w:t>
            </w:r>
          </w:p>
        </w:tc>
        <w:tc>
          <w:tcPr>
            <w:tcW w:w="105" w:type="pct"/>
            <w:shd w:val="clear" w:color="000000" w:fill="FFFFFF"/>
            <w:noWrap/>
            <w:vAlign w:val="center"/>
            <w:hideMark/>
          </w:tcPr>
          <w:p w14:paraId="387659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F58A98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76BD9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F7F79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8701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F431AC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C6695B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6895B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8914A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EAE1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C79B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50A5E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23479D" w14:textId="77777777" w:rsidTr="006B6AC9">
        <w:trPr>
          <w:trHeight w:val="227"/>
        </w:trPr>
        <w:tc>
          <w:tcPr>
            <w:tcW w:w="3636" w:type="pct"/>
            <w:noWrap/>
            <w:vAlign w:val="center"/>
            <w:hideMark/>
          </w:tcPr>
          <w:p w14:paraId="65311739" w14:textId="77777777" w:rsidR="00CC4C8F" w:rsidRPr="0047007D" w:rsidRDefault="00CC4C8F">
            <w:pPr>
              <w:rPr>
                <w:rFonts w:ascii="Aptos" w:hAnsi="Aptos" w:cs="Calibri"/>
                <w:sz w:val="17"/>
                <w:szCs w:val="17"/>
              </w:rPr>
            </w:pPr>
            <w:r w:rsidRPr="0047007D">
              <w:rPr>
                <w:rFonts w:ascii="Aptos" w:hAnsi="Aptos" w:cs="Calibri"/>
                <w:sz w:val="17"/>
                <w:szCs w:val="17"/>
              </w:rPr>
              <w:t>IEX Registration</w:t>
            </w:r>
          </w:p>
        </w:tc>
        <w:tc>
          <w:tcPr>
            <w:tcW w:w="105" w:type="pct"/>
            <w:shd w:val="clear" w:color="000000" w:fill="FFFFFF"/>
            <w:noWrap/>
            <w:vAlign w:val="center"/>
            <w:hideMark/>
          </w:tcPr>
          <w:p w14:paraId="2754C9F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AD4BD8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E78C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B4DE5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6AF44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2A6D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BBD26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E82FC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1221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97021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839133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0A1ED8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35BB236" w14:textId="77777777" w:rsidTr="006B6AC9">
        <w:trPr>
          <w:trHeight w:val="302"/>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jc w:val="center"/>
              <w:rPr>
                <w:rFonts w:ascii="Aptos" w:hAnsi="Aptos" w:cs="Calibri"/>
                <w:b/>
                <w:bCs/>
                <w:sz w:val="16"/>
                <w:szCs w:val="16"/>
              </w:rPr>
            </w:pPr>
            <w:r w:rsidRPr="00CC4C8F">
              <w:rPr>
                <w:rFonts w:ascii="Aptos" w:hAnsi="Aptos" w:cs="Calibri"/>
                <w:b/>
                <w:bCs/>
                <w:sz w:val="16"/>
                <w:szCs w:val="16"/>
              </w:rPr>
              <w:t>Trading in Exchange Platform Starts</w:t>
            </w:r>
          </w:p>
        </w:tc>
      </w:tr>
    </w:tbl>
    <w:p w14:paraId="56AC2271" w14:textId="77777777" w:rsidR="00CC4C8F" w:rsidRPr="0047007D" w:rsidRDefault="00CC4C8F" w:rsidP="00CC4C8F">
      <w:pPr>
        <w:shd w:val="clear" w:color="auto" w:fill="FFFFFF" w:themeFill="background1"/>
        <w:spacing w:line="360" w:lineRule="auto"/>
        <w:jc w:val="both"/>
        <w:rPr>
          <w:rFonts w:ascii="Aptos" w:hAnsi="Aptos"/>
          <w:sz w:val="18"/>
          <w:szCs w:val="18"/>
        </w:rPr>
      </w:pPr>
    </w:p>
    <w:tbl>
      <w:tblPr>
        <w:tblW w:w="0" w:type="auto"/>
        <w:jc w:val="center"/>
        <w:tblLook w:val="04A0" w:firstRow="1" w:lastRow="0" w:firstColumn="1" w:lastColumn="0" w:noHBand="0" w:noVBand="1"/>
      </w:tblPr>
      <w:tblGrid>
        <w:gridCol w:w="10443"/>
      </w:tblGrid>
      <w:tr w:rsidR="00CC4C8F" w14:paraId="31440D48" w14:textId="77777777" w:rsidTr="0040568E">
        <w:trPr>
          <w:jc w:val="center"/>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rPr>
                <w:rFonts w:asciiTheme="majorHAnsi" w:hAnsiTheme="majorHAnsi"/>
              </w:rPr>
            </w:pPr>
            <w:r>
              <w:rPr>
                <w:rFonts w:asciiTheme="majorHAnsi" w:hAnsiTheme="majorHAnsi"/>
                <w:b/>
                <w:color w:val="1F3863"/>
                <w:sz w:val="22"/>
              </w:rPr>
              <w:t>Note:</w:t>
            </w:r>
          </w:p>
          <w:p w14:paraId="62780426" w14:textId="235DEFAE" w:rsidR="00CC4C8F" w:rsidRDefault="00CC4C8F" w:rsidP="00CC4C8F">
            <w:pPr>
              <w:jc w:val="both"/>
            </w:pPr>
            <w:r w:rsidRPr="00CC4C8F">
              <w:rPr>
                <w:rFonts w:asciiTheme="majorHAnsi" w:hAnsiTheme="majorHAnsi"/>
                <w:sz w:val="22"/>
              </w:rP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spacing w:before="100" w:beforeAutospacing="1" w:after="100" w:afterAutospacing="1"/>
        <w:jc w:val="both"/>
        <w:rPr>
          <w:rFonts w:ascii="Aptos" w:hAnsi="Aptos"/>
        </w:rPr>
      </w:pPr>
      <w:r w:rsidRPr="00CC16CA">
        <w:rPr>
          <w:rFonts w:ascii="Aptos" w:hAnsi="Aptos"/>
          <w:b/>
          <w:bCs/>
        </w:rPr>
        <w:lastRenderedPageBreak/>
        <w:t>Schedule of charges are as below</w:t>
      </w:r>
      <w:r w:rsidR="002B263D">
        <w:rPr>
          <w:rFonts w:ascii="Aptos" w:hAnsi="Aptos"/>
          <w:b/>
          <w:bCs/>
        </w:rPr>
        <w:t>:</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trPr>
        <w:tc>
          <w:tcPr>
            <w:tcW w:w="203" w:type="pct"/>
            <w:shd w:val="clear" w:color="000000" w:fill="002060"/>
            <w:noWrap/>
            <w:vAlign w:val="center"/>
            <w:hideMark/>
          </w:tcPr>
          <w:p w14:paraId="43271BE1" w14:textId="77777777" w:rsidR="00EA3146" w:rsidRDefault="00EA3146">
            <w:pPr>
              <w:jc w:val="center"/>
              <w:rPr>
                <w:rFonts w:ascii="Aptos" w:hAnsi="Aptos" w:cs="Calibri"/>
                <w:b/>
                <w:bCs/>
                <w:color w:val="FFFFFF"/>
                <w:sz w:val="20"/>
                <w:szCs w:val="20"/>
                <w:lang w:eastAsia="en-IN"/>
              </w:rPr>
            </w:pPr>
            <w:r>
              <w:rPr>
                <w:rFonts w:ascii="Aptos" w:hAnsi="Aptos" w:cs="Calibri"/>
                <w:b/>
                <w:bCs/>
                <w:color w:val="FFFFFF"/>
                <w:sz w:val="20"/>
                <w:szCs w:val="20"/>
              </w:rPr>
              <w:t>S. No.</w:t>
            </w:r>
          </w:p>
        </w:tc>
        <w:tc>
          <w:tcPr>
            <w:tcW w:w="3747" w:type="pct"/>
            <w:shd w:val="clear" w:color="000000" w:fill="002060"/>
            <w:noWrap/>
            <w:vAlign w:val="center"/>
            <w:hideMark/>
          </w:tcPr>
          <w:p w14:paraId="4E65690B"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Item Description</w:t>
            </w:r>
          </w:p>
        </w:tc>
        <w:tc>
          <w:tcPr>
            <w:tcW w:w="282" w:type="pct"/>
            <w:shd w:val="clear" w:color="000000" w:fill="002060"/>
            <w:noWrap/>
            <w:vAlign w:val="center"/>
            <w:hideMark/>
          </w:tcPr>
          <w:p w14:paraId="237BB0D3"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UoM</w:t>
            </w:r>
          </w:p>
        </w:tc>
        <w:tc>
          <w:tcPr>
            <w:tcW w:w="412" w:type="pct"/>
            <w:shd w:val="clear" w:color="000000" w:fill="002060"/>
            <w:noWrap/>
            <w:vAlign w:val="center"/>
            <w:hideMark/>
          </w:tcPr>
          <w:p w14:paraId="5B3B62B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Occurrence</w:t>
            </w:r>
          </w:p>
        </w:tc>
        <w:tc>
          <w:tcPr>
            <w:tcW w:w="356" w:type="pct"/>
            <w:shd w:val="clear" w:color="000000" w:fill="002060"/>
            <w:noWrap/>
            <w:vAlign w:val="center"/>
            <w:hideMark/>
          </w:tcPr>
          <w:p w14:paraId="1047256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Price</w:t>
            </w:r>
          </w:p>
        </w:tc>
      </w:tr>
      <w:tr w:rsidR="00EA3146" w14:paraId="05BED0A9" w14:textId="77777777" w:rsidTr="003C60B5">
        <w:trPr>
          <w:trHeight w:val="397"/>
        </w:trPr>
        <w:tc>
          <w:tcPr>
            <w:tcW w:w="203" w:type="pct"/>
            <w:shd w:val="clear" w:color="000000" w:fill="DDEBF7"/>
            <w:noWrap/>
            <w:vAlign w:val="center"/>
            <w:hideMark/>
          </w:tcPr>
          <w:p w14:paraId="11DE967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1</w:t>
            </w:r>
          </w:p>
        </w:tc>
        <w:tc>
          <w:tcPr>
            <w:tcW w:w="4441" w:type="pct"/>
            <w:gridSpan w:val="3"/>
            <w:shd w:val="clear" w:color="000000" w:fill="DDEBF7"/>
            <w:noWrap/>
            <w:vAlign w:val="center"/>
            <w:hideMark/>
          </w:tcPr>
          <w:p w14:paraId="233E8828" w14:textId="77777777" w:rsidR="00EA3146" w:rsidRDefault="00EA3146">
            <w:pPr>
              <w:rPr>
                <w:rFonts w:ascii="Aptos" w:hAnsi="Aptos" w:cs="Calibri"/>
                <w:b/>
                <w:bCs/>
                <w:color w:val="000000"/>
                <w:sz w:val="20"/>
                <w:szCs w:val="20"/>
              </w:rPr>
            </w:pPr>
            <w:r>
              <w:rPr>
                <w:rFonts w:ascii="Aptos" w:hAnsi="Aptos" w:cs="Calibri"/>
                <w:b/>
                <w:bCs/>
                <w:color w:val="000000"/>
                <w:sz w:val="20"/>
                <w:szCs w:val="20"/>
              </w:rPr>
              <w:t>ABT Metering Setup</w:t>
            </w:r>
          </w:p>
        </w:tc>
        <w:tc>
          <w:tcPr>
            <w:tcW w:w="356" w:type="pct"/>
            <w:shd w:val="clear" w:color="000000" w:fill="DDEBF7"/>
            <w:noWrap/>
            <w:vAlign w:val="center"/>
            <w:hideMark/>
          </w:tcPr>
          <w:p w14:paraId="30FA19DC" w14:textId="25004F96" w:rsidR="00EA3146" w:rsidRDefault="00EA3146">
            <w:pPr>
              <w:jc w:val="right"/>
              <w:rPr>
                <w:rFonts w:ascii="Aptos" w:hAnsi="Aptos" w:cs="Calibri"/>
                <w:b/>
                <w:bCs/>
                <w:color w:val="000000"/>
                <w:sz w:val="20"/>
                <w:szCs w:val="20"/>
              </w:rPr>
            </w:pPr>
            <w:r>
              <w:rPr>
                <w:rFonts w:ascii="Aptos" w:hAnsi="Aptos" w:cs="Calibri"/>
                <w:b/>
                <w:bCs/>
                <w:color w:val="000000"/>
                <w:sz w:val="20"/>
                <w:szCs w:val="20"/>
              </w:rPr>
              <w:t>₹ 1</w:t>
            </w:r>
            <w:r w:rsidR="00B07465">
              <w:rPr>
                <w:rFonts w:ascii="Aptos" w:hAnsi="Aptos" w:cs="Calibri"/>
                <w:b/>
                <w:bCs/>
                <w:color w:val="000000"/>
                <w:sz w:val="20"/>
                <w:szCs w:val="20"/>
              </w:rPr>
              <w:t>5</w:t>
            </w:r>
            <w:r>
              <w:rPr>
                <w:rFonts w:ascii="Aptos" w:hAnsi="Aptos" w:cs="Calibri"/>
                <w:b/>
                <w:bCs/>
                <w:color w:val="000000"/>
                <w:sz w:val="20"/>
                <w:szCs w:val="20"/>
              </w:rPr>
              <w:t>,00,000</w:t>
            </w:r>
          </w:p>
        </w:tc>
      </w:tr>
      <w:tr w:rsidR="00EA3146" w14:paraId="495B93CC" w14:textId="77777777" w:rsidTr="003C60B5">
        <w:trPr>
          <w:trHeight w:val="1134"/>
        </w:trPr>
        <w:tc>
          <w:tcPr>
            <w:tcW w:w="203" w:type="pct"/>
            <w:noWrap/>
            <w:vAlign w:val="center"/>
            <w:hideMark/>
          </w:tcPr>
          <w:p w14:paraId="04579EAB" w14:textId="77777777" w:rsidR="00EA3146" w:rsidRDefault="00EA3146">
            <w:pPr>
              <w:jc w:val="center"/>
              <w:rPr>
                <w:rFonts w:ascii="Aptos" w:hAnsi="Aptos" w:cs="Calibri"/>
                <w:color w:val="000000"/>
                <w:sz w:val="20"/>
                <w:szCs w:val="20"/>
              </w:rPr>
            </w:pPr>
            <w:r>
              <w:rPr>
                <w:rFonts w:ascii="Aptos" w:hAnsi="Aptos" w:cs="Arial"/>
                <w:color w:val="000000"/>
                <w:sz w:val="20"/>
                <w:szCs w:val="20"/>
              </w:rPr>
              <w:t>1.1</w:t>
            </w:r>
          </w:p>
        </w:tc>
        <w:tc>
          <w:tcPr>
            <w:tcW w:w="3747" w:type="pct"/>
            <w:vAlign w:val="center"/>
            <w:hideMark/>
          </w:tcPr>
          <w:p w14:paraId="306EAD3C"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Supply:</w:t>
            </w:r>
            <w:r>
              <w:rPr>
                <w:rFonts w:ascii="Aptos" w:hAnsi="Aptos" w:cs="Arial"/>
                <w:b/>
                <w:bCs/>
                <w:color w:val="000000"/>
                <w:sz w:val="20"/>
                <w:szCs w:val="20"/>
              </w:rPr>
              <w:br/>
            </w:r>
            <w:r>
              <w:rPr>
                <w:rFonts w:ascii="Aptos" w:hAnsi="Aptos" w:cs="Arial"/>
                <w:color w:val="000000"/>
                <w:sz w:val="20"/>
                <w:szCs w:val="20"/>
              </w:rPr>
              <w:t>- ABT Meters Secure Make (0.2s Class Accuracy)- 3 Nos.</w:t>
            </w:r>
            <w:r>
              <w:rPr>
                <w:rFonts w:ascii="Aptos" w:hAnsi="Aptos" w:cs="Arial"/>
                <w:color w:val="000000"/>
                <w:sz w:val="20"/>
                <w:szCs w:val="20"/>
              </w:rPr>
              <w:br/>
              <w:t>- Indoor Meter Cubical with CT/PT (0.2s Class Accuracy)- 1 Nos.</w:t>
            </w:r>
            <w:r>
              <w:rPr>
                <w:rFonts w:ascii="Aptos" w:hAnsi="Aptos" w:cs="Arial"/>
                <w:color w:val="000000"/>
                <w:sz w:val="20"/>
                <w:szCs w:val="20"/>
              </w:rPr>
              <w:br/>
              <w:t>- Outdoor CT/PT Unit (0.2s Class Accuracy)- 1 Nos.</w:t>
            </w:r>
          </w:p>
        </w:tc>
        <w:tc>
          <w:tcPr>
            <w:tcW w:w="282" w:type="pct"/>
            <w:noWrap/>
            <w:vAlign w:val="center"/>
            <w:hideMark/>
          </w:tcPr>
          <w:p w14:paraId="20F8A99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7E8EFB0A"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4E41B222"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4,50,000</w:t>
            </w:r>
          </w:p>
        </w:tc>
      </w:tr>
      <w:tr w:rsidR="00EA3146" w14:paraId="1D10E79B" w14:textId="77777777" w:rsidTr="003C60B5">
        <w:trPr>
          <w:trHeight w:val="1134"/>
        </w:trPr>
        <w:tc>
          <w:tcPr>
            <w:tcW w:w="203" w:type="pct"/>
            <w:noWrap/>
            <w:vAlign w:val="center"/>
            <w:hideMark/>
          </w:tcPr>
          <w:p w14:paraId="5941E3F5" w14:textId="77777777" w:rsidR="00EA3146" w:rsidRDefault="00EA3146">
            <w:pPr>
              <w:jc w:val="center"/>
              <w:rPr>
                <w:rFonts w:ascii="Aptos" w:hAnsi="Aptos" w:cs="Calibri"/>
                <w:color w:val="000000"/>
                <w:sz w:val="20"/>
                <w:szCs w:val="20"/>
              </w:rPr>
            </w:pPr>
            <w:r>
              <w:rPr>
                <w:rFonts w:ascii="Aptos" w:hAnsi="Aptos" w:cs="Arial"/>
                <w:color w:val="000000"/>
                <w:sz w:val="20"/>
                <w:szCs w:val="20"/>
              </w:rPr>
              <w:t>1.2</w:t>
            </w:r>
          </w:p>
        </w:tc>
        <w:tc>
          <w:tcPr>
            <w:tcW w:w="3747" w:type="pct"/>
            <w:vAlign w:val="center"/>
            <w:hideMark/>
          </w:tcPr>
          <w:p w14:paraId="4FD30897"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Service: Installation, Commissioning, Testing &amp; Sealing of Meters &amp; Consultancy Charges thereof:</w:t>
            </w:r>
            <w:r>
              <w:rPr>
                <w:rFonts w:ascii="Aptos" w:hAnsi="Aptos" w:cs="Arial"/>
                <w:b/>
                <w:bCs/>
                <w:color w:val="000000"/>
                <w:sz w:val="20"/>
                <w:szCs w:val="20"/>
              </w:rPr>
              <w:br/>
            </w:r>
            <w:r>
              <w:rPr>
                <w:rFonts w:ascii="Aptos" w:hAnsi="Aptos" w:cs="Arial"/>
                <w:color w:val="000000"/>
                <w:sz w:val="20"/>
                <w:szCs w:val="20"/>
              </w:rPr>
              <w:t>- ABT Meters- 3 Nos.</w:t>
            </w:r>
            <w:r>
              <w:rPr>
                <w:rFonts w:ascii="Aptos" w:hAnsi="Aptos" w:cs="Arial"/>
                <w:color w:val="000000"/>
                <w:sz w:val="20"/>
                <w:szCs w:val="20"/>
              </w:rPr>
              <w:br/>
              <w:t>- Indoor CT/PT Unit- 1 Nos.</w:t>
            </w:r>
            <w:r>
              <w:rPr>
                <w:rFonts w:ascii="Aptos" w:hAnsi="Aptos" w:cs="Arial"/>
                <w:color w:val="000000"/>
                <w:sz w:val="20"/>
                <w:szCs w:val="20"/>
              </w:rPr>
              <w:br/>
              <w:t>- Outdoor CT/PT Unit- 1 Nos.</w:t>
            </w:r>
          </w:p>
        </w:tc>
        <w:tc>
          <w:tcPr>
            <w:tcW w:w="282" w:type="pct"/>
            <w:noWrap/>
            <w:vAlign w:val="center"/>
            <w:hideMark/>
          </w:tcPr>
          <w:p w14:paraId="6DFD79D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30385060"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B7044EB" w14:textId="35DD84C4"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,50,000</w:t>
            </w:r>
          </w:p>
        </w:tc>
      </w:tr>
      <w:tr w:rsidR="00EA3146" w14:paraId="4D07A11E" w14:textId="77777777" w:rsidTr="003C60B5">
        <w:trPr>
          <w:trHeight w:val="3345"/>
        </w:trPr>
        <w:tc>
          <w:tcPr>
            <w:tcW w:w="203" w:type="pct"/>
            <w:shd w:val="clear" w:color="000000" w:fill="FFFFFF"/>
            <w:noWrap/>
            <w:vAlign w:val="center"/>
            <w:hideMark/>
          </w:tcPr>
          <w:p w14:paraId="2C91DF14" w14:textId="77777777" w:rsidR="00EA3146" w:rsidRDefault="00EA3146">
            <w:pPr>
              <w:jc w:val="center"/>
              <w:rPr>
                <w:rFonts w:ascii="Aptos" w:hAnsi="Aptos" w:cs="Calibri"/>
                <w:color w:val="000000"/>
                <w:sz w:val="20"/>
                <w:szCs w:val="20"/>
              </w:rPr>
            </w:pPr>
            <w:r>
              <w:rPr>
                <w:rFonts w:ascii="Aptos" w:hAnsi="Aptos" w:cs="Calibri"/>
                <w:color w:val="000000"/>
                <w:sz w:val="20"/>
                <w:szCs w:val="20"/>
              </w:rPr>
              <w:t>1.3</w:t>
            </w:r>
          </w:p>
        </w:tc>
        <w:tc>
          <w:tcPr>
            <w:tcW w:w="3747" w:type="pct"/>
            <w:shd w:val="clear" w:color="000000" w:fill="FFFFFF"/>
            <w:vAlign w:val="center"/>
            <w:hideMark/>
          </w:tcPr>
          <w:p w14:paraId="7327DDD3" w14:textId="77777777" w:rsidR="00EA3146" w:rsidRDefault="00EA3146">
            <w:pPr>
              <w:rPr>
                <w:rFonts w:ascii="Aptos" w:hAnsi="Aptos" w:cs="Calibri"/>
                <w:b/>
                <w:bCs/>
                <w:color w:val="000000"/>
                <w:sz w:val="20"/>
                <w:szCs w:val="20"/>
              </w:rPr>
            </w:pPr>
            <w:r>
              <w:rPr>
                <w:rFonts w:ascii="Aptos" w:hAnsi="Aptos" w:cs="Calibri"/>
                <w:color w:val="000000"/>
                <w:sz w:val="20"/>
                <w:szCs w:val="20"/>
                <w:u w:val="single"/>
              </w:rPr>
              <w:t>Utility Liaisoning &amp; Consultancy:</w:t>
            </w:r>
            <w:r>
              <w:rPr>
                <w:rFonts w:ascii="Aptos" w:hAnsi="Aptos" w:cs="Calibri"/>
                <w:b/>
                <w:bCs/>
                <w:color w:val="000000"/>
                <w:sz w:val="20"/>
                <w:szCs w:val="20"/>
              </w:rPr>
              <w:br/>
            </w:r>
            <w:r>
              <w:rPr>
                <w:rFonts w:ascii="Aptos" w:hAnsi="Aptos" w:cs="Calibri"/>
                <w:color w:val="000000"/>
                <w:sz w:val="20"/>
                <w:szCs w:val="20"/>
              </w:rPr>
              <w:t>Open Access application at respective DISCOM &amp; SLDC including liaisoning covering</w:t>
            </w:r>
            <w:r>
              <w:rPr>
                <w:rFonts w:ascii="Aptos" w:hAnsi="Aptos" w:cs="Calibri"/>
                <w:color w:val="000000"/>
                <w:sz w:val="20"/>
                <w:szCs w:val="20"/>
              </w:rPr>
              <w:br/>
              <w:t>- Permission for procurement of ABT meter and CT-PT.</w:t>
            </w:r>
            <w:r>
              <w:rPr>
                <w:rFonts w:ascii="Aptos" w:hAnsi="Aptos" w:cs="Calibri"/>
                <w:color w:val="000000"/>
                <w:sz w:val="20"/>
                <w:szCs w:val="20"/>
              </w:rPr>
              <w:br/>
              <w:t>- Nomination of inspection authority.</w:t>
            </w:r>
            <w:r>
              <w:rPr>
                <w:rFonts w:ascii="Aptos" w:hAnsi="Aptos" w:cs="Calibri"/>
                <w:color w:val="000000"/>
                <w:sz w:val="20"/>
                <w:szCs w:val="20"/>
              </w:rPr>
              <w:br/>
              <w:t>- Liaison for inspection by inspecting authority including boarding, lodging, foods, cab and any other expense required for inspection.</w:t>
            </w:r>
            <w:r>
              <w:rPr>
                <w:rFonts w:ascii="Aptos" w:hAnsi="Aptos" w:cs="Calibri"/>
                <w:color w:val="000000"/>
                <w:sz w:val="20"/>
                <w:szCs w:val="20"/>
              </w:rPr>
              <w:br/>
              <w:t>- Submission of inspection report.</w:t>
            </w:r>
            <w:r>
              <w:rPr>
                <w:rFonts w:ascii="Aptos" w:hAnsi="Aptos" w:cs="Calibri"/>
                <w:color w:val="000000"/>
                <w:sz w:val="20"/>
                <w:szCs w:val="20"/>
              </w:rPr>
              <w:br/>
              <w:t>- Sealing nomination and sealing arrangement Installation and commissioning of ABT meter and CT-PT.</w:t>
            </w:r>
            <w:r>
              <w:rPr>
                <w:rFonts w:ascii="Aptos" w:hAnsi="Aptos" w:cs="Calibri"/>
                <w:color w:val="000000"/>
                <w:sz w:val="20"/>
                <w:szCs w:val="20"/>
              </w:rPr>
              <w:br/>
              <w:t>- ST-11 approval.</w:t>
            </w:r>
            <w:r>
              <w:rPr>
                <w:rFonts w:ascii="Aptos" w:hAnsi="Aptos" w:cs="Calibri"/>
                <w:color w:val="000000"/>
                <w:sz w:val="20"/>
                <w:szCs w:val="20"/>
              </w:rPr>
              <w:br/>
              <w:t>- NOAR approval and power flow arrangement.</w:t>
            </w:r>
            <w:r>
              <w:rPr>
                <w:rFonts w:ascii="Aptos" w:hAnsi="Aptos" w:cs="Calibri"/>
                <w:color w:val="000000"/>
                <w:sz w:val="20"/>
                <w:szCs w:val="20"/>
              </w:rPr>
              <w:br/>
              <w:t xml:space="preserve">- All liaisoning works up-to power flow. </w:t>
            </w:r>
          </w:p>
        </w:tc>
        <w:tc>
          <w:tcPr>
            <w:tcW w:w="282" w:type="pct"/>
            <w:shd w:val="clear" w:color="000000" w:fill="FFFFFF"/>
            <w:noWrap/>
            <w:vAlign w:val="center"/>
            <w:hideMark/>
          </w:tcPr>
          <w:p w14:paraId="5B75E681" w14:textId="77777777" w:rsidR="00EA3146" w:rsidRDefault="00EA3146">
            <w:pPr>
              <w:jc w:val="center"/>
              <w:rPr>
                <w:rFonts w:ascii="Aptos" w:hAnsi="Aptos" w:cs="Calibri"/>
                <w:color w:val="000000"/>
                <w:sz w:val="20"/>
                <w:szCs w:val="20"/>
              </w:rPr>
            </w:pPr>
            <w:r>
              <w:rPr>
                <w:rFonts w:ascii="Aptos" w:hAnsi="Aptos" w:cs="Calibri"/>
                <w:color w:val="000000"/>
                <w:sz w:val="20"/>
                <w:szCs w:val="20"/>
              </w:rPr>
              <w:t>Lot</w:t>
            </w:r>
          </w:p>
        </w:tc>
        <w:tc>
          <w:tcPr>
            <w:tcW w:w="412" w:type="pct"/>
            <w:noWrap/>
            <w:vAlign w:val="center"/>
            <w:hideMark/>
          </w:tcPr>
          <w:p w14:paraId="5518D0A2"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shd w:val="clear" w:color="000000" w:fill="FFFFFF"/>
            <w:noWrap/>
            <w:vAlign w:val="center"/>
            <w:hideMark/>
          </w:tcPr>
          <w:p w14:paraId="3408B4AA" w14:textId="0D72D39F"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,00,000</w:t>
            </w:r>
          </w:p>
        </w:tc>
      </w:tr>
      <w:tr w:rsidR="00EA3146" w14:paraId="71A35EE8" w14:textId="77777777" w:rsidTr="003C60B5">
        <w:trPr>
          <w:trHeight w:val="397"/>
        </w:trPr>
        <w:tc>
          <w:tcPr>
            <w:tcW w:w="203" w:type="pct"/>
            <w:shd w:val="clear" w:color="000000" w:fill="DDEBF7"/>
            <w:noWrap/>
            <w:vAlign w:val="center"/>
            <w:hideMark/>
          </w:tcPr>
          <w:p w14:paraId="38BCE10D"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2</w:t>
            </w:r>
          </w:p>
        </w:tc>
        <w:tc>
          <w:tcPr>
            <w:tcW w:w="4441" w:type="pct"/>
            <w:gridSpan w:val="3"/>
            <w:shd w:val="clear" w:color="000000" w:fill="DDEBF7"/>
            <w:noWrap/>
            <w:vAlign w:val="center"/>
            <w:hideMark/>
          </w:tcPr>
          <w:p w14:paraId="411291CE" w14:textId="77777777" w:rsidR="00EA3146" w:rsidRDefault="00EA3146">
            <w:pPr>
              <w:rPr>
                <w:rFonts w:ascii="Aptos" w:hAnsi="Aptos" w:cs="Calibri"/>
                <w:b/>
                <w:bCs/>
                <w:color w:val="000000"/>
                <w:sz w:val="20"/>
                <w:szCs w:val="20"/>
              </w:rPr>
            </w:pPr>
            <w:r>
              <w:rPr>
                <w:rFonts w:ascii="Aptos" w:hAnsi="Aptos" w:cs="Calibri"/>
                <w:b/>
                <w:bCs/>
                <w:color w:val="000000"/>
                <w:sz w:val="20"/>
                <w:szCs w:val="20"/>
              </w:rPr>
              <w:t>SLDC Security Deposit (Refundable)</w:t>
            </w:r>
          </w:p>
        </w:tc>
        <w:tc>
          <w:tcPr>
            <w:tcW w:w="356" w:type="pct"/>
            <w:shd w:val="clear" w:color="000000" w:fill="DDEBF7"/>
            <w:noWrap/>
            <w:vAlign w:val="center"/>
            <w:hideMark/>
          </w:tcPr>
          <w:p w14:paraId="00705CC3"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1,50,000</w:t>
            </w:r>
          </w:p>
        </w:tc>
      </w:tr>
      <w:tr w:rsidR="00EA3146" w14:paraId="36811493" w14:textId="77777777" w:rsidTr="003C60B5">
        <w:trPr>
          <w:trHeight w:val="567"/>
        </w:trPr>
        <w:tc>
          <w:tcPr>
            <w:tcW w:w="203" w:type="pct"/>
            <w:noWrap/>
            <w:vAlign w:val="center"/>
            <w:hideMark/>
          </w:tcPr>
          <w:p w14:paraId="237CE1B8" w14:textId="77777777" w:rsidR="00EA3146" w:rsidRDefault="00EA3146">
            <w:pPr>
              <w:jc w:val="center"/>
              <w:rPr>
                <w:rFonts w:ascii="Aptos" w:hAnsi="Aptos" w:cs="Calibri"/>
                <w:color w:val="000000"/>
                <w:sz w:val="20"/>
                <w:szCs w:val="20"/>
              </w:rPr>
            </w:pPr>
            <w:r>
              <w:rPr>
                <w:rFonts w:ascii="Aptos" w:hAnsi="Aptos" w:cs="Arial"/>
                <w:color w:val="000000"/>
                <w:sz w:val="20"/>
                <w:szCs w:val="20"/>
              </w:rPr>
              <w:t>2.1</w:t>
            </w:r>
          </w:p>
        </w:tc>
        <w:tc>
          <w:tcPr>
            <w:tcW w:w="3747" w:type="pct"/>
            <w:vAlign w:val="center"/>
            <w:hideMark/>
          </w:tcPr>
          <w:p w14:paraId="08EC2364" w14:textId="1A65D750" w:rsidR="00EA3146" w:rsidRDefault="00EA3146">
            <w:pPr>
              <w:rPr>
                <w:rFonts w:ascii="Aptos" w:hAnsi="Aptos" w:cs="Calibri"/>
                <w:b/>
                <w:bCs/>
                <w:color w:val="000000"/>
                <w:sz w:val="20"/>
                <w:szCs w:val="20"/>
              </w:rPr>
            </w:pPr>
            <w:r>
              <w:rPr>
                <w:rFonts w:ascii="Aptos" w:hAnsi="Aptos" w:cs="Arial"/>
                <w:color w:val="000000"/>
                <w:sz w:val="20"/>
                <w:szCs w:val="20"/>
                <w:u w:val="single"/>
              </w:rPr>
              <w:t>UPSLDC Bank Guarantee / FDR for new memberships</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(Payable to UPSLDC by the customer directly @ Rs 1,50,000 / MW)</w:t>
            </w:r>
          </w:p>
        </w:tc>
        <w:tc>
          <w:tcPr>
            <w:tcW w:w="282" w:type="pct"/>
            <w:noWrap/>
            <w:vAlign w:val="center"/>
            <w:hideMark/>
          </w:tcPr>
          <w:p w14:paraId="66167B1C"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77DBB77"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D8D72FB" w14:textId="77777777" w:rsidR="00EA3146" w:rsidRDefault="00EA3146">
            <w:pPr>
              <w:jc w:val="right"/>
              <w:rPr>
                <w:rFonts w:ascii="Aptos" w:hAnsi="Aptos" w:cs="Calibri"/>
                <w:color w:val="000000"/>
                <w:sz w:val="20"/>
                <w:szCs w:val="20"/>
              </w:rPr>
            </w:pPr>
            <w:r w:rsidRPr="00201BE8">
              <w:rPr>
                <w:rFonts w:ascii="Aptos" w:hAnsi="Aptos" w:cs="Arial"/>
                <w:color w:val="000000"/>
                <w:sz w:val="20"/>
                <w:szCs w:val="20"/>
                <w:highlight w:val="yellow"/>
              </w:rPr>
              <w:t>₹ 1,50,000</w:t>
            </w:r>
          </w:p>
        </w:tc>
      </w:tr>
      <w:tr w:rsidR="00EA3146" w14:paraId="01648CAC" w14:textId="77777777" w:rsidTr="003C60B5">
        <w:trPr>
          <w:trHeight w:val="397"/>
        </w:trPr>
        <w:tc>
          <w:tcPr>
            <w:tcW w:w="203" w:type="pct"/>
            <w:shd w:val="clear" w:color="000000" w:fill="DDEBF7"/>
            <w:noWrap/>
            <w:vAlign w:val="center"/>
            <w:hideMark/>
          </w:tcPr>
          <w:p w14:paraId="10FF1BF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3</w:t>
            </w:r>
          </w:p>
        </w:tc>
        <w:tc>
          <w:tcPr>
            <w:tcW w:w="4441" w:type="pct"/>
            <w:gridSpan w:val="3"/>
            <w:shd w:val="clear" w:color="000000" w:fill="DDEBF7"/>
            <w:noWrap/>
            <w:vAlign w:val="center"/>
            <w:hideMark/>
          </w:tcPr>
          <w:p w14:paraId="25E01D3C" w14:textId="77777777" w:rsidR="00EA3146" w:rsidRDefault="00EA3146">
            <w:pPr>
              <w:rPr>
                <w:rFonts w:ascii="Aptos" w:hAnsi="Aptos" w:cs="Calibri"/>
                <w:b/>
                <w:bCs/>
                <w:color w:val="000000"/>
                <w:sz w:val="20"/>
                <w:szCs w:val="20"/>
              </w:rPr>
            </w:pPr>
            <w:r>
              <w:rPr>
                <w:rFonts w:ascii="Aptos" w:hAnsi="Aptos" w:cs="Calibri"/>
                <w:b/>
                <w:bCs/>
                <w:color w:val="000000"/>
                <w:sz w:val="20"/>
                <w:szCs w:val="20"/>
              </w:rPr>
              <w:t>Fixed Recurring Charges</w:t>
            </w:r>
          </w:p>
        </w:tc>
        <w:tc>
          <w:tcPr>
            <w:tcW w:w="356" w:type="pct"/>
            <w:shd w:val="clear" w:color="000000" w:fill="DDEBF7"/>
            <w:noWrap/>
            <w:vAlign w:val="center"/>
            <w:hideMark/>
          </w:tcPr>
          <w:p w14:paraId="21CE461D"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1,27,000</w:t>
            </w:r>
          </w:p>
        </w:tc>
      </w:tr>
      <w:tr w:rsidR="00EA3146" w14:paraId="502EFEF5" w14:textId="77777777" w:rsidTr="003C60B5">
        <w:trPr>
          <w:trHeight w:val="567"/>
        </w:trPr>
        <w:tc>
          <w:tcPr>
            <w:tcW w:w="203" w:type="pct"/>
            <w:noWrap/>
            <w:vAlign w:val="center"/>
            <w:hideMark/>
          </w:tcPr>
          <w:p w14:paraId="09755690" w14:textId="77777777" w:rsidR="00EA3146" w:rsidRDefault="00EA3146">
            <w:pPr>
              <w:jc w:val="center"/>
              <w:rPr>
                <w:rFonts w:ascii="Aptos" w:hAnsi="Aptos" w:cs="Calibri"/>
                <w:color w:val="000000"/>
                <w:sz w:val="20"/>
                <w:szCs w:val="20"/>
              </w:rPr>
            </w:pPr>
            <w:r>
              <w:rPr>
                <w:rFonts w:ascii="Aptos" w:hAnsi="Aptos" w:cs="Arial"/>
                <w:color w:val="000000"/>
                <w:sz w:val="20"/>
                <w:szCs w:val="20"/>
              </w:rPr>
              <w:t>3.1</w:t>
            </w:r>
          </w:p>
        </w:tc>
        <w:tc>
          <w:tcPr>
            <w:tcW w:w="3747" w:type="pct"/>
            <w:noWrap/>
            <w:vAlign w:val="center"/>
            <w:hideMark/>
          </w:tcPr>
          <w:p w14:paraId="75868F0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IEX Annual Membership Fees </w:t>
            </w:r>
          </w:p>
        </w:tc>
        <w:tc>
          <w:tcPr>
            <w:tcW w:w="282" w:type="pct"/>
            <w:noWrap/>
            <w:vAlign w:val="center"/>
            <w:hideMark/>
          </w:tcPr>
          <w:p w14:paraId="462903A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2E7DD74A" w14:textId="77777777" w:rsidR="00EA3146" w:rsidRDefault="00EA3146">
            <w:pPr>
              <w:jc w:val="center"/>
              <w:rPr>
                <w:rFonts w:ascii="Aptos" w:hAnsi="Aptos" w:cs="Calibri"/>
                <w:color w:val="000000"/>
                <w:sz w:val="20"/>
                <w:szCs w:val="20"/>
              </w:rPr>
            </w:pPr>
            <w:r>
              <w:rPr>
                <w:rFonts w:ascii="Aptos" w:hAnsi="Aptos" w:cs="Arial"/>
                <w:color w:val="000000"/>
                <w:sz w:val="20"/>
                <w:szCs w:val="20"/>
              </w:rPr>
              <w:t>Annual</w:t>
            </w:r>
          </w:p>
        </w:tc>
        <w:tc>
          <w:tcPr>
            <w:tcW w:w="356" w:type="pct"/>
            <w:noWrap/>
            <w:vAlign w:val="center"/>
            <w:hideMark/>
          </w:tcPr>
          <w:p w14:paraId="2CB8FF83"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1,00,000</w:t>
            </w:r>
          </w:p>
        </w:tc>
      </w:tr>
      <w:tr w:rsidR="00EA3146" w14:paraId="55B33C6E" w14:textId="77777777" w:rsidTr="003C60B5">
        <w:trPr>
          <w:trHeight w:val="567"/>
        </w:trPr>
        <w:tc>
          <w:tcPr>
            <w:tcW w:w="203" w:type="pct"/>
            <w:noWrap/>
            <w:vAlign w:val="center"/>
            <w:hideMark/>
          </w:tcPr>
          <w:p w14:paraId="35F7E9F3" w14:textId="77777777" w:rsidR="00EA3146" w:rsidRDefault="00EA3146">
            <w:pPr>
              <w:jc w:val="center"/>
              <w:rPr>
                <w:rFonts w:ascii="Aptos" w:hAnsi="Aptos" w:cs="Calibri"/>
                <w:color w:val="000000"/>
                <w:sz w:val="20"/>
                <w:szCs w:val="20"/>
              </w:rPr>
            </w:pPr>
            <w:r>
              <w:rPr>
                <w:rFonts w:ascii="Aptos" w:hAnsi="Aptos" w:cs="Arial"/>
                <w:color w:val="000000"/>
                <w:sz w:val="20"/>
                <w:szCs w:val="20"/>
              </w:rPr>
              <w:t>3.2</w:t>
            </w:r>
          </w:p>
        </w:tc>
        <w:tc>
          <w:tcPr>
            <w:tcW w:w="3747" w:type="pct"/>
            <w:noWrap/>
            <w:vAlign w:val="center"/>
            <w:hideMark/>
          </w:tcPr>
          <w:p w14:paraId="02D6ED2B"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UPSLDC Monthly NOC Charges </w:t>
            </w:r>
          </w:p>
        </w:tc>
        <w:tc>
          <w:tcPr>
            <w:tcW w:w="282" w:type="pct"/>
            <w:noWrap/>
            <w:vAlign w:val="center"/>
            <w:hideMark/>
          </w:tcPr>
          <w:p w14:paraId="0A552E97"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0E91188"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08523B22"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7,000</w:t>
            </w:r>
          </w:p>
        </w:tc>
      </w:tr>
      <w:tr w:rsidR="00EA3146" w14:paraId="7B44CB4F" w14:textId="77777777" w:rsidTr="003C60B5">
        <w:trPr>
          <w:trHeight w:val="567"/>
        </w:trPr>
        <w:tc>
          <w:tcPr>
            <w:tcW w:w="203" w:type="pct"/>
            <w:noWrap/>
            <w:vAlign w:val="center"/>
            <w:hideMark/>
          </w:tcPr>
          <w:p w14:paraId="5822256C" w14:textId="77777777" w:rsidR="00EA3146" w:rsidRDefault="00EA3146">
            <w:pPr>
              <w:jc w:val="center"/>
              <w:rPr>
                <w:rFonts w:ascii="Aptos" w:hAnsi="Aptos" w:cs="Calibri"/>
                <w:color w:val="000000"/>
                <w:sz w:val="20"/>
                <w:szCs w:val="20"/>
              </w:rPr>
            </w:pPr>
            <w:r>
              <w:rPr>
                <w:rFonts w:ascii="Aptos" w:hAnsi="Aptos" w:cs="Arial"/>
                <w:color w:val="000000"/>
                <w:sz w:val="20"/>
                <w:szCs w:val="20"/>
              </w:rPr>
              <w:t>3.3</w:t>
            </w:r>
          </w:p>
        </w:tc>
        <w:tc>
          <w:tcPr>
            <w:tcW w:w="3747" w:type="pct"/>
            <w:noWrap/>
            <w:vAlign w:val="center"/>
            <w:hideMark/>
          </w:tcPr>
          <w:p w14:paraId="310294E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ST -11 &amp; Bill Settlement</w:t>
            </w:r>
          </w:p>
        </w:tc>
        <w:tc>
          <w:tcPr>
            <w:tcW w:w="282" w:type="pct"/>
            <w:noWrap/>
            <w:vAlign w:val="center"/>
            <w:hideMark/>
          </w:tcPr>
          <w:p w14:paraId="4B170E4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4E8B81A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58F99E8F"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20,000</w:t>
            </w:r>
          </w:p>
        </w:tc>
      </w:tr>
      <w:tr w:rsidR="00EA3146" w14:paraId="2F3BE070" w14:textId="77777777" w:rsidTr="003C60B5">
        <w:trPr>
          <w:trHeight w:val="397"/>
        </w:trPr>
        <w:tc>
          <w:tcPr>
            <w:tcW w:w="203" w:type="pct"/>
            <w:shd w:val="clear" w:color="000000" w:fill="DDEBF7"/>
            <w:noWrap/>
            <w:vAlign w:val="center"/>
            <w:hideMark/>
          </w:tcPr>
          <w:p w14:paraId="19387D1A"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4</w:t>
            </w:r>
          </w:p>
        </w:tc>
        <w:tc>
          <w:tcPr>
            <w:tcW w:w="4797" w:type="pct"/>
            <w:gridSpan w:val="4"/>
            <w:shd w:val="clear" w:color="000000" w:fill="DDEBF7"/>
            <w:noWrap/>
            <w:vAlign w:val="center"/>
            <w:hideMark/>
          </w:tcPr>
          <w:p w14:paraId="27241B66" w14:textId="77777777" w:rsidR="00EA3146" w:rsidRDefault="00EA3146">
            <w:pPr>
              <w:rPr>
                <w:rFonts w:ascii="Aptos" w:hAnsi="Aptos" w:cs="Calibri"/>
                <w:b/>
                <w:bCs/>
                <w:color w:val="000000"/>
                <w:sz w:val="20"/>
                <w:szCs w:val="20"/>
              </w:rPr>
            </w:pPr>
            <w:r>
              <w:rPr>
                <w:rFonts w:ascii="Aptos" w:hAnsi="Aptos" w:cs="Calibri"/>
                <w:b/>
                <w:bCs/>
                <w:color w:val="000000"/>
                <w:sz w:val="20"/>
                <w:szCs w:val="20"/>
              </w:rPr>
              <w:t>Probus Fees</w:t>
            </w:r>
          </w:p>
        </w:tc>
      </w:tr>
      <w:tr w:rsidR="00EA3146" w14:paraId="1F4DD3B3" w14:textId="77777777" w:rsidTr="003C60B5">
        <w:trPr>
          <w:trHeight w:val="567"/>
        </w:trPr>
        <w:tc>
          <w:tcPr>
            <w:tcW w:w="203" w:type="pct"/>
            <w:noWrap/>
            <w:vAlign w:val="center"/>
            <w:hideMark/>
          </w:tcPr>
          <w:p w14:paraId="271DEDFF" w14:textId="77777777" w:rsidR="00EA3146" w:rsidRDefault="00EA3146">
            <w:pPr>
              <w:jc w:val="center"/>
              <w:rPr>
                <w:rFonts w:ascii="Aptos" w:hAnsi="Aptos" w:cs="Calibri"/>
                <w:color w:val="000000"/>
                <w:sz w:val="20"/>
                <w:szCs w:val="20"/>
              </w:rPr>
            </w:pPr>
            <w:r>
              <w:rPr>
                <w:rFonts w:ascii="Aptos" w:hAnsi="Aptos" w:cs="Arial"/>
                <w:color w:val="000000"/>
                <w:sz w:val="20"/>
                <w:szCs w:val="20"/>
              </w:rPr>
              <w:t>4.1</w:t>
            </w:r>
          </w:p>
        </w:tc>
        <w:tc>
          <w:tcPr>
            <w:tcW w:w="3747" w:type="pct"/>
            <w:noWrap/>
            <w:vAlign w:val="center"/>
            <w:hideMark/>
          </w:tcPr>
          <w:p w14:paraId="42402A2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Trading Margin</w:t>
            </w:r>
          </w:p>
        </w:tc>
        <w:tc>
          <w:tcPr>
            <w:tcW w:w="282" w:type="pct"/>
            <w:noWrap/>
            <w:vAlign w:val="center"/>
            <w:hideMark/>
          </w:tcPr>
          <w:p w14:paraId="329DDDD4"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6D53E8AD"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47122CC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22A5FD16" w14:textId="77777777" w:rsidTr="003C60B5">
        <w:trPr>
          <w:trHeight w:val="567"/>
        </w:trPr>
        <w:tc>
          <w:tcPr>
            <w:tcW w:w="203" w:type="pct"/>
            <w:noWrap/>
            <w:vAlign w:val="center"/>
            <w:hideMark/>
          </w:tcPr>
          <w:p w14:paraId="07BF2CFB" w14:textId="77777777" w:rsidR="00EA3146" w:rsidRDefault="00EA3146">
            <w:pPr>
              <w:jc w:val="center"/>
              <w:rPr>
                <w:rFonts w:ascii="Aptos" w:hAnsi="Aptos" w:cs="Calibri"/>
                <w:color w:val="000000"/>
                <w:sz w:val="20"/>
                <w:szCs w:val="20"/>
              </w:rPr>
            </w:pPr>
            <w:r>
              <w:rPr>
                <w:rFonts w:ascii="Aptos" w:hAnsi="Aptos" w:cs="Arial"/>
                <w:color w:val="000000"/>
                <w:sz w:val="20"/>
                <w:szCs w:val="20"/>
              </w:rPr>
              <w:t>4.2</w:t>
            </w:r>
          </w:p>
        </w:tc>
        <w:tc>
          <w:tcPr>
            <w:tcW w:w="3747" w:type="pct"/>
            <w:noWrap/>
            <w:vAlign w:val="center"/>
            <w:hideMark/>
          </w:tcPr>
          <w:p w14:paraId="4C2D607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Platform Fees for Prolt Energy Platform</w:t>
            </w:r>
          </w:p>
        </w:tc>
        <w:tc>
          <w:tcPr>
            <w:tcW w:w="282" w:type="pct"/>
            <w:noWrap/>
            <w:vAlign w:val="center"/>
            <w:hideMark/>
          </w:tcPr>
          <w:p w14:paraId="03D99EEE"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4EB2B5B3"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38F1786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5B47F0C6" w14:textId="77777777" w:rsidTr="003C60B5">
        <w:trPr>
          <w:trHeight w:val="567"/>
        </w:trPr>
        <w:tc>
          <w:tcPr>
            <w:tcW w:w="203" w:type="pct"/>
            <w:noWrap/>
            <w:vAlign w:val="center"/>
            <w:hideMark/>
          </w:tcPr>
          <w:p w14:paraId="54EB08C3" w14:textId="77777777" w:rsidR="00EA3146" w:rsidRDefault="00EA3146">
            <w:pPr>
              <w:jc w:val="center"/>
              <w:rPr>
                <w:rFonts w:ascii="Aptos" w:hAnsi="Aptos" w:cs="Calibri"/>
                <w:color w:val="000000"/>
                <w:sz w:val="20"/>
                <w:szCs w:val="20"/>
              </w:rPr>
            </w:pPr>
            <w:r>
              <w:rPr>
                <w:rFonts w:ascii="Aptos" w:hAnsi="Aptos" w:cs="Arial"/>
                <w:color w:val="000000"/>
                <w:sz w:val="20"/>
                <w:szCs w:val="20"/>
              </w:rPr>
              <w:t>4.3</w:t>
            </w:r>
          </w:p>
        </w:tc>
        <w:tc>
          <w:tcPr>
            <w:tcW w:w="3747" w:type="pct"/>
            <w:noWrap/>
            <w:vAlign w:val="center"/>
            <w:hideMark/>
          </w:tcPr>
          <w:p w14:paraId="57BBFD8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Value Share for Prolt Energy Platform</w:t>
            </w:r>
          </w:p>
        </w:tc>
        <w:tc>
          <w:tcPr>
            <w:tcW w:w="282" w:type="pct"/>
            <w:noWrap/>
            <w:vAlign w:val="center"/>
            <w:hideMark/>
          </w:tcPr>
          <w:p w14:paraId="61F9F1F7" w14:textId="77777777" w:rsidR="00EA3146" w:rsidRDefault="00EA3146">
            <w:pPr>
              <w:jc w:val="center"/>
              <w:rPr>
                <w:rFonts w:ascii="Aptos" w:hAnsi="Aptos" w:cs="Calibri"/>
                <w:color w:val="000000"/>
                <w:sz w:val="20"/>
                <w:szCs w:val="20"/>
              </w:rPr>
            </w:pPr>
            <w:r>
              <w:rPr>
                <w:rFonts w:ascii="Aptos" w:hAnsi="Aptos" w:cs="Arial"/>
                <w:color w:val="000000"/>
                <w:sz w:val="20"/>
                <w:szCs w:val="20"/>
              </w:rPr>
              <w:t>Percent</w:t>
            </w:r>
          </w:p>
        </w:tc>
        <w:tc>
          <w:tcPr>
            <w:tcW w:w="412" w:type="pct"/>
            <w:noWrap/>
            <w:vAlign w:val="center"/>
            <w:hideMark/>
          </w:tcPr>
          <w:p w14:paraId="4CC48D5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2B6EF8B5"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15%</w:t>
            </w:r>
          </w:p>
        </w:tc>
      </w:tr>
      <w:tr w:rsidR="00EA3146" w14:paraId="55EBCCA4" w14:textId="77777777" w:rsidTr="003C60B5">
        <w:trPr>
          <w:trHeight w:val="567"/>
        </w:trPr>
        <w:tc>
          <w:tcPr>
            <w:tcW w:w="203" w:type="pct"/>
            <w:noWrap/>
            <w:vAlign w:val="center"/>
            <w:hideMark/>
          </w:tcPr>
          <w:p w14:paraId="71ECBE88" w14:textId="77777777" w:rsidR="00EA3146" w:rsidRDefault="00EA3146">
            <w:pPr>
              <w:jc w:val="center"/>
              <w:rPr>
                <w:rFonts w:ascii="Aptos" w:hAnsi="Aptos" w:cs="Calibri"/>
                <w:color w:val="000000"/>
                <w:sz w:val="20"/>
                <w:szCs w:val="20"/>
              </w:rPr>
            </w:pPr>
            <w:r>
              <w:rPr>
                <w:rFonts w:ascii="Aptos" w:hAnsi="Aptos" w:cs="Arial"/>
                <w:color w:val="000000"/>
                <w:sz w:val="20"/>
                <w:szCs w:val="20"/>
              </w:rPr>
              <w:t>4.4</w:t>
            </w:r>
          </w:p>
        </w:tc>
        <w:tc>
          <w:tcPr>
            <w:tcW w:w="3747" w:type="pct"/>
            <w:vAlign w:val="center"/>
            <w:hideMark/>
          </w:tcPr>
          <w:p w14:paraId="2256691C" w14:textId="5001CD56" w:rsidR="00EA3146" w:rsidRDefault="00EA3146">
            <w:pPr>
              <w:rPr>
                <w:rFonts w:ascii="Aptos" w:hAnsi="Aptos" w:cs="Calibri"/>
                <w:b/>
                <w:bCs/>
                <w:color w:val="000000"/>
                <w:sz w:val="20"/>
                <w:szCs w:val="20"/>
              </w:rPr>
            </w:pPr>
            <w:r>
              <w:rPr>
                <w:rFonts w:ascii="Aptos" w:hAnsi="Aptos" w:cs="Arial"/>
                <w:color w:val="000000"/>
                <w:sz w:val="20"/>
                <w:szCs w:val="20"/>
                <w:u w:val="single"/>
              </w:rPr>
              <w:t>Prolt Energy Smart Metering Infra</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 HT Meter + AMR (4G Fallback to 2G AMR)- 1 Nos.</w:t>
            </w:r>
            <w:r>
              <w:rPr>
                <w:rFonts w:ascii="Aptos" w:hAnsi="Aptos" w:cs="Arial"/>
                <w:color w:val="000000"/>
                <w:sz w:val="20"/>
                <w:szCs w:val="20"/>
              </w:rPr>
              <w:br/>
              <w:t>- Installation of Metering Infra</w:t>
            </w:r>
            <w:r>
              <w:rPr>
                <w:rFonts w:ascii="Aptos" w:hAnsi="Aptos" w:cs="Arial"/>
                <w:color w:val="000000"/>
                <w:sz w:val="20"/>
                <w:szCs w:val="20"/>
              </w:rPr>
              <w:br/>
              <w:t>- Smart LED TV</w:t>
            </w:r>
          </w:p>
        </w:tc>
        <w:tc>
          <w:tcPr>
            <w:tcW w:w="282" w:type="pct"/>
            <w:noWrap/>
            <w:vAlign w:val="center"/>
            <w:hideMark/>
          </w:tcPr>
          <w:p w14:paraId="680B1AD4"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D11380C"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689FCF97"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1,70,000</w:t>
            </w:r>
          </w:p>
        </w:tc>
      </w:tr>
    </w:tbl>
    <w:p w14:paraId="113FED26" w14:textId="77777777" w:rsidR="00EA3146" w:rsidRDefault="00EA3146" w:rsidP="00021D48">
      <w:pPr>
        <w:rPr>
          <w:rFonts w:ascii="Aptos" w:hAnsi="Aptos"/>
        </w:rPr>
      </w:pPr>
    </w:p>
    <w:p w14:paraId="4E1AE071" w14:textId="77777777" w:rsidR="00021D48" w:rsidRDefault="00021D48" w:rsidP="00021D48">
      <w:pPr>
        <w:rPr>
          <w:rFonts w:ascii="Aptos" w:hAnsi="Aptos"/>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trPr>
        <w:tc>
          <w:tcPr>
            <w:tcW w:w="5000" w:type="pct"/>
            <w:gridSpan w:val="3"/>
            <w:shd w:val="clear" w:color="000000" w:fill="002060"/>
            <w:vAlign w:val="center"/>
            <w:hideMark/>
          </w:tcPr>
          <w:p w14:paraId="6A96FB8F" w14:textId="77777777" w:rsidR="00201BE8" w:rsidRDefault="00201BE8" w:rsidP="00201BE8">
            <w:pPr>
              <w:rPr>
                <w:rFonts w:ascii="Aptos" w:hAnsi="Aptos" w:cs="Calibri"/>
                <w:b/>
                <w:bCs/>
                <w:color w:val="FFFFFF"/>
                <w:sz w:val="20"/>
                <w:szCs w:val="20"/>
                <w:lang w:eastAsia="en-IN"/>
              </w:rPr>
            </w:pPr>
            <w:r>
              <w:rPr>
                <w:rFonts w:ascii="Aptos" w:hAnsi="Aptos" w:cs="Calibri"/>
                <w:b/>
                <w:bCs/>
                <w:color w:val="FFFFFF"/>
                <w:sz w:val="20"/>
                <w:szCs w:val="20"/>
                <w:lang w:val="en-US" w:bidi="th-TH"/>
              </w:rPr>
              <w:lastRenderedPageBreak/>
              <w:t>Terms &amp; Conditions:</w:t>
            </w:r>
          </w:p>
        </w:tc>
      </w:tr>
      <w:tr w:rsidR="00201BE8" w14:paraId="29F3FFC3" w14:textId="77777777" w:rsidTr="003C60B5">
        <w:trPr>
          <w:trHeight w:val="454"/>
        </w:trPr>
        <w:tc>
          <w:tcPr>
            <w:tcW w:w="239" w:type="pct"/>
            <w:shd w:val="clear" w:color="000000" w:fill="DDEBF7"/>
            <w:vAlign w:val="center"/>
            <w:hideMark/>
          </w:tcPr>
          <w:p w14:paraId="7F72367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bidi="th-TH"/>
              </w:rPr>
              <w:t>1</w:t>
            </w:r>
          </w:p>
        </w:tc>
        <w:tc>
          <w:tcPr>
            <w:tcW w:w="4761" w:type="pct"/>
            <w:gridSpan w:val="2"/>
            <w:shd w:val="clear" w:color="000000" w:fill="DDEBF7"/>
            <w:vAlign w:val="center"/>
            <w:hideMark/>
          </w:tcPr>
          <w:p w14:paraId="5BA0268E"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bidi="th-TH"/>
              </w:rPr>
              <w:t>Payment Terms &amp; Milestones</w:t>
            </w:r>
          </w:p>
        </w:tc>
      </w:tr>
      <w:tr w:rsidR="00201BE8" w14:paraId="06E70822" w14:textId="77777777" w:rsidTr="003C60B5">
        <w:trPr>
          <w:trHeight w:val="454"/>
        </w:trPr>
        <w:tc>
          <w:tcPr>
            <w:tcW w:w="239" w:type="pct"/>
            <w:vAlign w:val="center"/>
            <w:hideMark/>
          </w:tcPr>
          <w:p w14:paraId="10A79E14"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1.1</w:t>
            </w:r>
          </w:p>
        </w:tc>
        <w:tc>
          <w:tcPr>
            <w:tcW w:w="1811" w:type="pct"/>
            <w:vAlign w:val="center"/>
            <w:hideMark/>
          </w:tcPr>
          <w:p w14:paraId="09682EA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Supply of ABT Metering Setup</w:t>
            </w:r>
          </w:p>
        </w:tc>
        <w:tc>
          <w:tcPr>
            <w:tcW w:w="2950" w:type="pct"/>
            <w:vAlign w:val="center"/>
            <w:hideMark/>
          </w:tcPr>
          <w:p w14:paraId="7CD15CEE"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40% Advance against PO/PI</w:t>
            </w:r>
            <w:r>
              <w:rPr>
                <w:rFonts w:ascii="Aptos" w:hAnsi="Aptos" w:cs="Calibri"/>
                <w:i/>
                <w:iCs/>
                <w:color w:val="000000"/>
                <w:sz w:val="20"/>
                <w:szCs w:val="20"/>
                <w:lang w:val="en-US"/>
              </w:rPr>
              <w:br/>
              <w:t>60% At the time of dispatch</w:t>
            </w:r>
          </w:p>
        </w:tc>
      </w:tr>
      <w:tr w:rsidR="00201BE8" w14:paraId="54C5501B" w14:textId="77777777" w:rsidTr="003C60B5">
        <w:trPr>
          <w:trHeight w:val="454"/>
        </w:trPr>
        <w:tc>
          <w:tcPr>
            <w:tcW w:w="239" w:type="pct"/>
            <w:vAlign w:val="center"/>
            <w:hideMark/>
          </w:tcPr>
          <w:p w14:paraId="682FA297"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1.2</w:t>
            </w:r>
          </w:p>
        </w:tc>
        <w:tc>
          <w:tcPr>
            <w:tcW w:w="1811" w:type="pct"/>
            <w:vAlign w:val="center"/>
            <w:hideMark/>
          </w:tcPr>
          <w:p w14:paraId="067D7B7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Services for ABT Metering Setup</w:t>
            </w:r>
          </w:p>
        </w:tc>
        <w:tc>
          <w:tcPr>
            <w:tcW w:w="2950" w:type="pct"/>
            <w:vAlign w:val="center"/>
            <w:hideMark/>
          </w:tcPr>
          <w:p w14:paraId="16F51F7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Installation work under 1.2)</w:t>
            </w:r>
          </w:p>
        </w:tc>
      </w:tr>
      <w:tr w:rsidR="00201BE8" w14:paraId="0C42FD7C" w14:textId="77777777" w:rsidTr="003C60B5">
        <w:trPr>
          <w:trHeight w:val="454"/>
        </w:trPr>
        <w:tc>
          <w:tcPr>
            <w:tcW w:w="239" w:type="pct"/>
            <w:vAlign w:val="center"/>
            <w:hideMark/>
          </w:tcPr>
          <w:p w14:paraId="309EEBE9"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1.3</w:t>
            </w:r>
          </w:p>
        </w:tc>
        <w:tc>
          <w:tcPr>
            <w:tcW w:w="1811" w:type="pct"/>
            <w:vAlign w:val="center"/>
            <w:hideMark/>
          </w:tcPr>
          <w:p w14:paraId="5BCD03C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Liaisoning &amp; Consultancy</w:t>
            </w:r>
          </w:p>
        </w:tc>
        <w:tc>
          <w:tcPr>
            <w:tcW w:w="2950" w:type="pct"/>
            <w:vAlign w:val="center"/>
            <w:hideMark/>
          </w:tcPr>
          <w:p w14:paraId="6317346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work under 1.3)</w:t>
            </w:r>
          </w:p>
        </w:tc>
      </w:tr>
      <w:tr w:rsidR="00201BE8" w14:paraId="2FD2C9A3" w14:textId="77777777" w:rsidTr="003C60B5">
        <w:trPr>
          <w:trHeight w:val="454"/>
        </w:trPr>
        <w:tc>
          <w:tcPr>
            <w:tcW w:w="239" w:type="pct"/>
            <w:vAlign w:val="center"/>
            <w:hideMark/>
          </w:tcPr>
          <w:p w14:paraId="0103474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1.4</w:t>
            </w:r>
          </w:p>
        </w:tc>
        <w:tc>
          <w:tcPr>
            <w:tcW w:w="1811" w:type="pct"/>
            <w:vAlign w:val="center"/>
            <w:hideMark/>
          </w:tcPr>
          <w:p w14:paraId="75D14DD8"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UPSLDC Bank Guarantee</w:t>
            </w:r>
          </w:p>
        </w:tc>
        <w:tc>
          <w:tcPr>
            <w:tcW w:w="2950" w:type="pct"/>
            <w:vAlign w:val="center"/>
            <w:hideMark/>
          </w:tcPr>
          <w:p w14:paraId="79A4516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 Direct to UPSLDC</w:t>
            </w:r>
          </w:p>
        </w:tc>
      </w:tr>
      <w:tr w:rsidR="00201BE8" w14:paraId="32EC317F" w14:textId="77777777" w:rsidTr="003C60B5">
        <w:trPr>
          <w:trHeight w:val="454"/>
        </w:trPr>
        <w:tc>
          <w:tcPr>
            <w:tcW w:w="239" w:type="pct"/>
            <w:vAlign w:val="center"/>
            <w:hideMark/>
          </w:tcPr>
          <w:p w14:paraId="448E2C2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1.5</w:t>
            </w:r>
          </w:p>
        </w:tc>
        <w:tc>
          <w:tcPr>
            <w:tcW w:w="1811" w:type="pct"/>
            <w:vAlign w:val="center"/>
            <w:hideMark/>
          </w:tcPr>
          <w:p w14:paraId="1D3FFDD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Fixed Recurring Charges (S. No. 2.1 to 2.3)</w:t>
            </w:r>
          </w:p>
        </w:tc>
        <w:tc>
          <w:tcPr>
            <w:tcW w:w="2950" w:type="pct"/>
            <w:vAlign w:val="center"/>
            <w:hideMark/>
          </w:tcPr>
          <w:p w14:paraId="3AFA6472"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of submission of Monthly Invoice.</w:t>
            </w:r>
          </w:p>
        </w:tc>
      </w:tr>
      <w:tr w:rsidR="00201BE8" w14:paraId="3FFEFB50" w14:textId="77777777" w:rsidTr="003C60B5">
        <w:trPr>
          <w:trHeight w:val="454"/>
        </w:trPr>
        <w:tc>
          <w:tcPr>
            <w:tcW w:w="239" w:type="pct"/>
            <w:vAlign w:val="center"/>
            <w:hideMark/>
          </w:tcPr>
          <w:p w14:paraId="2A33A4F0"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1.6</w:t>
            </w:r>
          </w:p>
        </w:tc>
        <w:tc>
          <w:tcPr>
            <w:tcW w:w="1811" w:type="pct"/>
            <w:vAlign w:val="center"/>
            <w:hideMark/>
          </w:tcPr>
          <w:p w14:paraId="1A4B4FD3"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Probus Fees (S. No. 3.1 to 3.3)</w:t>
            </w:r>
          </w:p>
        </w:tc>
        <w:tc>
          <w:tcPr>
            <w:tcW w:w="2950" w:type="pct"/>
            <w:vAlign w:val="center"/>
            <w:hideMark/>
          </w:tcPr>
          <w:p w14:paraId="564213D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submission of Monthly Invoice</w:t>
            </w:r>
          </w:p>
        </w:tc>
      </w:tr>
      <w:tr w:rsidR="00201BE8" w14:paraId="7FF82A37" w14:textId="77777777" w:rsidTr="003C60B5">
        <w:trPr>
          <w:trHeight w:val="454"/>
        </w:trPr>
        <w:tc>
          <w:tcPr>
            <w:tcW w:w="239" w:type="pct"/>
            <w:vAlign w:val="center"/>
            <w:hideMark/>
          </w:tcPr>
          <w:p w14:paraId="33FC035B"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1.7</w:t>
            </w:r>
          </w:p>
        </w:tc>
        <w:tc>
          <w:tcPr>
            <w:tcW w:w="1811" w:type="pct"/>
            <w:vAlign w:val="center"/>
            <w:hideMark/>
          </w:tcPr>
          <w:p w14:paraId="661984F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rPr>
                <w:rFonts w:ascii="Aptos" w:hAnsi="Aptos" w:cs="Calibri"/>
                <w:i/>
                <w:iCs/>
                <w:color w:val="000000"/>
                <w:sz w:val="20"/>
                <w:szCs w:val="20"/>
              </w:rPr>
            </w:pPr>
            <w:r w:rsidRPr="00201BE8">
              <w:rPr>
                <w:rFonts w:ascii="Aptos" w:hAnsi="Aptos" w:cs="Calibri"/>
                <w:i/>
                <w:iCs/>
                <w:color w:val="000000"/>
                <w:sz w:val="20"/>
                <w:szCs w:val="20"/>
                <w:highlight w:val="yellow"/>
                <w:lang w:val="en-US"/>
              </w:rPr>
              <w:t>100% Advance against PO/PI</w:t>
            </w:r>
          </w:p>
        </w:tc>
      </w:tr>
      <w:tr w:rsidR="00201BE8" w14:paraId="52BBE523" w14:textId="77777777" w:rsidTr="003C60B5">
        <w:trPr>
          <w:trHeight w:val="454"/>
        </w:trPr>
        <w:tc>
          <w:tcPr>
            <w:tcW w:w="239" w:type="pct"/>
            <w:shd w:val="clear" w:color="000000" w:fill="DDEBF7"/>
            <w:vAlign w:val="center"/>
            <w:hideMark/>
          </w:tcPr>
          <w:p w14:paraId="6E7876E4"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2</w:t>
            </w:r>
          </w:p>
        </w:tc>
        <w:tc>
          <w:tcPr>
            <w:tcW w:w="1811" w:type="pct"/>
            <w:shd w:val="clear" w:color="000000" w:fill="DDEBF7"/>
            <w:vAlign w:val="center"/>
            <w:hideMark/>
          </w:tcPr>
          <w:p w14:paraId="1E75EC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Taxes &amp; Duties</w:t>
            </w:r>
          </w:p>
        </w:tc>
        <w:tc>
          <w:tcPr>
            <w:tcW w:w="2950" w:type="pct"/>
            <w:shd w:val="clear" w:color="000000" w:fill="DDEBF7"/>
            <w:vAlign w:val="center"/>
            <w:hideMark/>
          </w:tcPr>
          <w:p w14:paraId="2D0C7A48"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All Taxes and Duties to be as per actuals and as per the guidelines of the applicable Act. (Currently GST @ 18.00%)</w:t>
            </w:r>
          </w:p>
        </w:tc>
      </w:tr>
      <w:tr w:rsidR="00201BE8" w14:paraId="1FC472DC" w14:textId="77777777" w:rsidTr="003C60B5">
        <w:trPr>
          <w:trHeight w:val="454"/>
        </w:trPr>
        <w:tc>
          <w:tcPr>
            <w:tcW w:w="239" w:type="pct"/>
            <w:shd w:val="clear" w:color="000000" w:fill="DDEBF7"/>
            <w:vAlign w:val="center"/>
            <w:hideMark/>
          </w:tcPr>
          <w:p w14:paraId="0D524669"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3</w:t>
            </w:r>
          </w:p>
        </w:tc>
        <w:tc>
          <w:tcPr>
            <w:tcW w:w="1811" w:type="pct"/>
            <w:shd w:val="clear" w:color="000000" w:fill="DDEBF7"/>
            <w:vAlign w:val="center"/>
            <w:hideMark/>
          </w:tcPr>
          <w:p w14:paraId="2863E3B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Freight</w:t>
            </w:r>
          </w:p>
        </w:tc>
        <w:tc>
          <w:tcPr>
            <w:tcW w:w="2950" w:type="pct"/>
            <w:shd w:val="clear" w:color="000000" w:fill="DDEBF7"/>
            <w:vAlign w:val="center"/>
            <w:hideMark/>
          </w:tcPr>
          <w:p w14:paraId="1B22C3F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actuals (only on S. No.1.1)</w:t>
            </w:r>
          </w:p>
        </w:tc>
      </w:tr>
      <w:tr w:rsidR="00201BE8" w14:paraId="0AD0A94A" w14:textId="77777777" w:rsidTr="003C60B5">
        <w:trPr>
          <w:trHeight w:val="454"/>
        </w:trPr>
        <w:tc>
          <w:tcPr>
            <w:tcW w:w="239" w:type="pct"/>
            <w:shd w:val="clear" w:color="000000" w:fill="DDEBF7"/>
            <w:vAlign w:val="center"/>
            <w:hideMark/>
          </w:tcPr>
          <w:p w14:paraId="4E77282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4</w:t>
            </w:r>
          </w:p>
        </w:tc>
        <w:tc>
          <w:tcPr>
            <w:tcW w:w="1811" w:type="pct"/>
            <w:shd w:val="clear" w:color="000000" w:fill="DDEBF7"/>
            <w:vAlign w:val="center"/>
            <w:hideMark/>
          </w:tcPr>
          <w:p w14:paraId="4C4B5B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Packaging &amp; Forwarding</w:t>
            </w:r>
          </w:p>
        </w:tc>
        <w:tc>
          <w:tcPr>
            <w:tcW w:w="2950" w:type="pct"/>
            <w:shd w:val="clear" w:color="000000" w:fill="DDEBF7"/>
            <w:vAlign w:val="center"/>
            <w:hideMark/>
          </w:tcPr>
          <w:p w14:paraId="01FE10A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10468DBE" w14:textId="77777777" w:rsidTr="003C60B5">
        <w:trPr>
          <w:trHeight w:val="454"/>
        </w:trPr>
        <w:tc>
          <w:tcPr>
            <w:tcW w:w="239" w:type="pct"/>
            <w:shd w:val="clear" w:color="000000" w:fill="DDEBF7"/>
            <w:vAlign w:val="center"/>
            <w:hideMark/>
          </w:tcPr>
          <w:p w14:paraId="01FB233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5</w:t>
            </w:r>
          </w:p>
        </w:tc>
        <w:tc>
          <w:tcPr>
            <w:tcW w:w="1811" w:type="pct"/>
            <w:shd w:val="clear" w:color="000000" w:fill="DDEBF7"/>
            <w:vAlign w:val="center"/>
            <w:hideMark/>
          </w:tcPr>
          <w:p w14:paraId="1A831A0A"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Insurance</w:t>
            </w:r>
          </w:p>
        </w:tc>
        <w:tc>
          <w:tcPr>
            <w:tcW w:w="2950" w:type="pct"/>
            <w:shd w:val="clear" w:color="000000" w:fill="DDEBF7"/>
            <w:vAlign w:val="center"/>
            <w:hideMark/>
          </w:tcPr>
          <w:p w14:paraId="328AC223"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6EA3DCF6" w14:textId="77777777" w:rsidTr="003C60B5">
        <w:trPr>
          <w:trHeight w:val="454"/>
        </w:trPr>
        <w:tc>
          <w:tcPr>
            <w:tcW w:w="239" w:type="pct"/>
            <w:shd w:val="clear" w:color="000000" w:fill="DDEBF7"/>
            <w:vAlign w:val="center"/>
            <w:hideMark/>
          </w:tcPr>
          <w:p w14:paraId="7DB8739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6</w:t>
            </w:r>
          </w:p>
        </w:tc>
        <w:tc>
          <w:tcPr>
            <w:tcW w:w="1811" w:type="pct"/>
            <w:shd w:val="clear" w:color="000000" w:fill="DDEBF7"/>
            <w:vAlign w:val="center"/>
            <w:hideMark/>
          </w:tcPr>
          <w:p w14:paraId="283718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Delivery</w:t>
            </w:r>
          </w:p>
        </w:tc>
        <w:tc>
          <w:tcPr>
            <w:tcW w:w="2950" w:type="pct"/>
            <w:shd w:val="clear" w:color="000000" w:fill="DDEBF7"/>
            <w:vAlign w:val="center"/>
            <w:hideMark/>
          </w:tcPr>
          <w:p w14:paraId="64C181F7"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4-5 Weeks after receipt of PO and pro-rate payment (only on S. No.1.1)</w:t>
            </w:r>
          </w:p>
        </w:tc>
      </w:tr>
      <w:tr w:rsidR="00201BE8" w14:paraId="6FF8EE26" w14:textId="77777777" w:rsidTr="003C60B5">
        <w:trPr>
          <w:trHeight w:val="454"/>
        </w:trPr>
        <w:tc>
          <w:tcPr>
            <w:tcW w:w="239" w:type="pct"/>
            <w:shd w:val="clear" w:color="000000" w:fill="DDEBF7"/>
            <w:vAlign w:val="center"/>
            <w:hideMark/>
          </w:tcPr>
          <w:p w14:paraId="1F60A95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7</w:t>
            </w:r>
          </w:p>
        </w:tc>
        <w:tc>
          <w:tcPr>
            <w:tcW w:w="1811" w:type="pct"/>
            <w:shd w:val="clear" w:color="000000" w:fill="DDEBF7"/>
            <w:vAlign w:val="center"/>
            <w:hideMark/>
          </w:tcPr>
          <w:p w14:paraId="5A4DAF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Validity</w:t>
            </w:r>
          </w:p>
        </w:tc>
        <w:tc>
          <w:tcPr>
            <w:tcW w:w="2950" w:type="pct"/>
            <w:shd w:val="clear" w:color="000000" w:fill="DDEBF7"/>
            <w:vAlign w:val="center"/>
            <w:hideMark/>
          </w:tcPr>
          <w:p w14:paraId="714E9D64"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30 Days</w:t>
            </w:r>
          </w:p>
        </w:tc>
      </w:tr>
      <w:tr w:rsidR="00201BE8" w14:paraId="4E67C9D8" w14:textId="77777777" w:rsidTr="003C60B5">
        <w:trPr>
          <w:trHeight w:val="454"/>
        </w:trPr>
        <w:tc>
          <w:tcPr>
            <w:tcW w:w="239" w:type="pct"/>
            <w:shd w:val="clear" w:color="000000" w:fill="DDEBF7"/>
            <w:vAlign w:val="center"/>
            <w:hideMark/>
          </w:tcPr>
          <w:p w14:paraId="3BD52C8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8</w:t>
            </w:r>
          </w:p>
        </w:tc>
        <w:tc>
          <w:tcPr>
            <w:tcW w:w="1811" w:type="pct"/>
            <w:shd w:val="clear" w:color="000000" w:fill="DDEBF7"/>
            <w:vAlign w:val="center"/>
            <w:hideMark/>
          </w:tcPr>
          <w:p w14:paraId="7C191EB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Warranty</w:t>
            </w:r>
          </w:p>
        </w:tc>
        <w:tc>
          <w:tcPr>
            <w:tcW w:w="2950" w:type="pct"/>
            <w:shd w:val="clear" w:color="000000" w:fill="DDEBF7"/>
            <w:vAlign w:val="center"/>
            <w:hideMark/>
          </w:tcPr>
          <w:p w14:paraId="6ABC21C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warranty terms of the respective OEMs</w:t>
            </w:r>
          </w:p>
        </w:tc>
      </w:tr>
      <w:tr w:rsidR="00894E22" w14:paraId="66782784" w14:textId="77777777" w:rsidTr="003C60B5">
        <w:trPr>
          <w:trHeight w:val="454"/>
        </w:trPr>
        <w:tc>
          <w:tcPr>
            <w:tcW w:w="239" w:type="pct"/>
            <w:shd w:val="clear" w:color="000000" w:fill="DDEBF7"/>
            <w:vAlign w:val="center"/>
          </w:tcPr>
          <w:p w14:paraId="1FC5FD0D" w14:textId="2A90EB11" w:rsidR="00894E22" w:rsidRDefault="00894E22" w:rsidP="00201BE8">
            <w:pPr>
              <w:jc w:val="center"/>
              <w:rPr>
                <w:rFonts w:ascii="Aptos" w:hAnsi="Aptos" w:cs="Calibri"/>
                <w:color w:val="000000"/>
                <w:sz w:val="20"/>
                <w:szCs w:val="20"/>
                <w:lang w:val="en-US"/>
              </w:rPr>
            </w:pPr>
            <w:r>
              <w:rPr>
                <w:rFonts w:ascii="Aptos" w:hAnsi="Aptos" w:cs="Calibri"/>
                <w:color w:val="000000"/>
                <w:sz w:val="20"/>
                <w:szCs w:val="20"/>
                <w:lang w:val="en-US"/>
              </w:rPr>
              <w:t>9</w:t>
            </w:r>
          </w:p>
        </w:tc>
        <w:tc>
          <w:tcPr>
            <w:tcW w:w="1811" w:type="pct"/>
            <w:shd w:val="clear" w:color="000000" w:fill="DDEBF7"/>
            <w:vAlign w:val="center"/>
          </w:tcPr>
          <w:p w14:paraId="09899F3D" w14:textId="285362AC" w:rsidR="00894E22" w:rsidRDefault="00894E22" w:rsidP="00201BE8">
            <w:pPr>
              <w:rPr>
                <w:rFonts w:ascii="Aptos" w:hAnsi="Aptos" w:cs="Calibri"/>
                <w:color w:val="000000"/>
                <w:sz w:val="20"/>
                <w:szCs w:val="20"/>
                <w:lang w:val="en-US"/>
              </w:rPr>
            </w:pPr>
            <w:r>
              <w:rPr>
                <w:rFonts w:ascii="Aptos" w:hAnsi="Aptos" w:cs="Calibri"/>
                <w:color w:val="000000"/>
                <w:sz w:val="20"/>
                <w:szCs w:val="20"/>
                <w:lang w:val="en-US"/>
              </w:rPr>
              <w:t>Contract Agreement</w:t>
            </w:r>
          </w:p>
        </w:tc>
        <w:tc>
          <w:tcPr>
            <w:tcW w:w="2950" w:type="pct"/>
            <w:shd w:val="clear" w:color="000000" w:fill="DDEBF7"/>
            <w:vAlign w:val="center"/>
          </w:tcPr>
          <w:p w14:paraId="7FAE8D85" w14:textId="01409A2B" w:rsidR="00894E22" w:rsidRDefault="00894E22" w:rsidP="00201BE8">
            <w:pPr>
              <w:rPr>
                <w:rFonts w:ascii="Aptos" w:hAnsi="Aptos" w:cs="Calibri"/>
                <w:color w:val="000000"/>
                <w:sz w:val="20"/>
                <w:szCs w:val="20"/>
                <w:lang w:val="en-US"/>
              </w:rPr>
            </w:pPr>
            <w:r w:rsidRPr="00894E22">
              <w:rPr>
                <w:rFonts w:ascii="Aptos" w:hAnsi="Aptos" w:cs="Calibri"/>
                <w:color w:val="000000"/>
                <w:sz w:val="20"/>
                <w:szCs w:val="20"/>
                <w:lang w:val="en-US"/>
              </w:rPr>
              <w:t>Post acceptance of the Proposal a 3-year Contract Agreement shall be signed for detailed terms and conditions.</w:t>
            </w:r>
          </w:p>
        </w:tc>
      </w:tr>
    </w:tbl>
    <w:p w14:paraId="0C16A81F" w14:textId="77777777" w:rsidR="00021D48" w:rsidRDefault="00021D48" w:rsidP="00021D48">
      <w:pPr>
        <w:rPr>
          <w:rFonts w:ascii="Aptos" w:hAnsi="Aptos"/>
        </w:rPr>
      </w:pPr>
    </w:p>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Pr>
        <w:sectPr w:rsidR="00ED532B" w:rsidSect="00C55948">
          <w:headerReference w:type="default" r:id="rId9"/>
          <w:footerReference w:type="default" r:id="rId10"/>
          <w:pgSz w:w="11906" w:h="16838"/>
          <w:pgMar w:top="720" w:right="720" w:bottom="720" w:left="720" w:header="1020" w:footer="708" w:gutter="0"/>
          <w:cols w:space="708"/>
          <w:titlePg/>
          <w:docGrid w:linePitch="360"/>
        </w:sectPr>
      </w:pPr>
    </w:p>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8">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C55948">
      <w:pgSz w:w="11906" w:h="16838"/>
      <w:pgMar w:top="0" w:right="0" w:bottom="0" w:left="0" w:header="10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