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EDA" w:rsidRPr="0099750E" w:rsidRDefault="00055EDA" w:rsidP="00055EDA">
      <w:pPr>
        <w:pStyle w:val="Title"/>
        <w:spacing w:before="2400" w:after="480"/>
        <w:rPr>
          <w:rFonts w:ascii="Bookman Old Style" w:hAnsi="Bookman Old Style"/>
          <w:sz w:val="28"/>
        </w:rPr>
      </w:pPr>
      <w:bookmarkStart w:id="0" w:name="_GoBack"/>
      <w:bookmarkEnd w:id="0"/>
      <w:r w:rsidRPr="0099750E">
        <w:rPr>
          <w:rFonts w:ascii="Bookman Old Style" w:hAnsi="Bookman Old Style"/>
          <w:sz w:val="28"/>
        </w:rPr>
        <w:t>INTERNAL SERVICE LEVEL AGREEMENT</w:t>
      </w:r>
      <w:r w:rsidRPr="0099750E">
        <w:rPr>
          <w:rFonts w:ascii="Bookman Old Style" w:hAnsi="Bookman Old Style"/>
          <w:sz w:val="28"/>
        </w:rPr>
        <w:br/>
        <w:t>FOR</w:t>
      </w:r>
      <w:r w:rsidRPr="0099750E">
        <w:rPr>
          <w:rFonts w:ascii="Bookman Old Style" w:hAnsi="Bookman Old Style"/>
          <w:sz w:val="28"/>
        </w:rPr>
        <w:br/>
        <w:t>&lt;INFORMATION SYSTEMS SUPPORT&gt;</w:t>
      </w:r>
      <w:r w:rsidRPr="0099750E">
        <w:rPr>
          <w:rFonts w:ascii="Bookman Old Style" w:hAnsi="Bookman Old Style"/>
          <w:sz w:val="28"/>
        </w:rPr>
        <w:br/>
        <w:t>BETWEEN</w:t>
      </w:r>
      <w:r w:rsidRPr="0099750E">
        <w:rPr>
          <w:rFonts w:ascii="Bookman Old Style" w:hAnsi="Bookman Old Style"/>
          <w:sz w:val="28"/>
        </w:rPr>
        <w:br/>
        <w:t>&lt;NAME OF IS/IT Group&gt;</w:t>
      </w:r>
      <w:r w:rsidRPr="0099750E">
        <w:rPr>
          <w:rFonts w:ascii="Bookman Old Style" w:hAnsi="Bookman Old Style"/>
          <w:sz w:val="28"/>
        </w:rPr>
        <w:br/>
        <w:t>AND</w:t>
      </w:r>
      <w:r w:rsidRPr="0099750E">
        <w:rPr>
          <w:rFonts w:ascii="Bookman Old Style" w:hAnsi="Bookman Old Style"/>
          <w:sz w:val="28"/>
        </w:rPr>
        <w:br/>
        <w:t>&lt;Business UNit(S)&gt;</w:t>
      </w:r>
    </w:p>
    <w:p w:rsidR="00055EDA" w:rsidRPr="0099750E" w:rsidRDefault="00055EDA" w:rsidP="00055EDA">
      <w:pPr>
        <w:rPr>
          <w:rFonts w:ascii="Bookman Old Style" w:hAnsi="Bookman Old Style"/>
          <w:b/>
          <w:sz w:val="32"/>
        </w:rPr>
      </w:pPr>
      <w:bookmarkStart w:id="1" w:name="_Toc177286307"/>
      <w:r w:rsidRPr="0099750E">
        <w:rPr>
          <w:rFonts w:ascii="Bookman Old Style" w:hAnsi="Bookman Old Style"/>
          <w:b/>
          <w:sz w:val="32"/>
        </w:rPr>
        <w:t>Revision History</w:t>
      </w:r>
      <w:bookmarkEnd w:id="1"/>
    </w:p>
    <w:tbl>
      <w:tblPr>
        <w:tblStyle w:val="SIMStyle"/>
        <w:tblW w:w="10188" w:type="dxa"/>
        <w:tblLayout w:type="fixed"/>
        <w:tblLook w:val="04A0" w:firstRow="1" w:lastRow="0" w:firstColumn="1" w:lastColumn="0" w:noHBand="0" w:noVBand="1"/>
      </w:tblPr>
      <w:tblGrid>
        <w:gridCol w:w="1278"/>
        <w:gridCol w:w="1800"/>
        <w:gridCol w:w="2070"/>
        <w:gridCol w:w="5040"/>
      </w:tblGrid>
      <w:tr w:rsidR="00055EDA" w:rsidRPr="0099750E" w:rsidTr="00DD2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hideMark/>
          </w:tcPr>
          <w:p w:rsidR="00055EDA" w:rsidRPr="0099750E" w:rsidRDefault="00055EDA" w:rsidP="00DD24EB">
            <w:pPr>
              <w:rPr>
                <w:rFonts w:ascii="Bookman Old Style" w:hAnsi="Bookman Old Style"/>
              </w:rPr>
            </w:pPr>
            <w:r w:rsidRPr="0099750E">
              <w:rPr>
                <w:rFonts w:ascii="Bookman Old Style" w:hAnsi="Bookman Old Style"/>
              </w:rPr>
              <w:t>Revision #</w:t>
            </w:r>
          </w:p>
        </w:tc>
        <w:tc>
          <w:tcPr>
            <w:tcW w:w="1800" w:type="dxa"/>
            <w:hideMark/>
          </w:tcPr>
          <w:p w:rsidR="00055EDA" w:rsidRPr="0099750E" w:rsidRDefault="00055EDA" w:rsidP="00DD24EB">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Date</w:t>
            </w:r>
          </w:p>
        </w:tc>
        <w:tc>
          <w:tcPr>
            <w:tcW w:w="2070" w:type="dxa"/>
          </w:tcPr>
          <w:p w:rsidR="00055EDA" w:rsidRPr="0099750E" w:rsidRDefault="00055EDA" w:rsidP="00DD24EB">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Author</w:t>
            </w:r>
          </w:p>
        </w:tc>
        <w:tc>
          <w:tcPr>
            <w:tcW w:w="5040" w:type="dxa"/>
            <w:hideMark/>
          </w:tcPr>
          <w:p w:rsidR="00055EDA" w:rsidRPr="0099750E" w:rsidRDefault="00055EDA" w:rsidP="00DD24EB">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Comment</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hideMark/>
          </w:tcPr>
          <w:p w:rsidR="00055EDA" w:rsidRPr="0099750E" w:rsidRDefault="00055EDA" w:rsidP="00DD24EB">
            <w:pPr>
              <w:jc w:val="center"/>
              <w:rPr>
                <w:rFonts w:ascii="Bookman Old Style" w:hAnsi="Bookman Old Style"/>
              </w:rPr>
            </w:pPr>
            <w:r w:rsidRPr="0099750E">
              <w:rPr>
                <w:rFonts w:ascii="Bookman Old Style" w:hAnsi="Bookman Old Style"/>
              </w:rPr>
              <w:t>1.0</w:t>
            </w:r>
          </w:p>
        </w:tc>
        <w:tc>
          <w:tcPr>
            <w:tcW w:w="1800" w:type="dxa"/>
            <w:hideMark/>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&lt;YYYY-MM-DD&gt;</w:t>
            </w:r>
          </w:p>
        </w:tc>
        <w:tc>
          <w:tcPr>
            <w:tcW w:w="2070"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&lt;Your Name&gt;</w:t>
            </w:r>
          </w:p>
        </w:tc>
        <w:tc>
          <w:tcPr>
            <w:tcW w:w="5040" w:type="dxa"/>
            <w:hideMark/>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Original Document</w:t>
            </w:r>
          </w:p>
        </w:tc>
      </w:tr>
      <w:tr w:rsidR="00055EDA" w:rsidRPr="0099750E" w:rsidTr="00DD24EB">
        <w:tc>
          <w:tcPr>
            <w:cnfStyle w:val="001000000000" w:firstRow="0" w:lastRow="0" w:firstColumn="1" w:lastColumn="0" w:oddVBand="0" w:evenVBand="0" w:oddHBand="0" w:evenHBand="0" w:firstRowFirstColumn="0" w:firstRowLastColumn="0" w:lastRowFirstColumn="0" w:lastRowLastColumn="0"/>
            <w:tcW w:w="1278" w:type="dxa"/>
          </w:tcPr>
          <w:p w:rsidR="00055EDA" w:rsidRPr="0099750E" w:rsidRDefault="00055EDA" w:rsidP="00DD24EB">
            <w:pPr>
              <w:jc w:val="center"/>
              <w:rPr>
                <w:rFonts w:ascii="Bookman Old Style" w:hAnsi="Bookman Old Style"/>
              </w:rPr>
            </w:pPr>
          </w:p>
        </w:tc>
        <w:tc>
          <w:tcPr>
            <w:tcW w:w="1800"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2070"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040" w:type="dxa"/>
          </w:tcPr>
          <w:p w:rsidR="00055EDA" w:rsidRPr="0099750E" w:rsidRDefault="00055EDA" w:rsidP="00DD24EB">
            <w:pPr>
              <w:pStyle w:val="Hint"/>
              <w:cnfStyle w:val="000000000000" w:firstRow="0" w:lastRow="0" w:firstColumn="0" w:lastColumn="0" w:oddVBand="0" w:evenVBand="0" w:oddHBand="0" w:evenHBand="0" w:firstRowFirstColumn="0" w:firstRowLastColumn="0" w:lastRowFirstColumn="0" w:lastRowLastColumn="0"/>
              <w:rPr>
                <w:rFonts w:ascii="Bookman Old Style" w:hAnsi="Bookman Old Style"/>
                <w:color w:val="auto"/>
              </w:rPr>
            </w:pPr>
            <w:r w:rsidRPr="0099750E">
              <w:rPr>
                <w:rFonts w:ascii="Bookman Old Style" w:hAnsi="Bookman Old Style"/>
                <w:color w:val="auto"/>
              </w:rPr>
              <w:t>&lt;Revision frequency is determined by the SLA end date. Annual updates are recommended.&gt;</w:t>
            </w:r>
          </w:p>
        </w:tc>
      </w:tr>
    </w:tbl>
    <w:p w:rsidR="00055EDA" w:rsidRPr="0099750E" w:rsidRDefault="00055EDA" w:rsidP="00055EDA">
      <w:pPr>
        <w:pStyle w:val="TOCHeading"/>
        <w:numPr>
          <w:ilvl w:val="0"/>
          <w:numId w:val="0"/>
        </w:numPr>
        <w:rPr>
          <w:rFonts w:ascii="Bookman Old Style" w:hAnsi="Bookman Old Style"/>
        </w:rPr>
      </w:pPr>
    </w:p>
    <w:p w:rsidR="00055EDA" w:rsidRPr="0099750E" w:rsidRDefault="00055EDA" w:rsidP="00055EDA">
      <w:pPr>
        <w:rPr>
          <w:rFonts w:ascii="Bookman Old Style" w:hAnsi="Bookman Old Style"/>
          <w:b/>
          <w:bCs/>
        </w:rPr>
      </w:pPr>
    </w:p>
    <w:p w:rsidR="00055EDA" w:rsidRPr="0099750E" w:rsidRDefault="00055EDA" w:rsidP="00055EDA">
      <w:pPr>
        <w:pStyle w:val="Heading1"/>
        <w:rPr>
          <w:rFonts w:ascii="Bookman Old Style" w:hAnsi="Bookman Old Style"/>
        </w:rPr>
      </w:pPr>
      <w:bookmarkStart w:id="2" w:name="_Toc360113938"/>
      <w:r w:rsidRPr="0099750E">
        <w:rPr>
          <w:rFonts w:ascii="Bookman Old Style" w:hAnsi="Bookman Old Style"/>
        </w:rPr>
        <w:t>Parties and Timeline</w:t>
      </w:r>
      <w:bookmarkEnd w:id="2"/>
    </w:p>
    <w:p w:rsidR="00055EDA" w:rsidRPr="0099750E" w:rsidRDefault="00055EDA" w:rsidP="00055EDA">
      <w:pPr>
        <w:rPr>
          <w:rFonts w:ascii="Bookman Old Style" w:hAnsi="Bookman Old Style"/>
        </w:rPr>
      </w:pPr>
      <w:r w:rsidRPr="0099750E">
        <w:rPr>
          <w:rFonts w:ascii="Bookman Old Style" w:hAnsi="Bookman Old Style"/>
        </w:rPr>
        <w:t>This service level agreement is between the service provider:</w:t>
      </w:r>
    </w:p>
    <w:p w:rsidR="00055EDA" w:rsidRPr="0099750E" w:rsidRDefault="00055EDA" w:rsidP="00055EDA">
      <w:pPr>
        <w:pStyle w:val="ListParagraph"/>
        <w:numPr>
          <w:ilvl w:val="0"/>
          <w:numId w:val="3"/>
        </w:numPr>
        <w:rPr>
          <w:rFonts w:ascii="Bookman Old Style" w:hAnsi="Bookman Old Style"/>
        </w:rPr>
      </w:pPr>
      <w:r w:rsidRPr="0099750E">
        <w:rPr>
          <w:rFonts w:ascii="Bookman Old Style" w:hAnsi="Bookman Old Style"/>
        </w:rPr>
        <w:t>&lt;The name of the IS/IT group providing the service&gt;</w:t>
      </w:r>
    </w:p>
    <w:p w:rsidR="00055EDA" w:rsidRPr="0099750E" w:rsidRDefault="00055EDA" w:rsidP="00055EDA">
      <w:pPr>
        <w:rPr>
          <w:rFonts w:ascii="Bookman Old Style" w:hAnsi="Bookman Old Style"/>
        </w:rPr>
      </w:pPr>
      <w:r w:rsidRPr="0099750E">
        <w:rPr>
          <w:rFonts w:ascii="Bookman Old Style" w:hAnsi="Bookman Old Style"/>
        </w:rPr>
        <w:t>And the client:</w:t>
      </w:r>
    </w:p>
    <w:p w:rsidR="00055EDA" w:rsidRPr="0099750E" w:rsidRDefault="00055EDA" w:rsidP="00055EDA">
      <w:pPr>
        <w:pStyle w:val="ListParagraph"/>
        <w:numPr>
          <w:ilvl w:val="0"/>
          <w:numId w:val="3"/>
        </w:numPr>
        <w:rPr>
          <w:rFonts w:ascii="Bookman Old Style" w:hAnsi="Bookman Old Style"/>
        </w:rPr>
      </w:pPr>
      <w:r w:rsidRPr="0099750E">
        <w:rPr>
          <w:rFonts w:ascii="Bookman Old Style" w:hAnsi="Bookman Old Style"/>
        </w:rPr>
        <w:t>&lt;The groups (</w:t>
      </w:r>
      <w:proofErr w:type="spellStart"/>
      <w:r w:rsidRPr="0099750E">
        <w:rPr>
          <w:rFonts w:ascii="Bookman Old Style" w:hAnsi="Bookman Old Style"/>
          <w:i/>
        </w:rPr>
        <w:t>i.e</w:t>
      </w:r>
      <w:proofErr w:type="spellEnd"/>
      <w:r w:rsidRPr="0099750E">
        <w:rPr>
          <w:rFonts w:ascii="Bookman Old Style" w:hAnsi="Bookman Old Style"/>
        </w:rPr>
        <w:t xml:space="preserve"> department or departments) consuming the service&gt;</w:t>
      </w:r>
    </w:p>
    <w:p w:rsidR="00055EDA" w:rsidRPr="0099750E" w:rsidRDefault="00055EDA" w:rsidP="00055EDA">
      <w:pPr>
        <w:rPr>
          <w:rFonts w:ascii="Bookman Old Style" w:hAnsi="Bookman Old Style"/>
        </w:rPr>
      </w:pPr>
      <w:r w:rsidRPr="0099750E">
        <w:rPr>
          <w:rFonts w:ascii="Bookman Old Style" w:hAnsi="Bookman Old Style"/>
        </w:rPr>
        <w:lastRenderedPageBreak/>
        <w:t>It is valid from &lt;Start Date (YYYY-MM-DD)&gt; to &lt;End Date (YYYY-MM-DD) - end date is optional&gt;.</w:t>
      </w:r>
    </w:p>
    <w:p w:rsidR="00055EDA" w:rsidRPr="0099750E" w:rsidRDefault="00055EDA" w:rsidP="00055EDA">
      <w:pPr>
        <w:pStyle w:val="ListParagraph"/>
        <w:numPr>
          <w:ilvl w:val="0"/>
          <w:numId w:val="2"/>
        </w:numPr>
        <w:contextualSpacing w:val="0"/>
        <w:rPr>
          <w:rFonts w:ascii="Bookman Old Style" w:hAnsi="Bookman Old Style"/>
        </w:rPr>
      </w:pPr>
      <w:r w:rsidRPr="0099750E">
        <w:rPr>
          <w:rFonts w:ascii="Bookman Old Style" w:hAnsi="Bookman Old Style"/>
        </w:rPr>
        <w:t>This service level agreement is effective as of the date of the signatures below. The client and the service provider shall review at least quarterly to determine if any modifications or amendments are needed to reflect the client’s support requirements and service provider’s services.</w:t>
      </w:r>
    </w:p>
    <w:p w:rsidR="00055EDA" w:rsidRPr="0099750E" w:rsidRDefault="00055EDA" w:rsidP="00055EDA">
      <w:pPr>
        <w:pStyle w:val="ListParagraph"/>
        <w:numPr>
          <w:ilvl w:val="0"/>
          <w:numId w:val="2"/>
        </w:numPr>
        <w:rPr>
          <w:rFonts w:ascii="Bookman Old Style" w:hAnsi="Bookman Old Style"/>
        </w:rPr>
      </w:pPr>
      <w:r w:rsidRPr="0099750E">
        <w:rPr>
          <w:rFonts w:ascii="Bookman Old Style" w:hAnsi="Bookman Old Style"/>
        </w:rPr>
        <w:t xml:space="preserve">The purpose of this service level agreement is to document the service delivery of the service provider to the </w:t>
      </w:r>
      <w:proofErr w:type="spellStart"/>
      <w:proofErr w:type="gramStart"/>
      <w:r w:rsidRPr="0099750E">
        <w:rPr>
          <w:rFonts w:ascii="Bookman Old Style" w:hAnsi="Bookman Old Style"/>
        </w:rPr>
        <w:t>client.The</w:t>
      </w:r>
      <w:proofErr w:type="spellEnd"/>
      <w:proofErr w:type="gramEnd"/>
      <w:r w:rsidRPr="0099750E">
        <w:rPr>
          <w:rFonts w:ascii="Bookman Old Style" w:hAnsi="Bookman Old Style"/>
        </w:rPr>
        <w:t xml:space="preserve"> service provider shall deliver the services set forth in this document. </w:t>
      </w:r>
    </w:p>
    <w:p w:rsidR="00055EDA" w:rsidRPr="0099750E" w:rsidRDefault="00055EDA" w:rsidP="00055EDA">
      <w:pPr>
        <w:rPr>
          <w:rFonts w:ascii="Bookman Old Style" w:hAnsi="Bookman Old Style"/>
        </w:rPr>
      </w:pPr>
      <w:r w:rsidRPr="0099750E">
        <w:rPr>
          <w:rFonts w:ascii="Bookman Old Style" w:hAnsi="Bookman Old Style"/>
        </w:rPr>
        <w:t>The primary contact of the service provider for issues concerning this SLA is:</w:t>
      </w:r>
    </w:p>
    <w:p w:rsidR="00055EDA" w:rsidRPr="0099750E" w:rsidRDefault="00055EDA" w:rsidP="00055EDA">
      <w:pPr>
        <w:ind w:left="432"/>
        <w:rPr>
          <w:rFonts w:ascii="Bookman Old Style" w:hAnsi="Bookman Old Style"/>
        </w:rPr>
      </w:pPr>
      <w:r w:rsidRPr="0099750E">
        <w:rPr>
          <w:rFonts w:ascii="Bookman Old Style" w:hAnsi="Bookman Old Style"/>
        </w:rPr>
        <w:t>&lt;Contact Name&gt;</w:t>
      </w:r>
      <w:r w:rsidRPr="0099750E">
        <w:rPr>
          <w:rFonts w:ascii="Bookman Old Style" w:hAnsi="Bookman Old Style"/>
        </w:rPr>
        <w:br/>
        <w:t>&lt;Job Title&gt;</w:t>
      </w:r>
      <w:r w:rsidRPr="0099750E">
        <w:rPr>
          <w:rFonts w:ascii="Bookman Old Style" w:hAnsi="Bookman Old Style"/>
        </w:rPr>
        <w:br/>
        <w:t>&lt;Department&gt;</w:t>
      </w:r>
      <w:r w:rsidRPr="0099750E">
        <w:rPr>
          <w:rFonts w:ascii="Bookman Old Style" w:hAnsi="Bookman Old Style"/>
        </w:rPr>
        <w:br/>
        <w:t>&lt;Division&gt;</w:t>
      </w:r>
      <w:r w:rsidRPr="0099750E">
        <w:rPr>
          <w:rFonts w:ascii="Bookman Old Style" w:hAnsi="Bookman Old Style"/>
        </w:rPr>
        <w:br/>
        <w:t>&lt;Work Phone Number&gt; / &lt;Mobile Phone Number&gt;</w:t>
      </w:r>
    </w:p>
    <w:p w:rsidR="00055EDA" w:rsidRPr="0099750E" w:rsidRDefault="00055EDA" w:rsidP="00055EDA">
      <w:pPr>
        <w:pStyle w:val="Heading1"/>
        <w:rPr>
          <w:rFonts w:ascii="Bookman Old Style" w:hAnsi="Bookman Old Style"/>
        </w:rPr>
      </w:pPr>
      <w:bookmarkStart w:id="3" w:name="_Toc360113939"/>
      <w:r w:rsidRPr="0099750E">
        <w:rPr>
          <w:rFonts w:ascii="Bookman Old Style" w:hAnsi="Bookman Old Style"/>
        </w:rPr>
        <w:t>Service Components</w:t>
      </w:r>
      <w:bookmarkEnd w:id="3"/>
    </w:p>
    <w:p w:rsidR="00055EDA" w:rsidRPr="0099750E" w:rsidRDefault="00055EDA" w:rsidP="00055EDA">
      <w:pPr>
        <w:pStyle w:val="Hint"/>
        <w:rPr>
          <w:rFonts w:ascii="Bookman Old Style" w:hAnsi="Bookman Old Style"/>
          <w:color w:val="auto"/>
        </w:rPr>
      </w:pPr>
      <w:r w:rsidRPr="0099750E">
        <w:rPr>
          <w:rFonts w:ascii="Bookman Old Style" w:hAnsi="Bookman Old Style"/>
          <w:color w:val="auto"/>
        </w:rPr>
        <w:t>&lt;This section describes the components that will be serviced by the service provider. It is an opportunity for the IS/IT group to set realistic expectations, as well as to establish a baseline performance that can be measured and improved. Do not overpromise on reliability, especially if you do not have the resources and tools to achieve it or if you cannot measure it with such accuracy.</w:t>
      </w:r>
    </w:p>
    <w:p w:rsidR="00055EDA" w:rsidRPr="0099750E" w:rsidRDefault="00055EDA" w:rsidP="00055EDA">
      <w:pPr>
        <w:pStyle w:val="Hint"/>
        <w:rPr>
          <w:rFonts w:ascii="Bookman Old Style" w:hAnsi="Bookman Old Style"/>
          <w:color w:val="auto"/>
        </w:rPr>
      </w:pPr>
      <w:r w:rsidRPr="0099750E">
        <w:rPr>
          <w:rFonts w:ascii="Bookman Old Style" w:hAnsi="Bookman Old Style"/>
          <w:color w:val="auto"/>
        </w:rPr>
        <w:t>You do not need to list every application here. You could group them into general types of applications, or list some exceptions as well as a catch-all.&gt;</w:t>
      </w:r>
    </w:p>
    <w:p w:rsidR="00055EDA" w:rsidRPr="0099750E" w:rsidRDefault="00055EDA" w:rsidP="00055EDA">
      <w:pPr>
        <w:rPr>
          <w:rFonts w:ascii="Bookman Old Style" w:hAnsi="Bookman Old Style"/>
        </w:rPr>
      </w:pPr>
      <w:r w:rsidRPr="0099750E">
        <w:rPr>
          <w:rFonts w:ascii="Bookman Old Style" w:hAnsi="Bookman Old Style"/>
        </w:rPr>
        <w:t>The following table describes the components to which the services in the Service Catalogue may apply. Components include applications, networking components, data stores, etc… Reliability indicates the percentage of uptime that the service provider promises.</w:t>
      </w:r>
    </w:p>
    <w:tbl>
      <w:tblPr>
        <w:tblStyle w:val="SIMStyle"/>
        <w:tblW w:w="0" w:type="auto"/>
        <w:tblLook w:val="0420" w:firstRow="1" w:lastRow="0" w:firstColumn="0" w:lastColumn="0" w:noHBand="0" w:noVBand="1"/>
      </w:tblPr>
      <w:tblGrid>
        <w:gridCol w:w="8388"/>
        <w:gridCol w:w="1800"/>
      </w:tblGrid>
      <w:tr w:rsidR="00055EDA" w:rsidRPr="0099750E" w:rsidTr="00DD24EB">
        <w:trPr>
          <w:cnfStyle w:val="100000000000" w:firstRow="1" w:lastRow="0" w:firstColumn="0" w:lastColumn="0" w:oddVBand="0" w:evenVBand="0" w:oddHBand="0" w:evenHBand="0" w:firstRowFirstColumn="0" w:firstRowLastColumn="0" w:lastRowFirstColumn="0" w:lastRowLastColumn="0"/>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Component Name</w:t>
            </w:r>
          </w:p>
        </w:tc>
        <w:tc>
          <w:tcPr>
            <w:tcW w:w="1800" w:type="dxa"/>
          </w:tcPr>
          <w:p w:rsidR="00055EDA" w:rsidRPr="0099750E" w:rsidRDefault="00055EDA" w:rsidP="00DD24EB">
            <w:pPr>
              <w:rPr>
                <w:rFonts w:ascii="Bookman Old Style" w:hAnsi="Bookman Old Style"/>
              </w:rPr>
            </w:pPr>
            <w:r w:rsidRPr="0099750E">
              <w:rPr>
                <w:rFonts w:ascii="Bookman Old Style" w:hAnsi="Bookman Old Style"/>
              </w:rPr>
              <w:t>Reliability</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Pr>
        <w:tc>
          <w:tcPr>
            <w:tcW w:w="10188" w:type="dxa"/>
            <w:gridSpan w:val="2"/>
            <w:shd w:val="clear" w:color="auto" w:fill="D9D9D9" w:themeFill="background1" w:themeFillShade="D9"/>
          </w:tcPr>
          <w:p w:rsidR="00055EDA" w:rsidRPr="0099750E" w:rsidRDefault="00055EDA" w:rsidP="00DD24EB">
            <w:pPr>
              <w:rPr>
                <w:rFonts w:ascii="Bookman Old Style" w:hAnsi="Bookman Old Style"/>
                <w:b/>
              </w:rPr>
            </w:pPr>
            <w:r w:rsidRPr="0099750E">
              <w:rPr>
                <w:rFonts w:ascii="Bookman Old Style" w:hAnsi="Bookman Old Style"/>
                <w:b/>
              </w:rPr>
              <w:t>Software</w:t>
            </w:r>
          </w:p>
        </w:tc>
      </w:tr>
      <w:tr w:rsidR="00055EDA" w:rsidRPr="0099750E" w:rsidTr="00DD24EB">
        <w:trPr>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&lt;Application&gt;</w:t>
            </w:r>
          </w:p>
        </w:tc>
        <w:tc>
          <w:tcPr>
            <w:tcW w:w="1800" w:type="dxa"/>
          </w:tcPr>
          <w:p w:rsidR="00055EDA" w:rsidRPr="0099750E" w:rsidRDefault="00055EDA" w:rsidP="00DD24EB">
            <w:pPr>
              <w:rPr>
                <w:rFonts w:ascii="Bookman Old Style" w:hAnsi="Bookman Old Style"/>
              </w:rPr>
            </w:pPr>
            <w:r w:rsidRPr="0099750E">
              <w:rPr>
                <w:rFonts w:ascii="Bookman Old Style" w:hAnsi="Bookman Old Style"/>
              </w:rPr>
              <w:t>&lt;98%&gt;</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&lt;Web Site&gt;</w:t>
            </w:r>
          </w:p>
        </w:tc>
        <w:tc>
          <w:tcPr>
            <w:tcW w:w="1800" w:type="dxa"/>
          </w:tcPr>
          <w:p w:rsidR="00055EDA" w:rsidRPr="0099750E" w:rsidRDefault="00055EDA" w:rsidP="00DD24EB">
            <w:pPr>
              <w:rPr>
                <w:rFonts w:ascii="Bookman Old Style" w:hAnsi="Bookman Old Style"/>
              </w:rPr>
            </w:pPr>
            <w:r w:rsidRPr="0099750E">
              <w:rPr>
                <w:rFonts w:ascii="Bookman Old Style" w:hAnsi="Bookman Old Style"/>
              </w:rPr>
              <w:t>&lt;95%&gt;</w:t>
            </w:r>
          </w:p>
        </w:tc>
      </w:tr>
      <w:tr w:rsidR="00055EDA" w:rsidRPr="0099750E" w:rsidTr="00DD24EB">
        <w:trPr>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&lt;Email&gt;</w:t>
            </w:r>
          </w:p>
        </w:tc>
        <w:tc>
          <w:tcPr>
            <w:tcW w:w="1800" w:type="dxa"/>
          </w:tcPr>
          <w:p w:rsidR="00055EDA" w:rsidRPr="0099750E" w:rsidRDefault="00055EDA" w:rsidP="00DD24EB">
            <w:pPr>
              <w:rPr>
                <w:rFonts w:ascii="Bookman Old Style" w:hAnsi="Bookman Old Style"/>
              </w:rPr>
            </w:pPr>
            <w:r w:rsidRPr="0099750E">
              <w:rPr>
                <w:rFonts w:ascii="Bookman Old Style" w:hAnsi="Bookman Old Style"/>
              </w:rPr>
              <w:t>&lt;97%&gt;</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&lt;Databases&gt;</w:t>
            </w:r>
          </w:p>
        </w:tc>
        <w:tc>
          <w:tcPr>
            <w:tcW w:w="1800" w:type="dxa"/>
          </w:tcPr>
          <w:p w:rsidR="00055EDA" w:rsidRPr="0099750E" w:rsidRDefault="00055EDA" w:rsidP="00DD24EB">
            <w:pPr>
              <w:rPr>
                <w:rFonts w:ascii="Bookman Old Style" w:hAnsi="Bookman Old Style"/>
              </w:rPr>
            </w:pPr>
          </w:p>
        </w:tc>
      </w:tr>
      <w:tr w:rsidR="00055EDA" w:rsidRPr="0099750E" w:rsidTr="00DD24EB">
        <w:trPr>
          <w:cantSplit/>
        </w:trPr>
        <w:tc>
          <w:tcPr>
            <w:tcW w:w="10188" w:type="dxa"/>
            <w:gridSpan w:val="2"/>
            <w:shd w:val="clear" w:color="auto" w:fill="D9D9D9" w:themeFill="background1" w:themeFillShade="D9"/>
          </w:tcPr>
          <w:p w:rsidR="00055EDA" w:rsidRPr="0099750E" w:rsidRDefault="00055EDA" w:rsidP="00DD24EB">
            <w:pPr>
              <w:rPr>
                <w:rFonts w:ascii="Bookman Old Style" w:hAnsi="Bookman Old Style"/>
                <w:b/>
              </w:rPr>
            </w:pPr>
            <w:r w:rsidRPr="0099750E">
              <w:rPr>
                <w:rFonts w:ascii="Bookman Old Style" w:hAnsi="Bookman Old Style"/>
                <w:b/>
              </w:rPr>
              <w:t>Hardware</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&lt;Servers&gt;</w:t>
            </w:r>
          </w:p>
        </w:tc>
        <w:tc>
          <w:tcPr>
            <w:tcW w:w="1800" w:type="dxa"/>
          </w:tcPr>
          <w:p w:rsidR="00055EDA" w:rsidRPr="0099750E" w:rsidRDefault="00055EDA" w:rsidP="00DD24EB">
            <w:pPr>
              <w:rPr>
                <w:rFonts w:ascii="Bookman Old Style" w:hAnsi="Bookman Old Style"/>
              </w:rPr>
            </w:pPr>
          </w:p>
        </w:tc>
      </w:tr>
      <w:tr w:rsidR="00055EDA" w:rsidRPr="0099750E" w:rsidTr="00DD24EB">
        <w:trPr>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&lt;Desktops&gt;</w:t>
            </w:r>
          </w:p>
        </w:tc>
        <w:tc>
          <w:tcPr>
            <w:tcW w:w="1800" w:type="dxa"/>
          </w:tcPr>
          <w:p w:rsidR="00055EDA" w:rsidRPr="0099750E" w:rsidRDefault="00055EDA" w:rsidP="00DD24EB">
            <w:pPr>
              <w:rPr>
                <w:rFonts w:ascii="Bookman Old Style" w:hAnsi="Bookman Old Style"/>
              </w:rPr>
            </w:pP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&lt;Printers&gt;</w:t>
            </w:r>
          </w:p>
        </w:tc>
        <w:tc>
          <w:tcPr>
            <w:tcW w:w="1800" w:type="dxa"/>
          </w:tcPr>
          <w:p w:rsidR="00055EDA" w:rsidRPr="0099750E" w:rsidRDefault="00055EDA" w:rsidP="00DD24EB">
            <w:pPr>
              <w:rPr>
                <w:rFonts w:ascii="Bookman Old Style" w:hAnsi="Bookman Old Style"/>
              </w:rPr>
            </w:pPr>
          </w:p>
        </w:tc>
      </w:tr>
      <w:tr w:rsidR="00055EDA" w:rsidRPr="0099750E" w:rsidTr="00DD24EB">
        <w:trPr>
          <w:cantSplit/>
        </w:trPr>
        <w:tc>
          <w:tcPr>
            <w:tcW w:w="10188" w:type="dxa"/>
            <w:gridSpan w:val="2"/>
            <w:shd w:val="clear" w:color="auto" w:fill="D9D9D9" w:themeFill="background1" w:themeFillShade="D9"/>
          </w:tcPr>
          <w:p w:rsidR="00055EDA" w:rsidRPr="0099750E" w:rsidRDefault="00055EDA" w:rsidP="00DD24EB">
            <w:pPr>
              <w:rPr>
                <w:rFonts w:ascii="Bookman Old Style" w:hAnsi="Bookman Old Style"/>
                <w:b/>
              </w:rPr>
            </w:pPr>
            <w:r w:rsidRPr="0099750E">
              <w:rPr>
                <w:rFonts w:ascii="Bookman Old Style" w:hAnsi="Bookman Old Style"/>
                <w:b/>
              </w:rPr>
              <w:t>Infrastructure</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&lt;WAN&gt;</w:t>
            </w:r>
          </w:p>
        </w:tc>
        <w:tc>
          <w:tcPr>
            <w:tcW w:w="1800" w:type="dxa"/>
          </w:tcPr>
          <w:p w:rsidR="00055EDA" w:rsidRPr="0099750E" w:rsidRDefault="00055EDA" w:rsidP="00DD24EB">
            <w:pPr>
              <w:rPr>
                <w:rFonts w:ascii="Bookman Old Style" w:hAnsi="Bookman Old Style"/>
              </w:rPr>
            </w:pPr>
          </w:p>
        </w:tc>
      </w:tr>
      <w:tr w:rsidR="00055EDA" w:rsidRPr="0099750E" w:rsidTr="00DD24EB">
        <w:trPr>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lastRenderedPageBreak/>
              <w:t>&lt;LAN&gt;</w:t>
            </w:r>
          </w:p>
        </w:tc>
        <w:tc>
          <w:tcPr>
            <w:tcW w:w="1800" w:type="dxa"/>
          </w:tcPr>
          <w:p w:rsidR="00055EDA" w:rsidRPr="0099750E" w:rsidRDefault="00055EDA" w:rsidP="00DD24EB">
            <w:pPr>
              <w:rPr>
                <w:rFonts w:ascii="Bookman Old Style" w:hAnsi="Bookman Old Style"/>
              </w:rPr>
            </w:pP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Pr>
        <w:tc>
          <w:tcPr>
            <w:tcW w:w="8388" w:type="dxa"/>
          </w:tcPr>
          <w:p w:rsidR="00055EDA" w:rsidRPr="0099750E" w:rsidRDefault="00055EDA" w:rsidP="00DD24EB">
            <w:pPr>
              <w:rPr>
                <w:rFonts w:ascii="Bookman Old Style" w:hAnsi="Bookman Old Style"/>
              </w:rPr>
            </w:pPr>
            <w:r w:rsidRPr="0099750E">
              <w:rPr>
                <w:rFonts w:ascii="Bookman Old Style" w:hAnsi="Bookman Old Style"/>
              </w:rPr>
              <w:t>&lt;Internet&gt;</w:t>
            </w:r>
          </w:p>
        </w:tc>
        <w:tc>
          <w:tcPr>
            <w:tcW w:w="1800" w:type="dxa"/>
          </w:tcPr>
          <w:p w:rsidR="00055EDA" w:rsidRPr="0099750E" w:rsidRDefault="00055EDA" w:rsidP="00DD24EB">
            <w:pPr>
              <w:rPr>
                <w:rFonts w:ascii="Bookman Old Style" w:hAnsi="Bookman Old Style"/>
              </w:rPr>
            </w:pPr>
          </w:p>
        </w:tc>
      </w:tr>
    </w:tbl>
    <w:p w:rsidR="00055EDA" w:rsidRPr="0099750E" w:rsidRDefault="00055EDA" w:rsidP="00055EDA">
      <w:pPr>
        <w:pStyle w:val="Heading1"/>
        <w:rPr>
          <w:rFonts w:ascii="Bookman Old Style" w:hAnsi="Bookman Old Style"/>
        </w:rPr>
      </w:pPr>
      <w:bookmarkStart w:id="4" w:name="_Toc360113940"/>
      <w:r w:rsidRPr="0099750E">
        <w:rPr>
          <w:rFonts w:ascii="Bookman Old Style" w:hAnsi="Bookman Old Style"/>
        </w:rPr>
        <w:t>Service Catalogue</w:t>
      </w:r>
      <w:bookmarkEnd w:id="4"/>
    </w:p>
    <w:p w:rsidR="00055EDA" w:rsidRPr="0099750E" w:rsidRDefault="00055EDA" w:rsidP="00055EDA">
      <w:pPr>
        <w:pStyle w:val="Hint"/>
        <w:rPr>
          <w:rFonts w:ascii="Bookman Old Style" w:hAnsi="Bookman Old Style"/>
          <w:color w:val="auto"/>
        </w:rPr>
      </w:pPr>
      <w:r w:rsidRPr="0099750E">
        <w:rPr>
          <w:rFonts w:ascii="Bookman Old Style" w:hAnsi="Bookman Old Style"/>
          <w:color w:val="auto"/>
        </w:rPr>
        <w:t>&lt;Publishing a service catalogue as part of the SLA is recommended but optional. It could start as 2-3 generic services and continue to be updated as an ongoing project.&gt;</w:t>
      </w:r>
    </w:p>
    <w:p w:rsidR="00055EDA" w:rsidRPr="0099750E" w:rsidRDefault="00055EDA" w:rsidP="00055EDA">
      <w:pPr>
        <w:rPr>
          <w:rFonts w:ascii="Bookman Old Style" w:hAnsi="Bookman Old Style"/>
        </w:rPr>
      </w:pPr>
      <w:r w:rsidRPr="0099750E">
        <w:rPr>
          <w:rFonts w:ascii="Bookman Old Style" w:hAnsi="Bookman Old Style"/>
        </w:rPr>
        <w:t xml:space="preserve">The services in the Service Catalogue are described in the following format. </w:t>
      </w:r>
    </w:p>
    <w:tbl>
      <w:tblPr>
        <w:tblStyle w:val="SIMStyle"/>
        <w:tblW w:w="0" w:type="auto"/>
        <w:tblLook w:val="0480" w:firstRow="0" w:lastRow="0" w:firstColumn="1" w:lastColumn="0" w:noHBand="0" w:noVBand="1"/>
      </w:tblPr>
      <w:tblGrid>
        <w:gridCol w:w="2178"/>
        <w:gridCol w:w="8118"/>
      </w:tblGrid>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Description</w:t>
            </w:r>
          </w:p>
        </w:tc>
        <w:tc>
          <w:tcPr>
            <w:tcW w:w="811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i/>
              </w:rPr>
            </w:pPr>
            <w:r w:rsidRPr="0099750E">
              <w:rPr>
                <w:rFonts w:ascii="Bookman Old Style" w:hAnsi="Bookman Old Style"/>
                <w:i/>
              </w:rPr>
              <w:t>Describes the service, major benefits and the target audience for this service</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Delivery Scope</w:t>
            </w:r>
          </w:p>
        </w:tc>
        <w:tc>
          <w:tcPr>
            <w:tcW w:w="811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i/>
              </w:rPr>
            </w:pPr>
            <w:r w:rsidRPr="0099750E">
              <w:rPr>
                <w:rFonts w:ascii="Bookman Old Style" w:hAnsi="Bookman Old Style"/>
                <w:i/>
              </w:rPr>
              <w:t>Identifies those eligible to receive the service. If it applies to the entire client, it will be “All”.</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Component Scope</w:t>
            </w:r>
          </w:p>
        </w:tc>
        <w:tc>
          <w:tcPr>
            <w:tcW w:w="811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i/>
              </w:rPr>
            </w:pPr>
            <w:r w:rsidRPr="0099750E">
              <w:rPr>
                <w:rFonts w:ascii="Bookman Old Style" w:hAnsi="Bookman Old Style"/>
                <w:i/>
              </w:rPr>
              <w:t>Identify which components the service applies to.</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Standard Service Features</w:t>
            </w:r>
          </w:p>
        </w:tc>
        <w:tc>
          <w:tcPr>
            <w:tcW w:w="811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i/>
              </w:rPr>
            </w:pPr>
            <w:r w:rsidRPr="0099750E">
              <w:rPr>
                <w:rFonts w:ascii="Bookman Old Style" w:hAnsi="Bookman Old Style"/>
                <w:i/>
              </w:rPr>
              <w:t>Describes features and functions of the service available to all those within the Delivery Scope.</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Non-Standard Options</w:t>
            </w:r>
          </w:p>
        </w:tc>
        <w:tc>
          <w:tcPr>
            <w:tcW w:w="811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i/>
              </w:rPr>
            </w:pPr>
            <w:r w:rsidRPr="0099750E">
              <w:rPr>
                <w:rFonts w:ascii="Bookman Old Style" w:hAnsi="Bookman Old Style"/>
                <w:i/>
              </w:rPr>
              <w:t>Identifies any options that are serviceable but non-standard.</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Service Hours</w:t>
            </w:r>
          </w:p>
        </w:tc>
        <w:tc>
          <w:tcPr>
            <w:tcW w:w="811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i/>
              </w:rPr>
            </w:pPr>
            <w:r w:rsidRPr="0099750E">
              <w:rPr>
                <w:rFonts w:ascii="Bookman Old Style" w:hAnsi="Bookman Old Style"/>
                <w:i/>
              </w:rPr>
              <w:t>Identifies timeframes and operating hours for which clients can use the service.</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Service Initiation</w:t>
            </w:r>
          </w:p>
        </w:tc>
        <w:tc>
          <w:tcPr>
            <w:tcW w:w="811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i/>
              </w:rPr>
            </w:pPr>
            <w:r w:rsidRPr="0099750E">
              <w:rPr>
                <w:rFonts w:ascii="Bookman Old Style" w:hAnsi="Bookman Old Style"/>
                <w:i/>
              </w:rPr>
              <w:t>Identifies how the service can be obtained.</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Service Support</w:t>
            </w:r>
          </w:p>
        </w:tc>
        <w:tc>
          <w:tcPr>
            <w:tcW w:w="811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i/>
              </w:rPr>
            </w:pPr>
            <w:r w:rsidRPr="0099750E">
              <w:rPr>
                <w:rFonts w:ascii="Bookman Old Style" w:hAnsi="Bookman Old Style"/>
                <w:i/>
              </w:rPr>
              <w:t>Identifies how the client can receive help if problems should occur.</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Service Resolution</w:t>
            </w:r>
          </w:p>
        </w:tc>
        <w:tc>
          <w:tcPr>
            <w:tcW w:w="811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i/>
              </w:rPr>
            </w:pPr>
            <w:r w:rsidRPr="0099750E">
              <w:rPr>
                <w:rFonts w:ascii="Bookman Old Style" w:hAnsi="Bookman Old Style"/>
                <w:i/>
              </w:rPr>
              <w:t>Defines when the service provider will consider the service request to be resolved. Many services can be resolved in multiple ways.</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Costs</w:t>
            </w:r>
          </w:p>
        </w:tc>
        <w:tc>
          <w:tcPr>
            <w:tcW w:w="811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i/>
              </w:rPr>
            </w:pPr>
            <w:r w:rsidRPr="0099750E">
              <w:rPr>
                <w:rFonts w:ascii="Bookman Old Style" w:hAnsi="Bookman Old Style"/>
                <w:i/>
              </w:rPr>
              <w:t>Identifies any one-time or on-going costs, who will incur them and how they will be settled.</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Wait Time</w:t>
            </w:r>
          </w:p>
        </w:tc>
        <w:tc>
          <w:tcPr>
            <w:tcW w:w="811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i/>
              </w:rPr>
            </w:pPr>
            <w:r w:rsidRPr="0099750E">
              <w:rPr>
                <w:rFonts w:ascii="Bookman Old Style" w:hAnsi="Bookman Old Style"/>
                <w:i/>
              </w:rPr>
              <w:t>The time the client should expect to wait from the initiation of the service to resolution.</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178" w:type="dxa"/>
          </w:tcPr>
          <w:p w:rsidR="00055EDA" w:rsidRPr="0099750E" w:rsidRDefault="00055EDA" w:rsidP="00DD24EB">
            <w:pPr>
              <w:rPr>
                <w:rFonts w:ascii="Bookman Old Style" w:hAnsi="Bookman Old Style"/>
              </w:rPr>
            </w:pPr>
            <w:r w:rsidRPr="0099750E">
              <w:rPr>
                <w:rFonts w:ascii="Bookman Old Style" w:hAnsi="Bookman Old Style"/>
              </w:rPr>
              <w:t>Notes</w:t>
            </w:r>
          </w:p>
        </w:tc>
        <w:tc>
          <w:tcPr>
            <w:tcW w:w="811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i/>
              </w:rPr>
            </w:pPr>
            <w:r w:rsidRPr="0099750E">
              <w:rPr>
                <w:rFonts w:ascii="Bookman Old Style" w:hAnsi="Bookman Old Style"/>
                <w:i/>
              </w:rPr>
              <w:t>Any additional information relevant to the service.</w:t>
            </w:r>
          </w:p>
        </w:tc>
      </w:tr>
    </w:tbl>
    <w:p w:rsidR="00055EDA" w:rsidRPr="0099750E" w:rsidRDefault="00055EDA" w:rsidP="00055EDA">
      <w:pPr>
        <w:spacing w:before="240"/>
        <w:rPr>
          <w:rFonts w:ascii="Bookman Old Style" w:hAnsi="Bookman Old Style"/>
        </w:rPr>
      </w:pPr>
      <w:r w:rsidRPr="0099750E">
        <w:rPr>
          <w:rFonts w:ascii="Bookman Old Style" w:hAnsi="Bookman Old Style"/>
        </w:rPr>
        <w:t>The service provider will provide the following services to the client.</w:t>
      </w:r>
    </w:p>
    <w:p w:rsidR="00055EDA" w:rsidRPr="0099750E" w:rsidRDefault="00055EDA" w:rsidP="00055EDA">
      <w:pPr>
        <w:pStyle w:val="Heading2"/>
        <w:rPr>
          <w:rFonts w:ascii="Bookman Old Style" w:hAnsi="Bookman Old Style"/>
        </w:rPr>
      </w:pPr>
      <w:bookmarkStart w:id="5" w:name="_Toc360113941"/>
      <w:r w:rsidRPr="0099750E">
        <w:rPr>
          <w:rFonts w:ascii="Bookman Old Style" w:hAnsi="Bookman Old Style"/>
        </w:rPr>
        <w:t>Service Desk Support</w:t>
      </w:r>
      <w:bookmarkEnd w:id="5"/>
    </w:p>
    <w:tbl>
      <w:tblPr>
        <w:tblStyle w:val="SIMStyle"/>
        <w:tblW w:w="0" w:type="auto"/>
        <w:tblLook w:val="0480" w:firstRow="0" w:lastRow="0" w:firstColumn="1" w:lastColumn="0" w:noHBand="0" w:noVBand="1"/>
      </w:tblPr>
      <w:tblGrid>
        <w:gridCol w:w="2088"/>
        <w:gridCol w:w="8208"/>
      </w:tblGrid>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Description</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Client support provided to contact the service provider and gain access to all services. It acts as a single point of contact between the service provider and clients. Service requests are tracked, monitored and managed to ensure consistent and reliable service.</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Delivery Scope</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All clients</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Component Scope</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All components</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lastRenderedPageBreak/>
              <w:t>Standard Service Features</w:t>
            </w:r>
          </w:p>
        </w:tc>
        <w:tc>
          <w:tcPr>
            <w:tcW w:w="8208" w:type="dxa"/>
          </w:tcPr>
          <w:p w:rsidR="00055EDA" w:rsidRPr="0099750E" w:rsidRDefault="00055EDA" w:rsidP="00055ED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Client assistance Monday to Friday, 8:00 – 5:00</w:t>
            </w:r>
          </w:p>
          <w:p w:rsidR="00055EDA" w:rsidRPr="0099750E" w:rsidRDefault="00055EDA" w:rsidP="00055ED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Emergency after-hours support is available outside of normal business hours</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Hours</w:t>
            </w:r>
          </w:p>
        </w:tc>
        <w:tc>
          <w:tcPr>
            <w:tcW w:w="8208" w:type="dxa"/>
          </w:tcPr>
          <w:p w:rsidR="00055EDA" w:rsidRPr="0099750E" w:rsidRDefault="00055EDA" w:rsidP="00055ED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Available Monday to Friday, 8:00 – 5:00, excepting government holidays</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Initiation</w:t>
            </w:r>
          </w:p>
        </w:tc>
        <w:tc>
          <w:tcPr>
            <w:tcW w:w="8208" w:type="dxa"/>
          </w:tcPr>
          <w:p w:rsidR="00055EDA" w:rsidRPr="0099750E" w:rsidRDefault="00055EDA" w:rsidP="00055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Local Yellowknife Phone:</w:t>
            </w:r>
            <w:r w:rsidRPr="0099750E">
              <w:rPr>
                <w:rFonts w:ascii="Bookman Old Style" w:hAnsi="Bookman Old Style"/>
              </w:rPr>
              <w:tab/>
            </w:r>
            <w:r w:rsidRPr="0099750E">
              <w:rPr>
                <w:rFonts w:ascii="Bookman Old Style" w:hAnsi="Bookman Old Style"/>
              </w:rPr>
              <w:tab/>
              <w:t>1-867-</w:t>
            </w:r>
          </w:p>
          <w:p w:rsidR="00055EDA" w:rsidRPr="0099750E" w:rsidRDefault="00055EDA" w:rsidP="00055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Toll Free:</w:t>
            </w:r>
            <w:r w:rsidRPr="0099750E">
              <w:rPr>
                <w:rFonts w:ascii="Bookman Old Style" w:hAnsi="Bookman Old Style"/>
              </w:rPr>
              <w:tab/>
            </w:r>
            <w:r w:rsidRPr="0099750E">
              <w:rPr>
                <w:rFonts w:ascii="Bookman Old Style" w:hAnsi="Bookman Old Style"/>
              </w:rPr>
              <w:tab/>
            </w:r>
            <w:r w:rsidRPr="0099750E">
              <w:rPr>
                <w:rFonts w:ascii="Bookman Old Style" w:hAnsi="Bookman Old Style"/>
              </w:rPr>
              <w:tab/>
            </w:r>
            <w:r w:rsidRPr="0099750E">
              <w:rPr>
                <w:rFonts w:ascii="Bookman Old Style" w:hAnsi="Bookman Old Style"/>
              </w:rPr>
              <w:tab/>
              <w:t>1-</w:t>
            </w:r>
          </w:p>
          <w:p w:rsidR="00055EDA" w:rsidRPr="0099750E" w:rsidRDefault="00055EDA" w:rsidP="00055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Email:</w:t>
            </w:r>
            <w:r w:rsidRPr="0099750E">
              <w:rPr>
                <w:rFonts w:ascii="Bookman Old Style" w:hAnsi="Bookman Old Style"/>
              </w:rPr>
              <w:tab/>
            </w:r>
            <w:r w:rsidRPr="0099750E">
              <w:rPr>
                <w:rFonts w:ascii="Bookman Old Style" w:hAnsi="Bookman Old Style"/>
              </w:rPr>
              <w:tab/>
            </w:r>
            <w:r w:rsidRPr="0099750E">
              <w:rPr>
                <w:rFonts w:ascii="Bookman Old Style" w:hAnsi="Bookman Old Style"/>
              </w:rPr>
              <w:tab/>
            </w:r>
            <w:r w:rsidRPr="0099750E">
              <w:rPr>
                <w:rFonts w:ascii="Bookman Old Style" w:hAnsi="Bookman Old Style"/>
              </w:rPr>
              <w:tab/>
              <w:t>@</w:t>
            </w:r>
          </w:p>
          <w:p w:rsidR="00055EDA" w:rsidRPr="0099750E" w:rsidRDefault="00055EDA" w:rsidP="00055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Fax:</w:t>
            </w:r>
            <w:r w:rsidRPr="0099750E">
              <w:rPr>
                <w:rFonts w:ascii="Bookman Old Style" w:hAnsi="Bookman Old Style"/>
              </w:rPr>
              <w:tab/>
            </w:r>
            <w:r w:rsidRPr="0099750E">
              <w:rPr>
                <w:rFonts w:ascii="Bookman Old Style" w:hAnsi="Bookman Old Style"/>
              </w:rPr>
              <w:tab/>
            </w:r>
            <w:r w:rsidRPr="0099750E">
              <w:rPr>
                <w:rFonts w:ascii="Bookman Old Style" w:hAnsi="Bookman Old Style"/>
              </w:rPr>
              <w:tab/>
            </w:r>
            <w:r w:rsidRPr="0099750E">
              <w:rPr>
                <w:rFonts w:ascii="Bookman Old Style" w:hAnsi="Bookman Old Style"/>
              </w:rPr>
              <w:tab/>
              <w:t>1-</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Support</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Updates on service desk tickets can be obtained by contacting the service desk through the channels listed above.</w:t>
            </w: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Resolution</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99750E">
              <w:rPr>
                <w:rFonts w:ascii="Bookman Old Style" w:hAnsi="Bookman Old Style"/>
              </w:rPr>
              <w:t>Services requests through the Service Desk are considered resolved when the ticket issued is closed.</w:t>
            </w: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Wait Time</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99750E">
              <w:rPr>
                <w:rFonts w:ascii="Bookman Old Style" w:hAnsi="Bookman Old Style"/>
              </w:rPr>
              <w:t>Wait time depends on the service requested.</w:t>
            </w:r>
          </w:p>
        </w:tc>
      </w:tr>
    </w:tbl>
    <w:p w:rsidR="00055EDA" w:rsidRPr="0099750E" w:rsidRDefault="00055EDA" w:rsidP="00055EDA">
      <w:pPr>
        <w:pStyle w:val="Heading2"/>
        <w:rPr>
          <w:rFonts w:ascii="Bookman Old Style" w:hAnsi="Bookman Old Style"/>
        </w:rPr>
      </w:pPr>
      <w:bookmarkStart w:id="6" w:name="_Toc360113942"/>
      <w:r w:rsidRPr="0099750E">
        <w:rPr>
          <w:rFonts w:ascii="Bookman Old Style" w:hAnsi="Bookman Old Style"/>
        </w:rPr>
        <w:t>&lt;Additional Services&gt;</w:t>
      </w:r>
      <w:bookmarkEnd w:id="6"/>
    </w:p>
    <w:p w:rsidR="00055EDA" w:rsidRPr="0099750E" w:rsidRDefault="00055EDA" w:rsidP="00055EDA">
      <w:pPr>
        <w:pStyle w:val="Hint"/>
        <w:rPr>
          <w:rFonts w:ascii="Bookman Old Style" w:hAnsi="Bookman Old Style"/>
          <w:color w:val="auto"/>
        </w:rPr>
      </w:pPr>
      <w:r w:rsidRPr="0099750E">
        <w:rPr>
          <w:rFonts w:ascii="Bookman Old Style" w:hAnsi="Bookman Old Style"/>
          <w:color w:val="auto"/>
        </w:rPr>
        <w:t>&lt;Repeat for each service. Consider both routine (automatic, scheduled) and non-routine (upon request) services.&gt;</w:t>
      </w:r>
    </w:p>
    <w:tbl>
      <w:tblPr>
        <w:tblStyle w:val="SIMStyle"/>
        <w:tblW w:w="0" w:type="auto"/>
        <w:tblLook w:val="0480" w:firstRow="0" w:lastRow="0" w:firstColumn="1" w:lastColumn="0" w:noHBand="0" w:noVBand="1"/>
      </w:tblPr>
      <w:tblGrid>
        <w:gridCol w:w="2088"/>
        <w:gridCol w:w="8208"/>
      </w:tblGrid>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Description</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Delivery Scope</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Component Scope</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Standard Service Features</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Non-Standard Options</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Hours</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Initiation</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Support</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Service Resolution</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Reliability</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055EDA" w:rsidRPr="0099750E" w:rsidTr="00DD24EB">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Wait Time</w:t>
            </w:r>
          </w:p>
        </w:tc>
        <w:tc>
          <w:tcPr>
            <w:tcW w:w="8208" w:type="dxa"/>
          </w:tcPr>
          <w:p w:rsidR="00055EDA" w:rsidRPr="0099750E" w:rsidRDefault="00055EDA" w:rsidP="00DD24EB">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055EDA" w:rsidRPr="0099750E" w:rsidTr="00DD24EB">
        <w:trPr>
          <w:cantSplit/>
          <w:trHeight w:val="360"/>
        </w:trPr>
        <w:tc>
          <w:tcPr>
            <w:cnfStyle w:val="001000000000" w:firstRow="0" w:lastRow="0" w:firstColumn="1" w:lastColumn="0" w:oddVBand="0" w:evenVBand="0" w:oddHBand="0" w:evenHBand="0" w:firstRowFirstColumn="0" w:firstRowLastColumn="0" w:lastRowFirstColumn="0" w:lastRowLastColumn="0"/>
            <w:tcW w:w="2088" w:type="dxa"/>
          </w:tcPr>
          <w:p w:rsidR="00055EDA" w:rsidRPr="0099750E" w:rsidRDefault="00055EDA" w:rsidP="00DD24EB">
            <w:pPr>
              <w:rPr>
                <w:rFonts w:ascii="Bookman Old Style" w:hAnsi="Bookman Old Style"/>
              </w:rPr>
            </w:pPr>
            <w:r w:rsidRPr="0099750E">
              <w:rPr>
                <w:rFonts w:ascii="Bookman Old Style" w:hAnsi="Bookman Old Style"/>
              </w:rPr>
              <w:t>Costs</w:t>
            </w:r>
          </w:p>
        </w:tc>
        <w:tc>
          <w:tcPr>
            <w:tcW w:w="8208" w:type="dxa"/>
          </w:tcPr>
          <w:p w:rsidR="00055EDA" w:rsidRPr="0099750E" w:rsidRDefault="00055EDA" w:rsidP="00DD24EB">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bl>
    <w:p w:rsidR="00055EDA" w:rsidRPr="0099750E" w:rsidRDefault="00055EDA" w:rsidP="00055EDA">
      <w:pPr>
        <w:pStyle w:val="Heading1"/>
        <w:rPr>
          <w:rFonts w:ascii="Bookman Old Style" w:hAnsi="Bookman Old Style"/>
        </w:rPr>
      </w:pPr>
      <w:bookmarkStart w:id="7" w:name="_Toc360113943"/>
      <w:r w:rsidRPr="0099750E">
        <w:rPr>
          <w:rFonts w:ascii="Bookman Old Style" w:hAnsi="Bookman Old Style"/>
        </w:rPr>
        <w:t>Changes &amp; Review</w:t>
      </w:r>
      <w:bookmarkEnd w:id="7"/>
    </w:p>
    <w:p w:rsidR="00055EDA" w:rsidRPr="0099750E" w:rsidRDefault="00055EDA" w:rsidP="00055EDA">
      <w:pPr>
        <w:rPr>
          <w:rFonts w:ascii="Bookman Old Style" w:hAnsi="Bookman Old Style"/>
        </w:rPr>
      </w:pPr>
      <w:r w:rsidRPr="0099750E">
        <w:rPr>
          <w:rFonts w:ascii="Bookman Old Style" w:hAnsi="Bookman Old Style"/>
        </w:rPr>
        <w:t xml:space="preserve">Changes to this document may be proposed by business or IT representatives; however, no amendments will be made without approval from both parties. This document will be </w:t>
      </w:r>
      <w:r w:rsidRPr="0099750E">
        <w:rPr>
          <w:rFonts w:ascii="Bookman Old Style" w:hAnsi="Bookman Old Style"/>
        </w:rPr>
        <w:lastRenderedPageBreak/>
        <w:t>regularly reviewed for currency and effectiveness. The next review date is noted in the document control section of the SLA.</w:t>
      </w:r>
    </w:p>
    <w:p w:rsidR="00055EDA" w:rsidRPr="0099750E" w:rsidRDefault="00055EDA" w:rsidP="00055EDA">
      <w:pPr>
        <w:rPr>
          <w:rFonts w:ascii="Bookman Old Style" w:eastAsiaTheme="majorEastAsia" w:hAnsi="Bookman Old Style" w:cstheme="majorBidi"/>
          <w:b/>
          <w:bCs/>
          <w:sz w:val="32"/>
          <w:szCs w:val="28"/>
        </w:rPr>
      </w:pPr>
      <w:r w:rsidRPr="0099750E">
        <w:rPr>
          <w:rFonts w:ascii="Bookman Old Style" w:hAnsi="Bookman Old Style"/>
        </w:rPr>
        <w:br w:type="page"/>
      </w:r>
    </w:p>
    <w:p w:rsidR="00055EDA" w:rsidRPr="0099750E" w:rsidRDefault="00055EDA" w:rsidP="00055EDA">
      <w:pPr>
        <w:pStyle w:val="Heading1"/>
        <w:rPr>
          <w:rFonts w:ascii="Bookman Old Style" w:hAnsi="Bookman Old Style"/>
        </w:rPr>
      </w:pPr>
      <w:bookmarkStart w:id="8" w:name="_Toc360113944"/>
      <w:r w:rsidRPr="0099750E">
        <w:rPr>
          <w:rFonts w:ascii="Bookman Old Style" w:hAnsi="Bookman Old Style"/>
        </w:rPr>
        <w:lastRenderedPageBreak/>
        <w:t>Signatures</w:t>
      </w:r>
      <w:bookmarkEnd w:id="8"/>
    </w:p>
    <w:tbl>
      <w:tblPr>
        <w:tblpPr w:leftFromText="180" w:rightFromText="180" w:vertAnchor="text" w:horzAnchor="margin" w:tblpY="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055EDA" w:rsidRPr="0099750E" w:rsidTr="00DD24EB">
        <w:tc>
          <w:tcPr>
            <w:tcW w:w="5148" w:type="dxa"/>
            <w:tcBorders>
              <w:top w:val="single" w:sz="4" w:space="0" w:color="auto"/>
              <w:left w:val="single" w:sz="4" w:space="0" w:color="auto"/>
              <w:bottom w:val="single" w:sz="4" w:space="0" w:color="auto"/>
              <w:right w:val="single" w:sz="4" w:space="0" w:color="auto"/>
            </w:tcBorders>
          </w:tcPr>
          <w:p w:rsidR="00055EDA" w:rsidRPr="0099750E" w:rsidRDefault="00055EDA" w:rsidP="00DD24EB">
            <w:pPr>
              <w:rPr>
                <w:rFonts w:ascii="Bookman Old Style" w:hAnsi="Bookman Old Style"/>
              </w:rPr>
            </w:pPr>
            <w:r w:rsidRPr="0099750E">
              <w:rPr>
                <w:rFonts w:ascii="Bookman Old Style" w:hAnsi="Bookman Old Style"/>
              </w:rPr>
              <w:t>For the service provider:</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Name: _________________________________</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Signature: ______________________________</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Title: __________________________________</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Date: __________________________________</w:t>
            </w:r>
          </w:p>
        </w:tc>
        <w:tc>
          <w:tcPr>
            <w:tcW w:w="5148" w:type="dxa"/>
            <w:tcBorders>
              <w:top w:val="single" w:sz="4" w:space="0" w:color="auto"/>
              <w:left w:val="single" w:sz="4" w:space="0" w:color="auto"/>
              <w:bottom w:val="single" w:sz="4" w:space="0" w:color="auto"/>
              <w:right w:val="single" w:sz="4" w:space="0" w:color="auto"/>
            </w:tcBorders>
          </w:tcPr>
          <w:p w:rsidR="00055EDA" w:rsidRPr="0099750E" w:rsidRDefault="00055EDA" w:rsidP="00DD24EB">
            <w:pPr>
              <w:rPr>
                <w:rFonts w:ascii="Bookman Old Style" w:hAnsi="Bookman Old Style"/>
              </w:rPr>
            </w:pPr>
            <w:r w:rsidRPr="0099750E">
              <w:rPr>
                <w:rFonts w:ascii="Bookman Old Style" w:hAnsi="Bookman Old Style"/>
              </w:rPr>
              <w:t>For the client:</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Name: _________________________________</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Signature: ______________________________</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Title: __________________________________</w:t>
            </w:r>
          </w:p>
          <w:p w:rsidR="00055EDA" w:rsidRPr="0099750E" w:rsidRDefault="00055EDA" w:rsidP="00DD24EB">
            <w:pPr>
              <w:rPr>
                <w:rFonts w:ascii="Bookman Old Style" w:hAnsi="Bookman Old Style"/>
              </w:rPr>
            </w:pPr>
          </w:p>
          <w:p w:rsidR="00055EDA" w:rsidRPr="0099750E" w:rsidRDefault="00055EDA" w:rsidP="00DD24EB">
            <w:pPr>
              <w:rPr>
                <w:rFonts w:ascii="Bookman Old Style" w:hAnsi="Bookman Old Style"/>
              </w:rPr>
            </w:pPr>
            <w:r w:rsidRPr="0099750E">
              <w:rPr>
                <w:rFonts w:ascii="Bookman Old Style" w:hAnsi="Bookman Old Style"/>
              </w:rPr>
              <w:t>Date: __________________________________</w:t>
            </w:r>
          </w:p>
        </w:tc>
      </w:tr>
    </w:tbl>
    <w:p w:rsidR="00055EDA" w:rsidRPr="0099750E" w:rsidRDefault="00055EDA" w:rsidP="00055EDA">
      <w:pPr>
        <w:pStyle w:val="Heading1"/>
        <w:numPr>
          <w:ilvl w:val="0"/>
          <w:numId w:val="0"/>
        </w:numPr>
        <w:rPr>
          <w:rFonts w:ascii="Bookman Old Style" w:hAnsi="Bookman Old Style"/>
        </w:rPr>
      </w:pPr>
    </w:p>
    <w:p w:rsidR="009C2AEB" w:rsidRPr="0099750E" w:rsidRDefault="009C2AEB">
      <w:pPr>
        <w:rPr>
          <w:rFonts w:ascii="Bookman Old Style" w:hAnsi="Bookman Old Style"/>
        </w:rPr>
      </w:pPr>
    </w:p>
    <w:sectPr w:rsidR="009C2AEB" w:rsidRPr="0099750E" w:rsidSect="00E36B39">
      <w:headerReference w:type="even" r:id="rId7"/>
      <w:headerReference w:type="default" r:id="rId8"/>
      <w:footerReference w:type="default" r:id="rId9"/>
      <w:headerReference w:type="first" r:id="rId10"/>
      <w:pgSz w:w="12240" w:h="15840"/>
      <w:pgMar w:top="1168" w:right="1080" w:bottom="1440" w:left="1080" w:header="81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FB9" w:rsidRDefault="00950FB9" w:rsidP="00055EDA">
      <w:pPr>
        <w:spacing w:after="0" w:line="240" w:lineRule="auto"/>
      </w:pPr>
      <w:r>
        <w:separator/>
      </w:r>
    </w:p>
  </w:endnote>
  <w:endnote w:type="continuationSeparator" w:id="0">
    <w:p w:rsidR="00950FB9" w:rsidRDefault="00950FB9" w:rsidP="0005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D4A" w:rsidRPr="001F3ED6" w:rsidRDefault="00950FB9" w:rsidP="00082052">
    <w:pPr>
      <w:pStyle w:val="Footer"/>
      <w:pBdr>
        <w:top w:val="single" w:sz="4" w:space="1" w:color="808080" w:themeColor="background1" w:themeShade="80"/>
      </w:pBdr>
      <w:tabs>
        <w:tab w:val="clear" w:pos="9360"/>
        <w:tab w:val="center" w:pos="5040"/>
        <w:tab w:val="right" w:pos="101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FB9" w:rsidRDefault="00950FB9" w:rsidP="00055EDA">
      <w:pPr>
        <w:spacing w:after="0" w:line="240" w:lineRule="auto"/>
      </w:pPr>
      <w:r>
        <w:separator/>
      </w:r>
    </w:p>
  </w:footnote>
  <w:footnote w:type="continuationSeparator" w:id="0">
    <w:p w:rsidR="00950FB9" w:rsidRDefault="00950FB9" w:rsidP="00055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D4A" w:rsidRDefault="009C2AEB" w:rsidP="000708C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4D4A" w:rsidRDefault="00950FB9" w:rsidP="000708C9">
    <w:pPr>
      <w:pStyle w:val="Header"/>
      <w:ind w:right="360"/>
    </w:pPr>
  </w:p>
  <w:p w:rsidR="006E4D4A" w:rsidRDefault="00950FB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D4A" w:rsidRDefault="009C2AEB" w:rsidP="006270A9">
    <w:pPr>
      <w:jc w:val="right"/>
    </w:pPr>
    <w:r>
      <w:rPr>
        <w:b/>
      </w:rPr>
      <w:t>CONFIDENTIAL</w:t>
    </w:r>
    <w:r>
      <w:rPr>
        <w:b/>
      </w:rPr>
      <w:br/>
      <w:t>Internal Service Level Agreement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D4A" w:rsidRDefault="00950FB9" w:rsidP="00E36B39">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3B0"/>
    <w:multiLevelType w:val="multilevel"/>
    <w:tmpl w:val="E00A9612"/>
    <w:lvl w:ilvl="0">
      <w:start w:val="1"/>
      <w:numFmt w:val="decimal"/>
      <w:pStyle w:val="Heading1"/>
      <w:suff w:val="space"/>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432" w:hanging="432"/>
      </w:pPr>
      <w:rPr>
        <w:rFonts w:hint="default"/>
      </w:rPr>
    </w:lvl>
    <w:lvl w:ilvl="3">
      <w:start w:val="1"/>
      <w:numFmt w:val="decimal"/>
      <w:pStyle w:val="Heading4"/>
      <w:suff w:val="space"/>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1" w15:restartNumberingAfterBreak="0">
    <w:nsid w:val="033A6F45"/>
    <w:multiLevelType w:val="hybridMultilevel"/>
    <w:tmpl w:val="F1CE2C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866185"/>
    <w:multiLevelType w:val="hybridMultilevel"/>
    <w:tmpl w:val="FA74D3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4DF5279"/>
    <w:multiLevelType w:val="hybridMultilevel"/>
    <w:tmpl w:val="2CEA9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84E179F"/>
    <w:multiLevelType w:val="hybridMultilevel"/>
    <w:tmpl w:val="E4F4D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sjQzNjc3NLEwMQVCSyUdpeDU4uLM/DyQAsNaAKGT/EwsAAAA"/>
  </w:docVars>
  <w:rsids>
    <w:rsidRoot w:val="00055EDA"/>
    <w:rsid w:val="00055EDA"/>
    <w:rsid w:val="001617C8"/>
    <w:rsid w:val="00950FB9"/>
    <w:rsid w:val="0099750E"/>
    <w:rsid w:val="009C2AEB"/>
    <w:rsid w:val="00C4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E85EB7-11B8-4E5B-81D6-025E7EE2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EDA"/>
    <w:pPr>
      <w:keepNext/>
      <w:keepLines/>
      <w:numPr>
        <w:numId w:val="1"/>
      </w:numPr>
      <w:spacing w:before="480" w:after="0" w:line="240" w:lineRule="auto"/>
      <w:outlineLvl w:val="0"/>
    </w:pPr>
    <w:rPr>
      <w:rFonts w:asciiTheme="majorHAnsi" w:eastAsiaTheme="majorEastAsia" w:hAnsiTheme="majorHAnsi" w:cstheme="majorBidi"/>
      <w:b/>
      <w:bCs/>
      <w:sz w:val="32"/>
      <w:szCs w:val="28"/>
      <w:lang w:val="en-CA" w:eastAsia="en-CA"/>
    </w:rPr>
  </w:style>
  <w:style w:type="paragraph" w:styleId="Heading2">
    <w:name w:val="heading 2"/>
    <w:basedOn w:val="Heading1"/>
    <w:next w:val="Normal"/>
    <w:link w:val="Heading2Char"/>
    <w:uiPriority w:val="9"/>
    <w:unhideWhenUsed/>
    <w:qFormat/>
    <w:rsid w:val="00055EDA"/>
    <w:pPr>
      <w:numPr>
        <w:ilvl w:val="1"/>
      </w:numPr>
      <w:spacing w:before="200" w:after="120"/>
      <w:outlineLvl w:val="1"/>
    </w:pPr>
    <w:rPr>
      <w:bCs w:val="0"/>
      <w:sz w:val="26"/>
      <w:szCs w:val="26"/>
    </w:rPr>
  </w:style>
  <w:style w:type="paragraph" w:styleId="Heading3">
    <w:name w:val="heading 3"/>
    <w:basedOn w:val="Heading2"/>
    <w:next w:val="Normal"/>
    <w:link w:val="Heading3Char"/>
    <w:uiPriority w:val="9"/>
    <w:unhideWhenUsed/>
    <w:qFormat/>
    <w:rsid w:val="00055EDA"/>
    <w:pPr>
      <w:numPr>
        <w:ilvl w:val="2"/>
      </w:numPr>
      <w:outlineLvl w:val="2"/>
    </w:pPr>
    <w:rPr>
      <w:bCs/>
      <w:color w:val="404040" w:themeColor="text1" w:themeTint="BF"/>
      <w:sz w:val="24"/>
    </w:rPr>
  </w:style>
  <w:style w:type="paragraph" w:styleId="Heading4">
    <w:name w:val="heading 4"/>
    <w:basedOn w:val="Heading3"/>
    <w:next w:val="Normal"/>
    <w:link w:val="Heading4Char"/>
    <w:uiPriority w:val="9"/>
    <w:semiHidden/>
    <w:unhideWhenUsed/>
    <w:qFormat/>
    <w:rsid w:val="00055EDA"/>
    <w:pPr>
      <w:numPr>
        <w:ilvl w:val="3"/>
      </w:numPr>
      <w:ind w:left="648"/>
      <w:outlineLvl w:val="3"/>
    </w:pPr>
    <w:rPr>
      <w:b w:val="0"/>
      <w:bCs w:val="0"/>
      <w:i/>
      <w:iCs/>
    </w:rPr>
  </w:style>
  <w:style w:type="paragraph" w:styleId="Heading5">
    <w:name w:val="heading 5"/>
    <w:basedOn w:val="Normal"/>
    <w:next w:val="Normal"/>
    <w:link w:val="Heading5Char"/>
    <w:uiPriority w:val="9"/>
    <w:semiHidden/>
    <w:unhideWhenUsed/>
    <w:qFormat/>
    <w:rsid w:val="00055EDA"/>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lang w:val="en-CA" w:eastAsia="en-CA"/>
    </w:rPr>
  </w:style>
  <w:style w:type="paragraph" w:styleId="Heading6">
    <w:name w:val="heading 6"/>
    <w:basedOn w:val="Normal"/>
    <w:next w:val="Normal"/>
    <w:link w:val="Heading6Char"/>
    <w:uiPriority w:val="9"/>
    <w:semiHidden/>
    <w:unhideWhenUsed/>
    <w:qFormat/>
    <w:rsid w:val="00055EDA"/>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EDA"/>
    <w:rPr>
      <w:rFonts w:asciiTheme="majorHAnsi" w:eastAsiaTheme="majorEastAsia" w:hAnsiTheme="majorHAnsi" w:cstheme="majorBidi"/>
      <w:b/>
      <w:bCs/>
      <w:sz w:val="32"/>
      <w:szCs w:val="28"/>
      <w:lang w:val="en-CA" w:eastAsia="en-CA"/>
    </w:rPr>
  </w:style>
  <w:style w:type="character" w:customStyle="1" w:styleId="Heading2Char">
    <w:name w:val="Heading 2 Char"/>
    <w:basedOn w:val="DefaultParagraphFont"/>
    <w:link w:val="Heading2"/>
    <w:uiPriority w:val="9"/>
    <w:rsid w:val="00055EDA"/>
    <w:rPr>
      <w:rFonts w:asciiTheme="majorHAnsi" w:eastAsiaTheme="majorEastAsia" w:hAnsiTheme="majorHAnsi" w:cstheme="majorBidi"/>
      <w:b/>
      <w:sz w:val="26"/>
      <w:szCs w:val="26"/>
      <w:lang w:val="en-CA" w:eastAsia="en-CA"/>
    </w:rPr>
  </w:style>
  <w:style w:type="character" w:customStyle="1" w:styleId="Heading3Char">
    <w:name w:val="Heading 3 Char"/>
    <w:basedOn w:val="DefaultParagraphFont"/>
    <w:link w:val="Heading3"/>
    <w:uiPriority w:val="9"/>
    <w:rsid w:val="00055EDA"/>
    <w:rPr>
      <w:rFonts w:asciiTheme="majorHAnsi" w:eastAsiaTheme="majorEastAsia" w:hAnsiTheme="majorHAnsi" w:cstheme="majorBidi"/>
      <w:b/>
      <w:bCs/>
      <w:color w:val="404040" w:themeColor="text1" w:themeTint="BF"/>
      <w:sz w:val="24"/>
      <w:szCs w:val="26"/>
      <w:lang w:val="en-CA" w:eastAsia="en-CA"/>
    </w:rPr>
  </w:style>
  <w:style w:type="character" w:customStyle="1" w:styleId="Heading4Char">
    <w:name w:val="Heading 4 Char"/>
    <w:basedOn w:val="DefaultParagraphFont"/>
    <w:link w:val="Heading4"/>
    <w:uiPriority w:val="9"/>
    <w:semiHidden/>
    <w:rsid w:val="00055EDA"/>
    <w:rPr>
      <w:rFonts w:asciiTheme="majorHAnsi" w:eastAsiaTheme="majorEastAsia" w:hAnsiTheme="majorHAnsi" w:cstheme="majorBidi"/>
      <w:i/>
      <w:iCs/>
      <w:color w:val="404040" w:themeColor="text1" w:themeTint="BF"/>
      <w:sz w:val="24"/>
      <w:szCs w:val="26"/>
      <w:lang w:val="en-CA" w:eastAsia="en-CA"/>
    </w:rPr>
  </w:style>
  <w:style w:type="character" w:customStyle="1" w:styleId="Heading5Char">
    <w:name w:val="Heading 5 Char"/>
    <w:basedOn w:val="DefaultParagraphFont"/>
    <w:link w:val="Heading5"/>
    <w:uiPriority w:val="9"/>
    <w:semiHidden/>
    <w:rsid w:val="00055EDA"/>
    <w:rPr>
      <w:rFonts w:asciiTheme="majorHAnsi" w:eastAsiaTheme="majorEastAsia" w:hAnsiTheme="majorHAnsi" w:cstheme="majorBidi"/>
      <w:color w:val="243F60" w:themeColor="accent1" w:themeShade="7F"/>
      <w:sz w:val="24"/>
      <w:lang w:val="en-CA" w:eastAsia="en-CA"/>
    </w:rPr>
  </w:style>
  <w:style w:type="character" w:customStyle="1" w:styleId="Heading6Char">
    <w:name w:val="Heading 6 Char"/>
    <w:basedOn w:val="DefaultParagraphFont"/>
    <w:link w:val="Heading6"/>
    <w:uiPriority w:val="9"/>
    <w:semiHidden/>
    <w:rsid w:val="00055EDA"/>
    <w:rPr>
      <w:rFonts w:asciiTheme="majorHAnsi" w:eastAsiaTheme="majorEastAsia" w:hAnsiTheme="majorHAnsi" w:cstheme="majorBidi"/>
      <w:i/>
      <w:iCs/>
      <w:color w:val="243F60" w:themeColor="accent1" w:themeShade="7F"/>
      <w:sz w:val="24"/>
      <w:lang w:val="en-CA" w:eastAsia="en-CA"/>
    </w:rPr>
  </w:style>
  <w:style w:type="table" w:customStyle="1" w:styleId="SIMStyle">
    <w:name w:val="SIM Style"/>
    <w:basedOn w:val="TableNormal"/>
    <w:uiPriority w:val="99"/>
    <w:rsid w:val="00055EDA"/>
    <w:pPr>
      <w:spacing w:after="0" w:line="240" w:lineRule="auto"/>
    </w:pPr>
    <w:rPr>
      <w:rFonts w:eastAsiaTheme="minorHAnsi"/>
      <w:lang w:val="en-CA" w:eastAsia="en-C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rsid w:val="00055EDA"/>
    <w:pPr>
      <w:spacing w:after="100" w:line="240" w:lineRule="auto"/>
    </w:pPr>
    <w:rPr>
      <w:sz w:val="24"/>
      <w:lang w:val="en-CA" w:eastAsia="en-CA"/>
    </w:rPr>
  </w:style>
  <w:style w:type="paragraph" w:styleId="Header">
    <w:name w:val="header"/>
    <w:basedOn w:val="Normal"/>
    <w:link w:val="HeaderChar"/>
    <w:uiPriority w:val="99"/>
    <w:rsid w:val="00055EDA"/>
    <w:pPr>
      <w:tabs>
        <w:tab w:val="center" w:pos="4680"/>
        <w:tab w:val="right" w:pos="9360"/>
      </w:tabs>
      <w:spacing w:after="0" w:line="240" w:lineRule="auto"/>
    </w:pPr>
    <w:rPr>
      <w:sz w:val="24"/>
      <w:lang w:val="en-CA" w:eastAsia="en-CA"/>
    </w:rPr>
  </w:style>
  <w:style w:type="character" w:customStyle="1" w:styleId="HeaderChar">
    <w:name w:val="Header Char"/>
    <w:basedOn w:val="DefaultParagraphFont"/>
    <w:link w:val="Header"/>
    <w:uiPriority w:val="99"/>
    <w:rsid w:val="00055EDA"/>
    <w:rPr>
      <w:sz w:val="24"/>
      <w:lang w:val="en-CA" w:eastAsia="en-CA"/>
    </w:rPr>
  </w:style>
  <w:style w:type="paragraph" w:styleId="Footer">
    <w:name w:val="footer"/>
    <w:basedOn w:val="Normal"/>
    <w:link w:val="FooterChar"/>
    <w:uiPriority w:val="99"/>
    <w:rsid w:val="00055EDA"/>
    <w:pPr>
      <w:tabs>
        <w:tab w:val="center" w:pos="4680"/>
        <w:tab w:val="right" w:pos="9360"/>
      </w:tabs>
      <w:spacing w:after="0" w:line="240" w:lineRule="auto"/>
    </w:pPr>
    <w:rPr>
      <w:sz w:val="24"/>
      <w:lang w:val="en-CA" w:eastAsia="en-CA"/>
    </w:rPr>
  </w:style>
  <w:style w:type="character" w:customStyle="1" w:styleId="FooterChar">
    <w:name w:val="Footer Char"/>
    <w:basedOn w:val="DefaultParagraphFont"/>
    <w:link w:val="Footer"/>
    <w:uiPriority w:val="99"/>
    <w:rsid w:val="00055EDA"/>
    <w:rPr>
      <w:sz w:val="24"/>
      <w:lang w:val="en-CA" w:eastAsia="en-CA"/>
    </w:rPr>
  </w:style>
  <w:style w:type="character" w:styleId="PageNumber">
    <w:name w:val="page number"/>
    <w:basedOn w:val="DefaultParagraphFont"/>
    <w:rsid w:val="00055EDA"/>
  </w:style>
  <w:style w:type="paragraph" w:styleId="Title">
    <w:name w:val="Title"/>
    <w:basedOn w:val="Normal"/>
    <w:next w:val="Normal"/>
    <w:link w:val="TitleChar"/>
    <w:uiPriority w:val="10"/>
    <w:qFormat/>
    <w:rsid w:val="00055EDA"/>
    <w:pPr>
      <w:spacing w:before="2000" w:after="1000" w:line="360" w:lineRule="auto"/>
      <w:contextualSpacing/>
      <w:jc w:val="center"/>
    </w:pPr>
    <w:rPr>
      <w:rFonts w:asciiTheme="majorHAnsi" w:eastAsiaTheme="majorEastAsia" w:hAnsiTheme="majorHAnsi" w:cstheme="majorBidi"/>
      <w:b/>
      <w:caps/>
      <w:spacing w:val="5"/>
      <w:kern w:val="28"/>
      <w:sz w:val="52"/>
      <w:szCs w:val="52"/>
      <w:lang w:val="en-CA" w:eastAsia="en-CA"/>
    </w:rPr>
  </w:style>
  <w:style w:type="character" w:customStyle="1" w:styleId="TitleChar">
    <w:name w:val="Title Char"/>
    <w:basedOn w:val="DefaultParagraphFont"/>
    <w:link w:val="Title"/>
    <w:uiPriority w:val="10"/>
    <w:rsid w:val="00055EDA"/>
    <w:rPr>
      <w:rFonts w:asciiTheme="majorHAnsi" w:eastAsiaTheme="majorEastAsia" w:hAnsiTheme="majorHAnsi" w:cstheme="majorBidi"/>
      <w:b/>
      <w:caps/>
      <w:spacing w:val="5"/>
      <w:kern w:val="28"/>
      <w:sz w:val="52"/>
      <w:szCs w:val="52"/>
      <w:lang w:val="en-CA" w:eastAsia="en-CA"/>
    </w:rPr>
  </w:style>
  <w:style w:type="paragraph" w:styleId="TOCHeading">
    <w:name w:val="TOC Heading"/>
    <w:basedOn w:val="Heading1"/>
    <w:next w:val="Normal"/>
    <w:uiPriority w:val="39"/>
    <w:unhideWhenUsed/>
    <w:qFormat/>
    <w:rsid w:val="00055EDA"/>
    <w:pPr>
      <w:outlineLvl w:val="9"/>
    </w:pPr>
  </w:style>
  <w:style w:type="character" w:styleId="Hyperlink">
    <w:name w:val="Hyperlink"/>
    <w:basedOn w:val="DefaultParagraphFont"/>
    <w:uiPriority w:val="99"/>
    <w:rsid w:val="00055EDA"/>
    <w:rPr>
      <w:color w:val="0000FF" w:themeColor="hyperlink"/>
      <w:u w:val="single"/>
    </w:rPr>
  </w:style>
  <w:style w:type="paragraph" w:styleId="ListParagraph">
    <w:name w:val="List Paragraph"/>
    <w:basedOn w:val="Normal"/>
    <w:qFormat/>
    <w:rsid w:val="00055EDA"/>
    <w:pPr>
      <w:spacing w:line="240" w:lineRule="auto"/>
      <w:ind w:left="720"/>
      <w:contextualSpacing/>
    </w:pPr>
    <w:rPr>
      <w:sz w:val="24"/>
      <w:lang w:val="en-CA" w:eastAsia="en-CA"/>
    </w:rPr>
  </w:style>
  <w:style w:type="paragraph" w:styleId="TOC2">
    <w:name w:val="toc 2"/>
    <w:basedOn w:val="Normal"/>
    <w:next w:val="Normal"/>
    <w:autoRedefine/>
    <w:uiPriority w:val="39"/>
    <w:unhideWhenUsed/>
    <w:rsid w:val="00055EDA"/>
    <w:pPr>
      <w:spacing w:after="100" w:line="240" w:lineRule="auto"/>
      <w:ind w:left="220"/>
    </w:pPr>
    <w:rPr>
      <w:sz w:val="24"/>
      <w:lang w:val="en-CA" w:eastAsia="en-CA"/>
    </w:rPr>
  </w:style>
  <w:style w:type="paragraph" w:customStyle="1" w:styleId="Hint">
    <w:name w:val="Hint"/>
    <w:basedOn w:val="Normal"/>
    <w:link w:val="HintChar"/>
    <w:qFormat/>
    <w:rsid w:val="00055EDA"/>
    <w:pPr>
      <w:spacing w:before="60" w:after="60" w:line="240" w:lineRule="auto"/>
    </w:pPr>
    <w:rPr>
      <w:color w:val="808080" w:themeColor="background1" w:themeShade="80"/>
      <w:sz w:val="24"/>
      <w:lang w:val="en-CA" w:eastAsia="en-CA"/>
    </w:rPr>
  </w:style>
  <w:style w:type="character" w:customStyle="1" w:styleId="HintChar">
    <w:name w:val="Hint Char"/>
    <w:basedOn w:val="DefaultParagraphFont"/>
    <w:link w:val="Hint"/>
    <w:rsid w:val="00055EDA"/>
    <w:rPr>
      <w:color w:val="808080" w:themeColor="background1" w:themeShade="80"/>
      <w:sz w:val="24"/>
      <w:lang w:val="en-CA" w:eastAsia="en-CA"/>
    </w:rPr>
  </w:style>
  <w:style w:type="paragraph" w:styleId="BalloonText">
    <w:name w:val="Balloon Text"/>
    <w:basedOn w:val="Normal"/>
    <w:link w:val="BalloonTextChar"/>
    <w:uiPriority w:val="99"/>
    <w:semiHidden/>
    <w:unhideWhenUsed/>
    <w:rsid w:val="0005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5</cp:revision>
  <dcterms:created xsi:type="dcterms:W3CDTF">2020-02-03T09:43:00Z</dcterms:created>
  <dcterms:modified xsi:type="dcterms:W3CDTF">2020-03-25T19:22:00Z</dcterms:modified>
</cp:coreProperties>
</file>